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from_____________to______________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1, 2023, the number of shares outstanding of the registrant’s common stock was as follows: Class A common stock, par value $0.01 per share: 19,286,977; Class B common stock, par value $0.01 per share: 70,032,694.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Quarterly Period Ended 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707" w:type="dxa"/>
        <w:jc w:val="left"/>
        <w:tblInd w:w="0" w:type="dxa"/>
        <w:tblLayout w:type="fixed"/>
        <w:tblCellMar>
          <w:top w:w="28" w:type="dxa"/>
          <w:left w:w="28" w:type="dxa"/>
          <w:bottom w:w="28" w:type="dxa"/>
          <w:right w:w="28" w:type="dxa"/>
        </w:tblCellMar>
      </w:tblPr>
      <w:tblGrid>
        <w:gridCol w:w="321"/>
        <w:gridCol w:w="281"/>
        <w:gridCol w:w="284"/>
        <w:gridCol w:w="2669"/>
        <w:gridCol w:w="2669"/>
        <w:gridCol w:w="2672"/>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0">
              <w:r>
                <w:rPr>
                  <w:rStyle w:val="InternetLink"/>
                  <w:rFonts w:ascii="Times New Roman;sans-serif" w:hAnsi="Times New Roman;sans-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
              <w:r>
                <w:rPr>
                  <w:rStyle w:val="InternetLink"/>
                  <w:rFonts w:ascii="Times New Roman;sans-serif" w:hAnsi="Times New Roman;sans-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6">
              <w:r>
                <w:rPr>
                  <w:rStyle w:val="InternetLink"/>
                  <w:rFonts w:ascii="Times New Roman;sans-serif" w:hAnsi="Times New Roman;sans-serif"/>
                  <w:b/>
                  <w:color w:val="000000"/>
                  <w:sz w:val="20"/>
                  <w:u w:val="single"/>
                </w:rPr>
                <w:t>PART I.</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6">
              <w:r>
                <w:rPr>
                  <w:rStyle w:val="InternetLink"/>
                  <w:rFonts w:ascii="Times New Roman;sans-serif" w:hAnsi="Times New Roman;sans-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9">
              <w:r>
                <w:rPr>
                  <w:rStyle w:val="InternetLink"/>
                  <w:rFonts w:ascii="Times New Roman;sans-serif" w:hAnsi="Times New Roman;sans-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9">
              <w:r>
                <w:rPr>
                  <w:rStyle w:val="InternetLink"/>
                  <w:rFonts w:ascii="Times New Roman;sans-serif" w:hAnsi="Times New Roman;sans-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22">
              <w:r>
                <w:rPr>
                  <w:rStyle w:val="InternetLink"/>
                  <w:rFonts w:ascii="Times New Roman;sans-serif" w:hAnsi="Times New Roman;sans-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25">
              <w:r>
                <w:rPr>
                  <w:rStyle w:val="InternetLink"/>
                  <w:rFonts w:ascii="Times New Roman;sans-serif" w:hAnsi="Times New Roman;sans-serif"/>
                  <w:b w:val="false"/>
                  <w:color w:val="0000FF"/>
                  <w:sz w:val="20"/>
                  <w:u w:val="single"/>
                </w:rPr>
                <w:t>Unaudited Condensed Consolidated Statements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28">
              <w:r>
                <w:rPr>
                  <w:rStyle w:val="InternetLink"/>
                  <w:rFonts w:ascii="Times New Roman;sans-serif" w:hAnsi="Times New Roman;sans-serif"/>
                  <w:b w:val="false"/>
                  <w:color w:val="0000FF"/>
                  <w:sz w:val="20"/>
                  <w:u w:val="single"/>
                </w:rPr>
                <w:t>Unaudited Condensed Consolidated Statements of Comprehensive Income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31">
              <w:r>
                <w:rPr>
                  <w:rStyle w:val="InternetLink"/>
                  <w:rFonts w:ascii="Times New Roman;sans-serif" w:hAnsi="Times New Roman;sans-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34">
              <w:r>
                <w:rPr>
                  <w:rStyle w:val="InternetLink"/>
                  <w:rFonts w:ascii="Times New Roman;sans-serif" w:hAnsi="Times New Roman;sans-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34">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37">
              <w:r>
                <w:rPr>
                  <w:rStyle w:val="InternetLink"/>
                  <w:rFonts w:ascii="Times New Roman;sans-serif" w:hAnsi="Times New Roman;sans-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37">
              <w:r>
                <w:rPr>
                  <w:rStyle w:val="InternetLink"/>
                  <w:rFonts w:ascii="Times New Roman;sans-serif" w:hAnsi="Times New Roman;sans-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85">
              <w:r>
                <w:rPr>
                  <w:rStyle w:val="InternetLink"/>
                  <w:rFonts w:ascii="Times New Roman;sans-serif" w:hAnsi="Times New Roman;sans-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85">
              <w:r>
                <w:rPr>
                  <w:rStyle w:val="InternetLink"/>
                  <w:rFonts w:ascii="Times New Roman;sans-serif" w:hAnsi="Times New Roman;sans-serif"/>
                  <w:b w:val="false"/>
                  <w:strike w:val="false"/>
                  <w:dstrike w:val="false"/>
                  <w:color w:val="000000"/>
                  <w:sz w:val="20"/>
                  <w:u w:val="none"/>
                  <w:effect w:val="none"/>
                </w:rPr>
                <w:t>18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15">
              <w:r>
                <w:rPr>
                  <w:rStyle w:val="InternetLink"/>
                  <w:rFonts w:ascii="Times New Roman;sans-serif" w:hAnsi="Times New Roman;sans-serif"/>
                  <w:b w:val="false"/>
                  <w:strike w:val="false"/>
                  <w:dstrike w:val="false"/>
                  <w:color w:val="000000"/>
                  <w:sz w:val="20"/>
                  <w:u w:val="none"/>
                  <w:effect w:val="non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15">
              <w:r>
                <w:rPr>
                  <w:rStyle w:val="InternetLink"/>
                  <w:rFonts w:ascii="Times New Roman;sans-serif" w:hAnsi="Times New Roman;sans-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15">
              <w:r>
                <w:rPr>
                  <w:rStyle w:val="InternetLink"/>
                  <w:rFonts w:ascii="Times New Roman;sans-serif" w:hAnsi="Times New Roman;sans-serif"/>
                  <w:b w:val="false"/>
                  <w:strike w:val="false"/>
                  <w:dstrike w:val="false"/>
                  <w:color w:val="000000"/>
                  <w:sz w:val="20"/>
                  <w:u w:val="none"/>
                  <w:effect w:val="none"/>
                </w:rPr>
                <w:t>30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18">
              <w:r>
                <w:rPr>
                  <w:rStyle w:val="InternetLink"/>
                  <w:rFonts w:ascii="Times New Roman;sans-serif" w:hAnsi="Times New Roman;sans-serif"/>
                  <w:b w:val="false"/>
                  <w:strike w:val="false"/>
                  <w:dstrike w:val="false"/>
                  <w:color w:val="000000"/>
                  <w:sz w:val="20"/>
                  <w:u w:val="none"/>
                  <w:effect w:val="non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18">
              <w:r>
                <w:rPr>
                  <w:rStyle w:val="InternetLink"/>
                  <w:rFonts w:ascii="Times New Roman;sans-serif" w:hAnsi="Times New Roman;sans-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18">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1">
              <w:r>
                <w:rPr>
                  <w:rStyle w:val="InternetLink"/>
                  <w:rFonts w:ascii="Times New Roman;sans-serif" w:hAnsi="Times New Roman;sans-serif"/>
                  <w:b/>
                  <w:strike w:val="false"/>
                  <w:dstrike w:val="false"/>
                  <w:color w:val="000000"/>
                  <w:sz w:val="20"/>
                  <w:u w:val="none"/>
                  <w:effect w:val="none"/>
                </w:rPr>
                <w:t>PART II.</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1">
              <w:r>
                <w:rPr>
                  <w:rStyle w:val="InternetLink"/>
                  <w:rFonts w:ascii="Times New Roman;sans-serif" w:hAnsi="Times New Roman;sans-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4">
              <w:r>
                <w:rPr>
                  <w:rStyle w:val="InternetLink"/>
                  <w:rFonts w:ascii="Times New Roman;sans-serif" w:hAnsi="Times New Roman;sans-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4">
              <w:r>
                <w:rPr>
                  <w:rStyle w:val="InternetLink"/>
                  <w:rFonts w:ascii="Times New Roman;sans-serif" w:hAnsi="Times New Roman;sans-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7">
              <w:r>
                <w:rPr>
                  <w:rStyle w:val="InternetLink"/>
                  <w:rFonts w:ascii="Times New Roman;sans-serif" w:hAnsi="Times New Roman;sans-serif"/>
                  <w:b w:val="false"/>
                  <w:strike w:val="false"/>
                  <w:dstrike w:val="false"/>
                  <w:color w:val="000000"/>
                  <w:sz w:val="20"/>
                  <w:u w:val="none"/>
                  <w:effect w:val="non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27">
              <w:r>
                <w:rPr>
                  <w:rStyle w:val="InternetLink"/>
                  <w:rFonts w:ascii="Times New Roman;sans-serif" w:hAnsi="Times New Roman;sans-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0">
              <w:r>
                <w:rPr>
                  <w:rStyle w:val="InternetLink"/>
                  <w:rFonts w:ascii="Times New Roman;sans-serif" w:hAnsi="Times New Roman;sans-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0">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30">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3">
              <w:r>
                <w:rPr>
                  <w:rStyle w:val="InternetLink"/>
                  <w:rFonts w:ascii="Times New Roman;sans-serif" w:hAnsi="Times New Roman;sans-serif"/>
                  <w:b w:val="false"/>
                  <w:strike w:val="false"/>
                  <w:dstrike w:val="false"/>
                  <w:color w:val="000000"/>
                  <w:sz w:val="20"/>
                  <w:u w:val="none"/>
                  <w:effect w:val="non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3">
              <w:r>
                <w:rPr>
                  <w:rStyle w:val="InternetLink"/>
                  <w:rFonts w:ascii="Times New Roman;sans-serif" w:hAnsi="Times New Roman;sans-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6">
              <w:r>
                <w:rPr>
                  <w:rStyle w:val="InternetLink"/>
                  <w:rFonts w:ascii="Times New Roman;sans-serif" w:hAnsi="Times New Roman;sans-serif"/>
                  <w:b w:val="false"/>
                  <w:strike w:val="false"/>
                  <w:dstrike w:val="false"/>
                  <w:color w:val="000000"/>
                  <w:sz w:val="20"/>
                  <w:u w:val="none"/>
                  <w:effect w:val="non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6">
              <w:r>
                <w:rPr>
                  <w:rStyle w:val="InternetLink"/>
                  <w:rFonts w:ascii="Times New Roman;sans-serif" w:hAnsi="Times New Roman;sans-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36">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9">
              <w:r>
                <w:rPr>
                  <w:rStyle w:val="InternetLink"/>
                  <w:rFonts w:ascii="Times New Roman;sans-serif" w:hAnsi="Times New Roman;sans-serif"/>
                  <w:b w:val="false"/>
                  <w:strike w:val="false"/>
                  <w:dstrike w:val="false"/>
                  <w:color w:val="000000"/>
                  <w:sz w:val="20"/>
                  <w:u w:val="none"/>
                  <w:effect w:val="none"/>
                </w:rPr>
                <w:t>Item 5.</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39">
              <w:r>
                <w:rPr>
                  <w:rStyle w:val="InternetLink"/>
                  <w:rFonts w:ascii="Times New Roman;sans-serif" w:hAnsi="Times New Roman;sans-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39">
              <w:r>
                <w:rPr>
                  <w:rStyle w:val="InternetLink"/>
                  <w:rFonts w:ascii="Times New Roman;sans-serif" w:hAnsi="Times New Roman;sans-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45">
              <w:r>
                <w:rPr>
                  <w:rStyle w:val="InternetLink"/>
                  <w:rFonts w:ascii="Times New Roman;sans-serif" w:hAnsi="Times New Roman;sans-serif"/>
                  <w:b w:val="false"/>
                  <w:strike w:val="false"/>
                  <w:dstrike w:val="false"/>
                  <w:color w:val="000000"/>
                  <w:sz w:val="20"/>
                  <w:u w:val="none"/>
                  <w:effect w:val="non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45">
              <w:r>
                <w:rPr>
                  <w:rStyle w:val="InternetLink"/>
                  <w:rFonts w:ascii="Times New Roman;sans-serif" w:hAnsi="Times New Roman;sans-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45">
              <w:r>
                <w:rPr>
                  <w:rStyle w:val="InternetLink"/>
                  <w:rFonts w:ascii="Times New Roman;sans-serif" w:hAnsi="Times New Roman;sans-serif"/>
                  <w:b w:val="false"/>
                  <w:strike w:val="false"/>
                  <w:dstrike w:val="false"/>
                  <w:color w:val="000000"/>
                  <w:sz w:val="20"/>
                  <w:u w:val="none"/>
                  <w:effect w:val="non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2d854828d841f8b0c677cd042ccb64_148">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e2d854828d841f8b0c677cd042ccb64_148">
              <w:r>
                <w:rPr>
                  <w:rStyle w:val="InternetLink"/>
                  <w:rFonts w:ascii="Times New Roman;sans-serif" w:hAnsi="Times New Roman;sans-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other comparable words, or the negative version of any of these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2022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Trust and Safety,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Fluctuations against the U.S. dollar in the local currencies in the countries in which we operate could have a material effect on our results of operations.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expand our client base will be impaired and our business and operating results will be adversely affected.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Pricing pressure may reduce our revenue or gross profits and adversely affect our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COVID-19 pandemic, including the resulting global economic uncertainty and measures taken in response to the pandemic, has adversely impacted our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Sponsor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and our social media outlets, such as Facebook, Instagram, LinkedIn, TikTok, YouTube, and X (formerly known as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TikTok page at tiktok.com/@taskusinc, its YouTube account at youtube.com/c/Taskus/, and its X account at twitter.com/taskus. Accordingly, investors should monitor these channels, in addition to following the Company's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7"/>
        <w:gridCol w:w="2376"/>
        <w:gridCol w:w="2372"/>
        <w:gridCol w:w="205"/>
        <w:gridCol w:w="774"/>
        <w:gridCol w:w="114"/>
        <w:gridCol w:w="109"/>
        <w:gridCol w:w="109"/>
        <w:gridCol w:w="109"/>
        <w:gridCol w:w="200"/>
        <w:gridCol w:w="756"/>
        <w:gridCol w:w="164"/>
      </w:tblGrid>
      <w:tr>
        <w:trPr/>
        <w:tc>
          <w:tcPr>
            <w:tcW w:w="2917"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of $1,909 and $3,422, respectively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560,590 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870,779 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336,518 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30,328,882 issued and 20,523,884 outstanding and 29,257,651 issued and 27,607,720 outstanding, respectively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9,804,998 and 1,649,931 shares, respectively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428,748 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870,779 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9895" w:type="dxa"/>
        <w:jc w:val="left"/>
        <w:tblInd w:w="0" w:type="dxa"/>
        <w:tblLayout w:type="fixed"/>
        <w:tblCellMar>
          <w:top w:w="28" w:type="dxa"/>
          <w:left w:w="28" w:type="dxa"/>
          <w:bottom w:w="28" w:type="dxa"/>
          <w:right w:w="28" w:type="dxa"/>
        </w:tblCellMar>
      </w:tblPr>
      <w:tblGrid>
        <w:gridCol w:w="1537"/>
        <w:gridCol w:w="1349"/>
        <w:gridCol w:w="1358"/>
        <w:gridCol w:w="214"/>
        <w:gridCol w:w="806"/>
        <w:gridCol w:w="119"/>
        <w:gridCol w:w="119"/>
        <w:gridCol w:w="119"/>
        <w:gridCol w:w="119"/>
        <w:gridCol w:w="234"/>
        <w:gridCol w:w="817"/>
        <w:gridCol w:w="119"/>
        <w:gridCol w:w="109"/>
        <w:gridCol w:w="109"/>
        <w:gridCol w:w="109"/>
        <w:gridCol w:w="207"/>
        <w:gridCol w:w="778"/>
        <w:gridCol w:w="115"/>
        <w:gridCol w:w="115"/>
        <w:gridCol w:w="115"/>
        <w:gridCol w:w="115"/>
        <w:gridCol w:w="226"/>
        <w:gridCol w:w="825"/>
        <w:gridCol w:w="162"/>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92,480,316 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98,299,612 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95,522,026 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97,854,944 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101,920,413 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103,073,208 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554" w:type="dxa"/>
        <w:jc w:val="left"/>
        <w:tblInd w:w="0" w:type="dxa"/>
        <w:tblLayout w:type="fixed"/>
        <w:tblCellMar>
          <w:top w:w="28" w:type="dxa"/>
          <w:left w:w="28" w:type="dxa"/>
          <w:bottom w:w="28" w:type="dxa"/>
          <w:right w:w="28" w:type="dxa"/>
        </w:tblCellMar>
      </w:tblPr>
      <w:tblGrid>
        <w:gridCol w:w="1084"/>
        <w:gridCol w:w="955"/>
        <w:gridCol w:w="961"/>
        <w:gridCol w:w="243"/>
        <w:gridCol w:w="691"/>
        <w:gridCol w:w="135"/>
        <w:gridCol w:w="135"/>
        <w:gridCol w:w="135"/>
        <w:gridCol w:w="135"/>
        <w:gridCol w:w="243"/>
        <w:gridCol w:w="784"/>
        <w:gridCol w:w="135"/>
        <w:gridCol w:w="109"/>
        <w:gridCol w:w="109"/>
        <w:gridCol w:w="109"/>
        <w:gridCol w:w="223"/>
        <w:gridCol w:w="737"/>
        <w:gridCol w:w="124"/>
        <w:gridCol w:w="124"/>
        <w:gridCol w:w="124"/>
        <w:gridCol w:w="124"/>
        <w:gridCol w:w="223"/>
        <w:gridCol w:w="737"/>
        <w:gridCol w:w="175"/>
      </w:tblGrid>
      <w:tr>
        <w:trPr/>
        <w:tc>
          <w:tcPr>
            <w:tcW w:w="10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415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37"/>
        <w:gridCol w:w="801"/>
        <w:gridCol w:w="133"/>
        <w:gridCol w:w="109"/>
        <w:gridCol w:w="109"/>
        <w:gridCol w:w="109"/>
        <w:gridCol w:w="368"/>
        <w:gridCol w:w="368"/>
        <w:gridCol w:w="196"/>
        <w:gridCol w:w="109"/>
        <w:gridCol w:w="109"/>
        <w:gridCol w:w="109"/>
        <w:gridCol w:w="196"/>
        <w:gridCol w:w="66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27,431,264 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27,523,669 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407,100 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acquisition of heloo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28,097,168 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774,758 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September 30,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28,811,232 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(17,588)</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434,927 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438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37"/>
        <w:gridCol w:w="801"/>
        <w:gridCol w:w="133"/>
        <w:gridCol w:w="109"/>
        <w:gridCol w:w="109"/>
        <w:gridCol w:w="109"/>
        <w:gridCol w:w="435"/>
        <w:gridCol w:w="436"/>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29,489,895 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2,039,732 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3,223,283 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29,804,225 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5,263,015 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4,541,983 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(48,753)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September 30,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30,328,882 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(14,316)</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9,804,998 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428,748 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381" w:type="dxa"/>
        <w:jc w:val="center"/>
        <w:tblInd w:w="0" w:type="dxa"/>
        <w:tblLayout w:type="fixed"/>
        <w:tblCellMar>
          <w:top w:w="28" w:type="dxa"/>
          <w:left w:w="28" w:type="dxa"/>
          <w:bottom w:w="28" w:type="dxa"/>
          <w:right w:w="28" w:type="dxa"/>
        </w:tblCellMar>
      </w:tblPr>
      <w:tblGrid>
        <w:gridCol w:w="2097"/>
        <w:gridCol w:w="1839"/>
        <w:gridCol w:w="1853"/>
        <w:gridCol w:w="207"/>
        <w:gridCol w:w="778"/>
        <w:gridCol w:w="115"/>
        <w:gridCol w:w="115"/>
        <w:gridCol w:w="115"/>
        <w:gridCol w:w="115"/>
        <w:gridCol w:w="207"/>
        <w:gridCol w:w="778"/>
        <w:gridCol w:w="162"/>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losses on accounts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on forward contracts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employee-related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loan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Revolving credit facility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deferred business acquisition consideration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 repurchases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122,491 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TaskUs, Inc.</w:t>
      </w:r>
      <w:r>
        <w:rPr>
          <w:color w:val="000000"/>
        </w:rPr>
        <w:t xml:space="preserve"> </w:t>
      </w:r>
      <w:r>
        <w:rPr>
          <w:rFonts w:ascii="Times New Roman;sans-serif" w:hAnsi="Times New Roman;sans-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AI</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rPr>
        <w:t>Trust and Safety</w:t>
      </w:r>
      <w:r>
        <w:rPr>
          <w:rFonts w:ascii="Times New Roman;sans-serif" w:hAnsi="Times New Roman;sans-serif"/>
          <w:b w:val="false"/>
          <w:color w:val="000000"/>
          <w:sz w:val="20"/>
        </w:rPr>
        <w:t>: 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are in accordance with accounting principles generally accepted in the United States of America ("US GAAP"). Our Annual Report on Form 10-K for the year ended December 31, 2022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2022 included in the Annual Report. In the opinion of the Company, the accompanying unaudited condensed consolidated financial statements contain all adjustments, consisting of only normal recurring adjustments, necessary for a fair statement of its financial position as of September 30, 2023 and its results of operations, comprehensive income (loss) and shareholders’ equity for the three and nine months ended September 30, 2023 and 2022, and cash flows for the nine months ended September 30, 2023 and 2022. The condensed consolidated balance sheet as of December 31, 2022, was derived from audited annual financial statements but does not contain all of the footnote disclosures from the annual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certain reclassifications to prior period consolidated financial statements to conform to current period presentation. India, which was previously included in Rest of World, is now reported separately within revenue disaggregation by geographical location. Other receivables, Prepaid expenses and Other current assets have been combined into Prepaid expenses and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the measurement of lease liabilities and right-of-use assets; valuation of forward contracts; valuation of stock-based compensation; </w:t>
      </w:r>
      <w:r>
        <w:rPr>
          <w:rFonts w:ascii="Times New Roman;sans-serif" w:hAnsi="Times New Roman;sans-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 Concentration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following client represented greater than 10% of the Company’s service revenue:</w:t>
      </w:r>
    </w:p>
    <w:tbl>
      <w:tblPr>
        <w:tblW w:w="643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following clients represented greater than 10% of the Company’s accounts receivable: </w:t>
      </w:r>
    </w:p>
    <w:tbl>
      <w:tblPr>
        <w:tblW w:w="4572"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354"/>
        <w:gridCol w:w="354"/>
        <w:gridCol w:w="836"/>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June 2016, the Financial Accounting Standards Board ("FASB") issued Accounting Standards Update ("ASU") 2016-13, Financial Instruments—Credit Losses (Topic 326): Measurement of Credit Losses on Financial Instruments ("ASU 2016-13").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The company adopted this standard as of January 1, 2023. The adoption of ASU 2016-13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2022 (the "Closing Date"), the Company completed the acquisition of 100% of the equity interests of Parsec d.o.o. and Q Experience d.o.o. (collectively, "heloo") for $35.4 million. The former shareholders of heloo are also eligible to receive contingent earn-out payments not to exceed €20 million, based on performance compared to prescribed EBITDA targets outlined in the purchase agreement during each of the one year periods ending April 30, 2023 and 2024, respectively. The total fair value of remaining contingent earn-out payments was determined to be immaterial and $14.9 million as of September 30, 2023 and December 31, 2022, respectively, based on a Monte Carlo simulation model, utilizing a discounted payout analysis based on probabilities and timing of achieving the prescribed targets. Since these payments were contingent on future service conditions, they were recognized as compensation expense ratably over the required service period. Since the service conditions have been met, future changes will be based only on updates to the expected achievement. The Company recognized compensation expense related to the contingent earn-out payments included in selling, general, and administrative expenses of $(0.1) million and $7.9 million for the three and nine months ended September 30, 2023, respectively, and $3.6 million and $5.0 million for the three and nine months ended September 30, 2022. The Company paid $18.3 million related to the contingent earn-out during the nine months ended September 30, 2023, which is included in net cash provided by operating activities. The Company paid $0.1 million related to holdback cash consideration during the nine months ended September 30, 2023, which is included in payments for deferred business acquisition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4. Revenue from Contracts with Customers</w:t>
      </w:r>
    </w:p>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714" w:type="dxa"/>
        <w:jc w:val="left"/>
        <w:tblInd w:w="0" w:type="dxa"/>
        <w:tblLayout w:type="fixed"/>
        <w:tblCellMar>
          <w:top w:w="28" w:type="dxa"/>
          <w:left w:w="28" w:type="dxa"/>
          <w:bottom w:w="28" w:type="dxa"/>
          <w:right w:w="28" w:type="dxa"/>
        </w:tblCellMar>
      </w:tblPr>
      <w:tblGrid>
        <w:gridCol w:w="782"/>
        <w:gridCol w:w="688"/>
        <w:gridCol w:w="690"/>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798" w:type="dxa"/>
        <w:jc w:val="left"/>
        <w:tblInd w:w="0" w:type="dxa"/>
        <w:tblLayout w:type="fixed"/>
        <w:tblCellMar>
          <w:top w:w="28" w:type="dxa"/>
          <w:left w:w="28" w:type="dxa"/>
          <w:bottom w:w="28" w:type="dxa"/>
          <w:right w:w="28" w:type="dxa"/>
        </w:tblCellMar>
      </w:tblPr>
      <w:tblGrid>
        <w:gridCol w:w="451"/>
        <w:gridCol w:w="396"/>
        <w:gridCol w:w="397"/>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includes $79.8 million and $80.8 million of unbilled revenues as of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Forward Contracts and Fair Value Measurement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2023 and 2022, the Company entered into foreign currency exchange rate forward contracts, with three commercial banks as the counterparties, with maturities of generally 12 months or less, to reduce the volatility of cash flows primarily related to forecasted costs denominated in Philippine pesos and Indian rupees. </w:t>
      </w:r>
      <w:r>
        <w:rPr>
          <w:rFonts w:ascii="Times New Roman;sans-serif" w:hAnsi="Times New Roman;sans-serif"/>
          <w:b w:val="false"/>
          <w:color w:val="000000"/>
          <w:sz w:val="20"/>
          <w:shd w:fill="FFFFFF" w:val="clear"/>
        </w:rPr>
        <w:t xml:space="preserve">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net in the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 contract receivable (payable) resulting from changes in fair value was recorded under prepaid expenses and other current assets (accounts payable and accrued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and realized and unrealized losses (gains) associated with derivative contracts:</w:t>
      </w:r>
    </w:p>
    <w:tbl>
      <w:tblPr>
        <w:tblW w:w="10205" w:type="dxa"/>
        <w:jc w:val="left"/>
        <w:tblInd w:w="0" w:type="dxa"/>
        <w:tblLayout w:type="fixed"/>
        <w:tblCellMar>
          <w:top w:w="28" w:type="dxa"/>
          <w:left w:w="28" w:type="dxa"/>
          <w:bottom w:w="28" w:type="dxa"/>
          <w:right w:w="28" w:type="dxa"/>
        </w:tblCellMar>
      </w:tblPr>
      <w:tblGrid>
        <w:gridCol w:w="1583"/>
        <w:gridCol w:w="1388"/>
        <w:gridCol w:w="1393"/>
        <w:gridCol w:w="109"/>
        <w:gridCol w:w="109"/>
        <w:gridCol w:w="109"/>
        <w:gridCol w:w="229"/>
        <w:gridCol w:w="755"/>
        <w:gridCol w:w="127"/>
        <w:gridCol w:w="127"/>
        <w:gridCol w:w="127"/>
        <w:gridCol w:w="127"/>
        <w:gridCol w:w="229"/>
        <w:gridCol w:w="755"/>
        <w:gridCol w:w="127"/>
        <w:gridCol w:w="109"/>
        <w:gridCol w:w="109"/>
        <w:gridCol w:w="109"/>
        <w:gridCol w:w="206"/>
        <w:gridCol w:w="774"/>
        <w:gridCol w:w="114"/>
        <w:gridCol w:w="114"/>
        <w:gridCol w:w="114"/>
        <w:gridCol w:w="114"/>
        <w:gridCol w:w="206"/>
        <w:gridCol w:w="774"/>
        <w:gridCol w:w="168"/>
      </w:tblGrid>
      <w:tr>
        <w:trPr/>
        <w:tc>
          <w:tcPr>
            <w:tcW w:w="1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(gains)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w:t>
      </w:r>
    </w:p>
    <w:tbl>
      <w:tblPr>
        <w:tblW w:w="7659" w:type="dxa"/>
        <w:jc w:val="left"/>
        <w:tblInd w:w="0" w:type="dxa"/>
        <w:tblLayout w:type="fixed"/>
        <w:tblCellMar>
          <w:top w:w="28" w:type="dxa"/>
          <w:left w:w="28" w:type="dxa"/>
          <w:bottom w:w="28" w:type="dxa"/>
          <w:right w:w="28" w:type="dxa"/>
        </w:tblCellMar>
      </w:tblPr>
      <w:tblGrid>
        <w:gridCol w:w="1830"/>
        <w:gridCol w:w="1610"/>
        <w:gridCol w:w="1614"/>
        <w:gridCol w:w="214"/>
        <w:gridCol w:w="806"/>
        <w:gridCol w:w="119"/>
        <w:gridCol w:w="109"/>
        <w:gridCol w:w="109"/>
        <w:gridCol w:w="109"/>
        <w:gridCol w:w="205"/>
        <w:gridCol w:w="773"/>
        <w:gridCol w:w="161"/>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168,916 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The following table presents information about the Company’s assets and liabilities that are measured at fair value on a recurring basis, and indicates the fair value hierarchy of the valuation techniques utilized to determine such fair value, at September 30, 2023 and December 31, 2022:</w:t>
      </w:r>
    </w:p>
    <w:tbl>
      <w:tblPr>
        <w:tblW w:w="10383" w:type="dxa"/>
        <w:jc w:val="left"/>
        <w:tblInd w:w="0" w:type="dxa"/>
        <w:tblLayout w:type="fixed"/>
        <w:tblCellMar>
          <w:top w:w="28" w:type="dxa"/>
          <w:left w:w="28" w:type="dxa"/>
          <w:bottom w:w="28" w:type="dxa"/>
          <w:right w:w="28" w:type="dxa"/>
        </w:tblCellMar>
      </w:tblPr>
      <w:tblGrid>
        <w:gridCol w:w="344"/>
        <w:gridCol w:w="263"/>
        <w:gridCol w:w="264"/>
        <w:gridCol w:w="196"/>
        <w:gridCol w:w="40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322"/>
        <w:gridCol w:w="668"/>
        <w:gridCol w:w="181"/>
        <w:gridCol w:w="109"/>
        <w:gridCol w:w="109"/>
        <w:gridCol w:w="109"/>
        <w:gridCol w:w="196"/>
        <w:gridCol w:w="556"/>
        <w:gridCol w:w="109"/>
        <w:gridCol w:w="109"/>
        <w:gridCol w:w="109"/>
        <w:gridCol w:w="109"/>
        <w:gridCol w:w="343"/>
        <w:gridCol w:w="606"/>
        <w:gridCol w:w="192"/>
        <w:gridCol w:w="109"/>
        <w:gridCol w:w="109"/>
        <w:gridCol w:w="109"/>
        <w:gridCol w:w="196"/>
        <w:gridCol w:w="5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533" w:type="dxa"/>
        <w:jc w:val="left"/>
        <w:tblInd w:w="0" w:type="dxa"/>
        <w:tblLayout w:type="fixed"/>
        <w:tblCellMar>
          <w:top w:w="28" w:type="dxa"/>
          <w:left w:w="28" w:type="dxa"/>
          <w:bottom w:w="28" w:type="dxa"/>
          <w:right w:w="28" w:type="dxa"/>
        </w:tblCellMar>
      </w:tblPr>
      <w:tblGrid>
        <w:gridCol w:w="344"/>
        <w:gridCol w:w="263"/>
        <w:gridCol w:w="264"/>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309"/>
        <w:gridCol w:w="689"/>
        <w:gridCol w:w="173"/>
        <w:gridCol w:w="109"/>
        <w:gridCol w:w="109"/>
        <w:gridCol w:w="109"/>
        <w:gridCol w:w="196"/>
        <w:gridCol w:w="556"/>
        <w:gridCol w:w="109"/>
        <w:gridCol w:w="109"/>
        <w:gridCol w:w="109"/>
        <w:gridCol w:w="109"/>
        <w:gridCol w:w="255"/>
        <w:gridCol w:w="743"/>
        <w:gridCol w:w="143"/>
        <w:gridCol w:w="109"/>
        <w:gridCol w:w="109"/>
        <w:gridCol w:w="109"/>
        <w:gridCol w:w="196"/>
        <w:gridCol w:w="5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net as of September 30, 2023 and December 31, 2022 were as follows:</w:t>
      </w:r>
    </w:p>
    <w:tbl>
      <w:tblPr>
        <w:tblW w:w="4901" w:type="dxa"/>
        <w:jc w:val="left"/>
        <w:tblInd w:w="0" w:type="dxa"/>
        <w:tblLayout w:type="fixed"/>
        <w:tblCellMar>
          <w:top w:w="28" w:type="dxa"/>
          <w:left w:w="28" w:type="dxa"/>
          <w:bottom w:w="28" w:type="dxa"/>
          <w:right w:w="28" w:type="dxa"/>
        </w:tblCellMar>
      </w:tblPr>
      <w:tblGrid>
        <w:gridCol w:w="829"/>
        <w:gridCol w:w="730"/>
        <w:gridCol w:w="735"/>
        <w:gridCol w:w="235"/>
        <w:gridCol w:w="775"/>
        <w:gridCol w:w="130"/>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189,342 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September 30, 2023 and December 31, 2022:</w:t>
      </w:r>
    </w:p>
    <w:tbl>
      <w:tblPr>
        <w:tblW w:w="4721" w:type="dxa"/>
        <w:jc w:val="left"/>
        <w:tblInd w:w="0" w:type="dxa"/>
        <w:tblLayout w:type="fixed"/>
        <w:tblCellMar>
          <w:top w:w="28" w:type="dxa"/>
          <w:left w:w="28" w:type="dxa"/>
          <w:bottom w:w="28" w:type="dxa"/>
          <w:right w:w="28" w:type="dxa"/>
        </w:tblCellMar>
      </w:tblPr>
      <w:tblGrid>
        <w:gridCol w:w="766"/>
        <w:gridCol w:w="673"/>
        <w:gridCol w:w="675"/>
        <w:gridCol w:w="235"/>
        <w:gridCol w:w="775"/>
        <w:gridCol w:w="130"/>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7. Goodwill and Intangibles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period were as follows:</w:t>
      </w:r>
    </w:p>
    <w:tbl>
      <w:tblPr>
        <w:tblW w:w="3620" w:type="dxa"/>
        <w:jc w:val="left"/>
        <w:tblInd w:w="0" w:type="dxa"/>
        <w:tblLayout w:type="fixed"/>
        <w:tblCellMar>
          <w:top w:w="28" w:type="dxa"/>
          <w:left w:w="28" w:type="dxa"/>
          <w:bottom w:w="28" w:type="dxa"/>
          <w:right w:w="28" w:type="dxa"/>
        </w:tblCellMar>
      </w:tblPr>
      <w:tblGrid>
        <w:gridCol w:w="918"/>
        <w:gridCol w:w="807"/>
        <w:gridCol w:w="809"/>
        <w:gridCol w:w="196"/>
        <w:gridCol w:w="73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as of September 30, 2023 and December 31, 2022 were as follows:</w:t>
      </w:r>
    </w:p>
    <w:tbl>
      <w:tblPr>
        <w:tblW w:w="10196" w:type="dxa"/>
        <w:jc w:val="left"/>
        <w:tblInd w:w="0" w:type="dxa"/>
        <w:tblLayout w:type="fixed"/>
        <w:tblCellMar>
          <w:top w:w="28" w:type="dxa"/>
          <w:left w:w="28" w:type="dxa"/>
          <w:bottom w:w="28" w:type="dxa"/>
          <w:right w:w="28" w:type="dxa"/>
        </w:tblCellMar>
      </w:tblPr>
      <w:tblGrid>
        <w:gridCol w:w="635"/>
        <w:gridCol w:w="559"/>
        <w:gridCol w:w="560"/>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(81,817)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(96,388)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of current and noncurrent portions of debt consist of the following as of September 30, 2023 and December 31, 2022:</w:t>
      </w:r>
    </w:p>
    <w:tbl>
      <w:tblPr>
        <w:tblW w:w="9485" w:type="dxa"/>
        <w:jc w:val="left"/>
        <w:tblInd w:w="0" w:type="dxa"/>
        <w:tblLayout w:type="fixed"/>
        <w:tblCellMar>
          <w:top w:w="28" w:type="dxa"/>
          <w:left w:w="28" w:type="dxa"/>
          <w:bottom w:w="28" w:type="dxa"/>
          <w:right w:w="28" w:type="dxa"/>
        </w:tblCellMar>
      </w:tblPr>
      <w:tblGrid>
        <w:gridCol w:w="695"/>
        <w:gridCol w:w="611"/>
        <w:gridCol w:w="613"/>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the Company entered into a credit agreement (the "2022 Credit Agreement") with both new and existing lenders which amended and restated its previous credit agreement. The 2022 Credit Agreement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September 30, 2023, we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Term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September 30, 2023 was 7.674% per annum.</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September 30, 2023. Substantially all assets of our direct wholly owned subsidiary TU</w:t>
      </w:r>
      <w:r>
        <w:rPr>
          <w:color w:val="000000"/>
          <w:shd w:fill="FFFFFF" w:val="clear"/>
        </w:rPr>
        <w:t xml:space="preserve"> </w:t>
      </w:r>
      <w:r>
        <w:rPr>
          <w:rFonts w:ascii="Times New Roman;sans-serif" w:hAnsi="Times New Roman;sans-serif"/>
          <w:b w:val="false"/>
          <w:color w:val="000000"/>
          <w:sz w:val="20"/>
          <w:shd w:fill="FFFFFF" w:val="clear"/>
        </w:rPr>
        <w:t>MidCo</w:t>
      </w:r>
      <w:r>
        <w:rPr>
          <w:rFonts w:ascii="Times New Roman;sans-serif" w:hAnsi="Times New Roman;sans-serif"/>
          <w:b w:val="false"/>
          <w:color w:val="000000"/>
          <w:sz w:val="20"/>
        </w:rPr>
        <w:t>, Inc., its wholly owned subsidiary, TU BidCo, Inc. and its material wholly owned domestic subsidiaries are pledged as collateral under the 2022 Credit Agreement, subject to certain customary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lease costs recorded to cost of services:</w:t>
      </w:r>
    </w:p>
    <w:tbl>
      <w:tblPr>
        <w:tblW w:w="8791"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52"/>
        <w:gridCol w:w="716"/>
        <w:gridCol w:w="140"/>
        <w:gridCol w:w="140"/>
        <w:gridCol w:w="140"/>
        <w:gridCol w:w="140"/>
        <w:gridCol w:w="252"/>
        <w:gridCol w:w="716"/>
        <w:gridCol w:w="140"/>
        <w:gridCol w:w="109"/>
        <w:gridCol w:w="109"/>
        <w:gridCol w:w="109"/>
        <w:gridCol w:w="223"/>
        <w:gridCol w:w="737"/>
        <w:gridCol w:w="124"/>
        <w:gridCol w:w="124"/>
        <w:gridCol w:w="124"/>
        <w:gridCol w:w="124"/>
        <w:gridCol w:w="223"/>
        <w:gridCol w:w="737"/>
        <w:gridCol w:w="175"/>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weighted average discount rate for the Company's operating leases as of September 30, 2023 and December 31, 2022:</w:t>
      </w:r>
    </w:p>
    <w:tbl>
      <w:tblPr>
        <w:tblW w:w="662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354"/>
        <w:gridCol w:w="354"/>
        <w:gridCol w:w="836"/>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the Company's operating leases:</w:t>
      </w:r>
    </w:p>
    <w:tbl>
      <w:tblPr>
        <w:tblW w:w="8663"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223"/>
        <w:gridCol w:w="737"/>
        <w:gridCol w:w="124"/>
        <w:gridCol w:w="124"/>
        <w:gridCol w:w="124"/>
        <w:gridCol w:w="124"/>
        <w:gridCol w:w="223"/>
        <w:gridCol w:w="737"/>
        <w:gridCol w:w="175"/>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lease payments on the Company's operating lease liabilities as of September 30, 2023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r>
        <w:rPr>
          <w:rFonts w:ascii="Times New Roman;sans-serif" w:hAnsi="Times New Roman;sans-serif"/>
          <w:b w:val="false"/>
          <w:color w:val="000000"/>
          <w:sz w:val="20"/>
        </w:rPr>
        <w: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filed a motion to dismiss, which is currently pending. On September 28, 2023, the court heard oral argument on the motion to dismiss. On September 29, 2023, the court issued a stay of this action. On October 16, 2023, the plaintiffs voluntarily dismissed with prejudice certain claims based on certain theories of liability. On October 17, 2023, the Court lifted the stay of the action. We cannot predict at this point the length of time that this action will be ongoing or the liability, if any, which may arise therefrom.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defending two lawsuits that present in large degree the same legal or factual issues, with allegations that are similar in nature. We believe that these two lawsuits are without merit and intend to defend each vigorously. We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we filed a motion to dismiss, which is currently pending. This case is currently stayed.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 </w:t>
      </w:r>
    </w:p>
    <w:p>
      <w:pPr>
        <w:pStyle w:val="TextBody"/>
        <w:bidi w:val="0"/>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following table summarizes the stock option and restricted stock unit ("RSU") activity for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000000"/>
          <w:sz w:val="20"/>
          <w:shd w:fill="FFFFFF" w:val="clear"/>
        </w:rPr>
        <w:t>:</w:t>
      </w:r>
    </w:p>
    <w:tbl>
      <w:tblPr>
        <w:tblW w:w="8760" w:type="dxa"/>
        <w:jc w:val="left"/>
        <w:tblInd w:w="0" w:type="dxa"/>
        <w:tblLayout w:type="fixed"/>
        <w:tblCellMar>
          <w:top w:w="28" w:type="dxa"/>
          <w:left w:w="28" w:type="dxa"/>
          <w:bottom w:w="28" w:type="dxa"/>
          <w:right w:w="28" w:type="dxa"/>
        </w:tblCellMar>
      </w:tblPr>
      <w:tblGrid>
        <w:gridCol w:w="950"/>
        <w:gridCol w:w="836"/>
        <w:gridCol w:w="839"/>
        <w:gridCol w:w="435"/>
        <w:gridCol w:w="436"/>
        <w:gridCol w:w="296"/>
        <w:gridCol w:w="109"/>
        <w:gridCol w:w="109"/>
        <w:gridCol w:w="109"/>
        <w:gridCol w:w="246"/>
        <w:gridCol w:w="698"/>
        <w:gridCol w:w="137"/>
        <w:gridCol w:w="109"/>
        <w:gridCol w:w="109"/>
        <w:gridCol w:w="109"/>
        <w:gridCol w:w="471"/>
        <w:gridCol w:w="474"/>
        <w:gridCol w:w="296"/>
        <w:gridCol w:w="109"/>
        <w:gridCol w:w="109"/>
        <w:gridCol w:w="109"/>
        <w:gridCol w:w="359"/>
        <w:gridCol w:w="1021"/>
        <w:gridCol w:w="285"/>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7,723,711 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3,895,224 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1,671,414 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(140,216)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(1,105,514)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(741,741)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(360,702)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7,612,691 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4,100,422 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weighted-average grant-date fair value of options granted during the </w:t>
      </w:r>
      <w:r>
        <w:rPr>
          <w:rFonts w:ascii="Times New Roman;sans-serif" w:hAnsi="Times New Roman;sans-serif"/>
          <w:b w:val="false"/>
          <w:color w:val="000000"/>
          <w:sz w:val="20"/>
        </w:rPr>
        <w:t xml:space="preserve">nine months ended September 30, 2023 was </w:t>
      </w:r>
      <w:r>
        <w:rPr>
          <w:rFonts w:ascii="Times New Roman;sans-serif" w:hAnsi="Times New Roman;sans-serif"/>
          <w:b w:val="false"/>
          <w:color w:val="000000"/>
          <w:sz w:val="20"/>
          <w:shd w:fill="FFFFFF" w:val="clear"/>
        </w:rPr>
        <w:t xml:space="preserve">$8.85. There were 3,373,417 performance stock units ("PSUs") outstanding at </w:t>
      </w:r>
      <w:r>
        <w:rPr>
          <w:rFonts w:ascii="Times New Roman;sans-serif" w:hAnsi="Times New Roman;sans-serif"/>
          <w:b w:val="false"/>
          <w:color w:val="000000"/>
          <w:sz w:val="20"/>
        </w:rPr>
        <w:t>January 1, 2023 and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for the periods presented:</w:t>
      </w:r>
    </w:p>
    <w:tbl>
      <w:tblPr>
        <w:tblW w:w="8766" w:type="dxa"/>
        <w:jc w:val="left"/>
        <w:tblInd w:w="0" w:type="dxa"/>
        <w:tblLayout w:type="fixed"/>
        <w:tblCellMar>
          <w:top w:w="28" w:type="dxa"/>
          <w:left w:w="28" w:type="dxa"/>
          <w:bottom w:w="28" w:type="dxa"/>
          <w:right w:w="28" w:type="dxa"/>
        </w:tblCellMar>
      </w:tblPr>
      <w:tblGrid>
        <w:gridCol w:w="1162"/>
        <w:gridCol w:w="1022"/>
        <w:gridCol w:w="1025"/>
        <w:gridCol w:w="232"/>
        <w:gridCol w:w="765"/>
        <w:gridCol w:w="129"/>
        <w:gridCol w:w="129"/>
        <w:gridCol w:w="129"/>
        <w:gridCol w:w="129"/>
        <w:gridCol w:w="232"/>
        <w:gridCol w:w="765"/>
        <w:gridCol w:w="129"/>
        <w:gridCol w:w="109"/>
        <w:gridCol w:w="109"/>
        <w:gridCol w:w="109"/>
        <w:gridCol w:w="223"/>
        <w:gridCol w:w="737"/>
        <w:gridCol w:w="124"/>
        <w:gridCol w:w="124"/>
        <w:gridCol w:w="124"/>
        <w:gridCol w:w="124"/>
        <w:gridCol w:w="223"/>
        <w:gridCol w:w="737"/>
        <w:gridCol w:w="17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$10.2 million, $44.2 million and $3.0 million of unrecognized compensation expense related to the Company’s unvested stock options, RSUs and PSUs, respectively, that is expected to be recognized over a weighted-average period of 1.0 year, 1.3 years and 1.4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of $4.6 million and $3.9 million in the three months ended September 30, 2023 and 2022, respectively. The effective tax rate was 31.8% and 42.1% for the three months ended September 30, 2023 and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of $17.9 million and $12.3 million in the nine months ended September 30, 2023 and 2022, respectively. The effective tax rate was 37.9% and 33.2% for the nine months ended September 30, 2023 and 2022, respectively. The difference between the effective tax rate and the 21% federal statutory rate in the nine months ended September 30, 2023 was primarily due to nondeductible compensation of officers and Global Intangible Low-Taxed Income ("GILTI") inclusion. The difference between the effective tax rate and the 21% federal statutory rate in the nine months ended September 30, 2022 was primarily due to GILTI inclusion, tax benefits of income tax holidays in foreign jurisdiction, nondeductible earn-out consideration and nondeductible compensation of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earnings per share for the three and nine months ended September 30, 2023 and 2022:</w:t>
      </w:r>
    </w:p>
    <w:tbl>
      <w:tblPr>
        <w:tblW w:w="9809" w:type="dxa"/>
        <w:jc w:val="left"/>
        <w:tblInd w:w="0" w:type="dxa"/>
        <w:tblLayout w:type="fixed"/>
        <w:tblCellMar>
          <w:top w:w="28" w:type="dxa"/>
          <w:left w:w="28" w:type="dxa"/>
          <w:bottom w:w="28" w:type="dxa"/>
          <w:right w:w="28" w:type="dxa"/>
        </w:tblCellMar>
      </w:tblPr>
      <w:tblGrid>
        <w:gridCol w:w="1476"/>
        <w:gridCol w:w="1297"/>
        <w:gridCol w:w="1307"/>
        <w:gridCol w:w="252"/>
        <w:gridCol w:w="716"/>
        <w:gridCol w:w="140"/>
        <w:gridCol w:w="140"/>
        <w:gridCol w:w="140"/>
        <w:gridCol w:w="140"/>
        <w:gridCol w:w="275"/>
        <w:gridCol w:w="776"/>
        <w:gridCol w:w="140"/>
        <w:gridCol w:w="109"/>
        <w:gridCol w:w="109"/>
        <w:gridCol w:w="109"/>
        <w:gridCol w:w="223"/>
        <w:gridCol w:w="738"/>
        <w:gridCol w:w="124"/>
        <w:gridCol w:w="124"/>
        <w:gridCol w:w="124"/>
        <w:gridCol w:w="124"/>
        <w:gridCol w:w="243"/>
        <w:gridCol w:w="808"/>
        <w:gridCol w:w="175"/>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92,480,316 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98,299,612 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95,522,026 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97,854,944 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1,554,795 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3,620,801 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2,207,204 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5,218,264 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101,920,413 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103,073,208 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6,487,091 and 5,809,048 potential common stock equivalents from the computation of diluted EPS for the three and nine months ended September 30, 2023, respectively, and 3,486,107 and 2,696,701 potential common stock equivalents from the computation of diluted EPS for the three and nine months ended September 30, 2022, respectively, because the effect would have been anti-dilutive. There were 5,208,719 and 4,657,008 potential common stock equivalents outstanding as of September 30, 2023 and 2022, respectively, with market conditions which were not met at that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2022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nine months ended September 30, 2023 and 2022. India, which was previously included in Rest of World, is now reported separately within revenue disaggregation by geographical location. As a result, the comparison of service revenue by delivery geography for the three and nine months ended September 30, 2022 has been recast for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provider of outsourced digital services and next-generation customer experience to the world's most innovative companies, helping our clients represent, protect and grow their respective brands. </w:t>
      </w:r>
      <w:r>
        <w:rPr>
          <w:rFonts w:ascii="Times New Roman;sans-serif" w:hAnsi="Times New Roman;sans-serif"/>
          <w:b w:val="false"/>
          <w:color w:val="000000"/>
          <w:sz w:val="20"/>
          <w:shd w:fill="FFFFFF" w:val="clear"/>
        </w:rPr>
        <w:t>We serve our clients to support their end customers’ urgent needs, navigate an increasingly-complex compliance landscape, handle sensitive tasks, including online content moderation and enable artificial intelligence technology and automation.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Financial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we recorded service revenue of $225.6 million, a 2.8% decrease from $232.1 million for the three months ended September 30, 2022. For the nine months ended September 30, 2023, we recorded service revenue of $690.1 million, a 3.9% decrease from $718.3 million for the nine months ended September 30, 2022.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September 30, 2023 increased to $9.8 million from $5.4 million for the three months ended September 30, 2022. This increase is due primarily to the impact of foreign currency exchange rate changes, as well as lower earn-out consideration, lower stock-based compensation expense, and cost optimization, partially offset by rising interest rates. Adjusted Net Income for the three months ended September 30, 2023 decreased 16.3% to $30.0 million from $35.8 million for the three months ended September 30, 2022. Adjusted EBITDA for the three months ended September 30, 2023 decreased 4.6% to $52.9 million from $55.5 million for the three months ended September 30, 2022.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nine months ended September 30, 2023 increased to $29.4 million from $24.7 million for the nine months ended September 30, 2022. This increase is due primarily to the impact of foreign currency exchange rate changes as well as lower stock-based compensation expense and cost optimization, partially offset by rising interest rates, higher income taxes and earn-out consideration. Adjusted Net Income for the nine months ended September 30, 2023 decreased 13.9% to $94.3 million from $109.5 million for the nine months ended September 30, 2022. Adjusted EBITDA for the nine months ended September 30, 2023 decreased 1.5% to $162.8 million from $165.3 million for the nine months ended September 30,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in any period are not necessarily indicative of the results that may be expected for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Developments</w:t>
      </w:r>
    </w:p>
    <w:p>
      <w:pPr>
        <w:pStyle w:val="TextBody"/>
        <w:bidi w:val="0"/>
        <w:spacing w:lineRule="auto" w:line="276"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Macroeconomic Trends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global economic and geopolitical developments, increased inflation rates, interest rate increases, and foreign currency exchange rate changes, have direct and indirect impacts on our results of operations that are difficult to isolate and quantify. Due to market uncertainty and potential recession or other economic challenges, many of our customers have increased their focus on cost reduction resulting in certain customers electing to shift work from our onshore locations to our offshore delivery locations, partnering with service providers to find cost-efficient arrangements, or reducing vendor spend across the board.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clients.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management and financial flexibility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we continued to focus on cost management and financial flexibility. We reviewed our cost structure in order to drive efficiencies across functions. While we incurred certain costs associated with these changes, including severance in some cases, we believe these actions will have long-term benefits to the goal of enabling our future growth and profitability. We generated net cash flow from operating activities of $103.9 million and Free Cash Flow of $81.0 million, respectively. </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Generative AI</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Generative AI, including Large Language Models (“LLMs”), has developed significantly in recent years and has had further advancement in 2023. We believe this technology has the potential to impact most industries, including business process outsourcing, further automating simple, repeatable tasks, and even streamlining some more sophisticated workflows. Certain of our clients have begun experimenting with this technology. As this technology develops, demand for certain service offerings could decrease, further reducing our clients' spend, which could have a negative impact on our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this technology will provide new opportunities and workflows. We have historically differentiated our value proposition with a frontline first culture, which aligns with and allows us to be an extension of our clients’ brands, as well as our focus on driving efficiency, seeking opportunities to eliminate simple, routine work so our teammates can deliver higher value services. We have been using Generative AI for nearly two years and believe the future of this technology is one of augmentation rather than automation, enabling our talented teammates to leverage these tools and continue to meaningfully improve client outcomes and operational efficiencies. During the nine months ended September 30, 2023, we launched TaskGPT, a next generation customer support technology, enabling rapid expansion and enhancements to our customer service capabilities by leveraging AI technology.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New technology also produces demand for novel services. We have demonstrated an ability to quickly discover and launch services in new markets and believe we are well positioned to discover these needs and deliver them for our innovative clients. We believe that there is an opportunity to integrate Generative AI throughout our offerings,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AI Services: TaskUs provides annotation and evaluation support services to help train algorithms, improving the models’ performance and aligning them with human values. We built a Prompt Engineering team that creates and refines prompts for AI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Trust and Safety: We expect to see increased demand for Trust and Safety services in a world of infinite content creation and deepfake technology. We also work with Generative AI companies to ensure the safety and soundness of their AI (e.g., ensuring responses of LLMs do not violate company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Digital Customer Experience: We believe that there may be a decrease in volumes of certain workflows; however, there may also be revenue opportunities for systems integrators and service providers to build, integrate and deploy this technology. We have launched a consultative model that helps leading enterprises innovate by building new capabilities powered by Generative AI across a spectrum of tasks, from automating the routine to assisting in creative work. TaskUs consults with companies to drive customer engagement, improve customer service and enhance operations through the use of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three months ended September 30, 2023 and 2022:</w:t>
      </w:r>
    </w:p>
    <w:tbl>
      <w:tblPr>
        <w:tblW w:w="8579" w:type="dxa"/>
        <w:jc w:val="left"/>
        <w:tblInd w:w="0" w:type="dxa"/>
        <w:tblLayout w:type="fixed"/>
        <w:tblCellMar>
          <w:top w:w="28" w:type="dxa"/>
          <w:left w:w="28" w:type="dxa"/>
          <w:bottom w:w="28" w:type="dxa"/>
          <w:right w:w="28" w:type="dxa"/>
        </w:tblCellMar>
      </w:tblPr>
      <w:tblGrid>
        <w:gridCol w:w="1161"/>
        <w:gridCol w:w="1021"/>
        <w:gridCol w:w="1028"/>
        <w:gridCol w:w="214"/>
        <w:gridCol w:w="806"/>
        <w:gridCol w:w="119"/>
        <w:gridCol w:w="119"/>
        <w:gridCol w:w="119"/>
        <w:gridCol w:w="119"/>
        <w:gridCol w:w="214"/>
        <w:gridCol w:w="806"/>
        <w:gridCol w:w="119"/>
        <w:gridCol w:w="109"/>
        <w:gridCol w:w="109"/>
        <w:gridCol w:w="109"/>
        <w:gridCol w:w="234"/>
        <w:gridCol w:w="754"/>
        <w:gridCol w:w="130"/>
        <w:gridCol w:w="130"/>
        <w:gridCol w:w="130"/>
        <w:gridCol w:w="130"/>
        <w:gridCol w:w="268"/>
        <w:gridCol w:w="272"/>
        <w:gridCol w:w="359"/>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for the three months ended September 30, 2023 and 2022 was $225.6 million and $232.1 million, respectively. Service revenue for the three months ended September 30, 2023 decreased by $6.5 million, or 2.8%, when compared to the three months ended September 30, 2022.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528" w:type="dxa"/>
        <w:jc w:val="left"/>
        <w:tblInd w:w="0" w:type="dxa"/>
        <w:tblLayout w:type="fixed"/>
        <w:tblCellMar>
          <w:top w:w="28" w:type="dxa"/>
          <w:left w:w="28" w:type="dxa"/>
          <w:bottom w:w="28" w:type="dxa"/>
          <w:right w:w="28" w:type="dxa"/>
        </w:tblCellMar>
      </w:tblPr>
      <w:tblGrid>
        <w:gridCol w:w="781"/>
        <w:gridCol w:w="687"/>
        <w:gridCol w:w="691"/>
        <w:gridCol w:w="214"/>
        <w:gridCol w:w="806"/>
        <w:gridCol w:w="119"/>
        <w:gridCol w:w="119"/>
        <w:gridCol w:w="119"/>
        <w:gridCol w:w="119"/>
        <w:gridCol w:w="214"/>
        <w:gridCol w:w="806"/>
        <w:gridCol w:w="119"/>
        <w:gridCol w:w="109"/>
        <w:gridCol w:w="109"/>
        <w:gridCol w:w="109"/>
        <w:gridCol w:w="234"/>
        <w:gridCol w:w="754"/>
        <w:gridCol w:w="130"/>
        <w:gridCol w:w="130"/>
        <w:gridCol w:w="130"/>
        <w:gridCol w:w="130"/>
        <w:gridCol w:w="268"/>
        <w:gridCol w:w="272"/>
        <w:gridCol w:w="3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 over period declines in Digital Customer Experience and AI Services contributed 2.4% and 2.5%, respectively, partially offset by growth in Trust and Safety which contributed a 2.1% reduction, of the total decrease of 2.8% for the three months ended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3.6% decline in Digital Customer Experience was primarily driven by a decrease from existing clients in On Demand Travel + Transportation, Social Media and FinTech. These decreases were partially offset by an increase from existing clients in Technology and new clients in Retail + E-Commerce and FinTech.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10.9% growth in Trust and Safety was primarily driven by an increase from existing clients in On Demand Travel + Transportation and new clients in FinTech, partially offset by a decrease from existing clients in FinTech.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15.7% decline in AI Services was primarily driven by a decrease from existing clients in Social Media and On Demand Travel + Transportation.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7199" w:type="dxa"/>
        <w:jc w:val="left"/>
        <w:tblInd w:w="0" w:type="dxa"/>
        <w:tblLayout w:type="fixed"/>
        <w:tblCellMar>
          <w:top w:w="28" w:type="dxa"/>
          <w:left w:w="28" w:type="dxa"/>
          <w:bottom w:w="28" w:type="dxa"/>
          <w:right w:w="28" w:type="dxa"/>
        </w:tblCellMar>
      </w:tblPr>
      <w:tblGrid>
        <w:gridCol w:w="662"/>
        <w:gridCol w:w="582"/>
        <w:gridCol w:w="586"/>
        <w:gridCol w:w="214"/>
        <w:gridCol w:w="806"/>
        <w:gridCol w:w="119"/>
        <w:gridCol w:w="119"/>
        <w:gridCol w:w="119"/>
        <w:gridCol w:w="119"/>
        <w:gridCol w:w="214"/>
        <w:gridCol w:w="806"/>
        <w:gridCol w:w="119"/>
        <w:gridCol w:w="109"/>
        <w:gridCol w:w="109"/>
        <w:gridCol w:w="109"/>
        <w:gridCol w:w="234"/>
        <w:gridCol w:w="754"/>
        <w:gridCol w:w="130"/>
        <w:gridCol w:w="130"/>
        <w:gridCol w:w="130"/>
        <w:gridCol w:w="130"/>
        <w:gridCol w:w="268"/>
        <w:gridCol w:w="272"/>
        <w:gridCol w:w="3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services provided from our delivery sites in the Philippines declined primarily from declines in two of our service offerings. Digital Customer Experience contributed 2.3% of the total decrease primarily driven by clients in On Demand Travel + Transportation and FinTech, partially offset by clients in Technology. AI Services contributed 2.2% of the total decrease primarily driven by clients in Social Media. These decreases were mostly offset by a 3.6% increase contributed by Trust and Safety primarily driven by clients in FinTech and On Demand Travel + Transportation.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services provided from our delivery sites in the United States declined primarily from declines in all three of our service offerings. Digital Customer Experience contributed 22.6% of the total decrease primarily driven by clients in Social Media, FinTech and Entertainment + Gaming. Trust and Safety contributed 6.3% of the total decrease primarily driven by clients in FinTech. AI Services contributed 5.0% of the total decrease primarily driven by clients in On Demand Travel + Transportation and Social Media.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services provided from our delivery sites in India grew primarily from expansion in two of our service offerings. Trust and Safety contributed 14.4% of the total increase primarily driven by clients in On Demand Travel + Transportation. The increase was partially offset by a 3.8% decrease contributed by Digital Customer Experience driven by clients in On Demand Travel + Transportation, partially offset by clients in Technology, and a 2.0% decrease by AI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services provided from our delivery sites in the Rest of World grew from expansion in Digital Customer Experience. Digital Customer Experience contributed 32.9% of the total increase primarily driven by clients in FinTech, Retail + E-Commerce, Entertainment + Gaming, On Demand Travel + Transportation and HealthTech, partially offset by clients in Social Media. The increase was partially offset by a 1.4% decrease contributed by Trust and Safety and a 0.4% decrease contributed by AI Services. Growth in the Rest of World was led by Latin America.</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for the three months ended September 30, 2023 and 2022 was $130.1 million and $134.5 million, respectively. Cost of services for the three months ended September 30, 2023 decreased by $4.4 million, or 3.3%, when compared to the three months ended September 30, 2022. The decrease was primarily driven by lower personnel costs of $3.4 million, including the impact of certain clients electing to shift work from the United States to the Philippines and India. The remaining decrease included a reduction of costs previously incurred while transitioning to a hybrid model.</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three months ended September 30, 2023 and 2022 was $57.1 million and $62.3 million, respectively. Selling, general, and administrative expense for the three months ended September 30, 2023 decreased by $5.2 million, or 8.4%, when compared to the three months ended September 30, 2022. The decrease was primarily driven by lower personnel costs of $5.7 million, due primarily to a reduction in earn-out compensation and stock-based compensation expense, as well as the impact of optimization efforts as we drive efficiencies across functions. The remaining decrease was associated with our optimization efforts, including lower insurance expense based on renegotiated rates, as well as bad debt expense. These decreases were partially offset by higher software and travel costs.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disposal of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for the three months ended September 30, 2023 was $0.6 million, associated with optimizing our footprint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three months ended September 30, 2023 and 2022 was $2.9 million and $7.6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expense for the three months ended September 30, 2023 and 2022 was $5.7 million and $3.9 million, respectively. Changes in financing expense are primarily driven by the rate of SOFR and LIBOR used to calculate the interest rate of our debt, as well as additional borrowings during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for the three months ended September 30, 2023 and 2022 was $4.6 million and $3.9 million, respectively. The effective tax rate for the three months ended September 30, 2023 and 2022 was 31.8% and 42.1%, respectively. Costs related to the issuance of stock-based compensation and costs related to the acquisition of heloo within the provision for income taxes calculation are adjusted for Non-GAAP purposes. If those costs are removed, the provision for income taxes would have been $7.5 million and $6.4 million and the effective tax rate would have been 26.5% and 20.9% for the three months ended September 30, 2023 and 2022,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nine months ended September 30, 2023 and 2022:</w:t>
      </w:r>
    </w:p>
    <w:tbl>
      <w:tblPr>
        <w:tblW w:w="8521" w:type="dxa"/>
        <w:jc w:val="left"/>
        <w:tblInd w:w="0" w:type="dxa"/>
        <w:tblLayout w:type="fixed"/>
        <w:tblCellMar>
          <w:top w:w="28" w:type="dxa"/>
          <w:left w:w="28" w:type="dxa"/>
          <w:bottom w:w="28" w:type="dxa"/>
          <w:right w:w="28" w:type="dxa"/>
        </w:tblCellMar>
      </w:tblPr>
      <w:tblGrid>
        <w:gridCol w:w="1161"/>
        <w:gridCol w:w="1021"/>
        <w:gridCol w:w="1028"/>
        <w:gridCol w:w="207"/>
        <w:gridCol w:w="779"/>
        <w:gridCol w:w="115"/>
        <w:gridCol w:w="115"/>
        <w:gridCol w:w="115"/>
        <w:gridCol w:w="115"/>
        <w:gridCol w:w="207"/>
        <w:gridCol w:w="779"/>
        <w:gridCol w:w="115"/>
        <w:gridCol w:w="109"/>
        <w:gridCol w:w="109"/>
        <w:gridCol w:w="109"/>
        <w:gridCol w:w="223"/>
        <w:gridCol w:w="820"/>
        <w:gridCol w:w="124"/>
        <w:gridCol w:w="124"/>
        <w:gridCol w:w="124"/>
        <w:gridCol w:w="124"/>
        <w:gridCol w:w="276"/>
        <w:gridCol w:w="280"/>
        <w:gridCol w:w="342"/>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for the nine months ended September 30, 2023 and 2022 was $690.1 million and $718.3 million, respectively. Service revenue for the nine months ended September 30, 2023 decreased by $28.2 million, or 3.9%, when compared to the nine months ended September 30, 2022.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364" w:type="dxa"/>
        <w:jc w:val="left"/>
        <w:tblInd w:w="0" w:type="dxa"/>
        <w:tblLayout w:type="fixed"/>
        <w:tblCellMar>
          <w:top w:w="28" w:type="dxa"/>
          <w:left w:w="28" w:type="dxa"/>
          <w:bottom w:w="28" w:type="dxa"/>
          <w:right w:w="28" w:type="dxa"/>
        </w:tblCellMar>
      </w:tblPr>
      <w:tblGrid>
        <w:gridCol w:w="781"/>
        <w:gridCol w:w="687"/>
        <w:gridCol w:w="691"/>
        <w:gridCol w:w="207"/>
        <w:gridCol w:w="779"/>
        <w:gridCol w:w="115"/>
        <w:gridCol w:w="115"/>
        <w:gridCol w:w="115"/>
        <w:gridCol w:w="115"/>
        <w:gridCol w:w="207"/>
        <w:gridCol w:w="779"/>
        <w:gridCol w:w="115"/>
        <w:gridCol w:w="109"/>
        <w:gridCol w:w="109"/>
        <w:gridCol w:w="109"/>
        <w:gridCol w:w="223"/>
        <w:gridCol w:w="820"/>
        <w:gridCol w:w="124"/>
        <w:gridCol w:w="124"/>
        <w:gridCol w:w="124"/>
        <w:gridCol w:w="124"/>
        <w:gridCol w:w="224"/>
        <w:gridCol w:w="226"/>
        <w:gridCol w:w="34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year over year declines in Digital Customer Experience, Trust and Safety, and AI Services contributed 3.4%, 0.2%, and 0.3% respectively, of the total decrease of 3.9% for the nine months ended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5.1% decline in Digital Customer Experience was primarily driven by a decrease from existing clients in FinTech, Social Media and HealthTech. These decreases were partially offset by an increase from existing clients in Technology and Entertainment + Gaming, as well as new clients in Retail + E-Commerce, FinTech, Technology, HealthTech and On Demand Travel + Transportation.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1.2% decline in Trust and Safety was primarily driven by a decrease from existing clients in Social Media and FinTech. These decreases were mostly offset by an increase from existing clients in On Demand Travel + Transportation, Entertainment + Gaming, Technology and Retail + E-Commerce, as well as new clients in FinTech.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1.9% decline in AI Services was primarily driven by a decrease from existing clients in Social Media and HealthTech, partially offset by an increase from existing clients in Entertainment + Gaming and new clients in HealthTech. </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7125" w:type="dxa"/>
        <w:jc w:val="left"/>
        <w:tblInd w:w="0" w:type="dxa"/>
        <w:tblLayout w:type="fixed"/>
        <w:tblCellMar>
          <w:top w:w="28" w:type="dxa"/>
          <w:left w:w="28" w:type="dxa"/>
          <w:bottom w:w="28" w:type="dxa"/>
          <w:right w:w="28" w:type="dxa"/>
        </w:tblCellMar>
      </w:tblPr>
      <w:tblGrid>
        <w:gridCol w:w="662"/>
        <w:gridCol w:w="582"/>
        <w:gridCol w:w="586"/>
        <w:gridCol w:w="207"/>
        <w:gridCol w:w="779"/>
        <w:gridCol w:w="115"/>
        <w:gridCol w:w="115"/>
        <w:gridCol w:w="115"/>
        <w:gridCol w:w="115"/>
        <w:gridCol w:w="207"/>
        <w:gridCol w:w="779"/>
        <w:gridCol w:w="115"/>
        <w:gridCol w:w="109"/>
        <w:gridCol w:w="109"/>
        <w:gridCol w:w="109"/>
        <w:gridCol w:w="223"/>
        <w:gridCol w:w="820"/>
        <w:gridCol w:w="124"/>
        <w:gridCol w:w="124"/>
        <w:gridCol w:w="124"/>
        <w:gridCol w:w="124"/>
        <w:gridCol w:w="269"/>
        <w:gridCol w:w="271"/>
        <w:gridCol w:w="342"/>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(28,168)</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generated from services provided from our delivery sites in the Philippines grew primarily from expansion in two of our service offerings, including the impact of certain clients electing to shift work from the United States. Trust and Safety contributed 5.4% of the total increase primarily driven by clients in Social Media, On Demand Travel + Transportation, FinTech and Technology. AI Services contributed 0.3% of the total increase. These increases were partially offset by a 3.4% decrease contributed by Digital Customer Experience primarily driven by clients in On Demand Travel + Transportation, FinTech, Retail + E-Commerce and HealthTech, partially offset by clients in Technology.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generated from services provided from our delivery sites in the United States declined primarily from certain of our clients electing to shift work from the United States to the Philippines and India as well as decreased spending from clients in FinTech, particularly crypto and equity trading clients. Digital Customer Experience contributed 24.7% of the total decrease primarily driven by clients in FinTech, Social Media, HealthTech and Entertainment + Gaming, partially offset by clients in On Demand Travel + Transportation and Technology. Trust and Safety contributed 15.5% of the total decrease primarily driven by clients in Social Media and FinTech. AI Services contributed 2.3% of the total decrease primarily driven by clients in Social Media, Retail + E-Commerce and On Demand Travel + Transportation, partially offset by clients in HealthTech.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generated from services provided from our delivery sites in India grew primarily from expansion in all three of our service offerings, including the impact of certain clients electing to shift work from the United States. Trust and Safety contributed 12.6% of the total increase primarily driven by clients in On Demand Travel + Transportation and Social Media. Digital Customer Experience and AI Services each contributed 1.7% of the total increase.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from services provided from our delivery sites in the Rest of World grew from expansion in all three of our service offerings. Digital Customer Experience contributed 53.1% of the total increase primarily driven by clients in FinTech, On Demand Travel + Transportation, Entertainment + Gaming and Retail + E-Commerce, partially offset by clients in Social Media. AI Services contributed 0.7% of the total increase. Trust and Safety contributed 0.2% of the total increase. Growth in the Rest of World was due to consistent growth across Latin America, Asia and Europe.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for the nine months ended September 30, 2023 and 2022 was $401.5 million and $419.4 million, respectively. Cost of services for the nine months ended September 30, 2023 decreased by $17.9 million, or 4.3%, when compared to the nine months ended September 30, 2022. The decrease was primarily driven by lower personnel costs of $16.6 million, including the impact of certain clients electing to shift work from the United States to the Philippines and India. The remaining decrease was associated with a reduction of costs previously incurred while transitioning to a hybrid model, and lower recruiting and professional development costs, partially offset by site expansions and certain teammates operating on-site.</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nine months ended September 30, 2023 and 2022 was $179.6 million and $195.5 million, respectively. Selling, general, and administrative expense for the nine months ended September 30, 2023 decreased by $15.9 million, or 8.1%, when compared to the nine months ended September 30, 2022. The decrease was primarily driven by lower personnel costs of $12.2 million, due primarily to a reduction in stock-based compensation expense and the impact of optimization efforts as we drive efficiencies across functions, partially offset by earn-out consideration recognized as compensation expense. The remaining decrease was associated with our optimization efforts, including reductions in recruiting and professional development costs, professional fees and services and lower insurance expense based on renegotiated rates, as well as bad debt expense. These decreases were partially offset by higher software and travel costs.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the nine months ended September 30, 2023 and 2022 was $29.5 million and $28.0 million, respectively. The increase in depreciation is a result of capital expenditures for leasehold improvements associated with site expansions.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nine months ended September 30, 2023 and 2022 was $15.3 million and $14.8 million, respectively. The increase in amortization is due to the acquisition of heloo on April 15, 2022.</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disposal of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for the nine months ended September 30, 2023 was $0.8 million, associated with optimizing our footprint in the United States.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nine months ended September 30, 2023 and 2022 was immaterial and $16.0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expense for the nine months ended September 30, 2023 and 2022 was $16.1 million and $7.7 million, respectively. Changes in financing expense are primarily driven by the rate of SOFR and LIBOR used to calculate the interest rate of our debt and additional borrowings during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for the nine months ended September 30, 2023 and 2022 was $17.9 million and $12.3 million, respectively. Our effective tax rate for the nine months ended September 30, 2023 and 2022 was 37.9% and 33.2%, respectively. Costs related to the issuance of stock-based compensation and costs related to the acquisition of heloo within the provision for income taxes calculation are adjusted for Non-GAAP purposes. If those costs are removed, the provision for income taxes would have been $22.9 million and $20.1 million and the effective tax rate would have been 23.0% and 20.8%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Revenue by Top Clients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percentage of our total service revenue derived from our largest clients for the three and nine months ended September 30, 2023 and 2022:</w:t>
      </w:r>
    </w:p>
    <w:tbl>
      <w:tblPr>
        <w:tblW w:w="6978" w:type="dxa"/>
        <w:jc w:val="left"/>
        <w:tblInd w:w="0" w:type="dxa"/>
        <w:tblLayout w:type="fixed"/>
        <w:tblCellMar>
          <w:top w:w="28" w:type="dxa"/>
          <w:left w:w="28" w:type="dxa"/>
          <w:bottom w:w="28" w:type="dxa"/>
          <w:right w:w="28" w:type="dxa"/>
        </w:tblCellMar>
      </w:tblPr>
      <w:tblGrid>
        <w:gridCol w:w="517"/>
        <w:gridCol w:w="451"/>
        <w:gridCol w:w="456"/>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we generated 19% and 22%, respectively, of our service revenue from our largest client. For the nine months ended September 30, 2023 and 2022, we generated 19% and 23%, respectively, of our service revenue from our largest client.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identify and target high growth industry verticals and clients. Our strategy is to acquire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("EPS"), EBITDA, Adjusted EBITDA, Free Cash Flow and Conversion of Adjusted EBITDA, as key measures to assess the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ans-serif" w:hAnsi="Times New Roman;sans-serif"/>
          <w:b w:val="false"/>
          <w:color w:val="000000"/>
          <w:sz w:val="20"/>
          <w:shd w:fill="FFFFFF" w:val="clear"/>
        </w:rPr>
        <w:t>, transaction costs,</w:t>
      </w:r>
      <w:r>
        <w:rPr>
          <w:color w:val="000000"/>
        </w:rPr>
        <w:t xml:space="preserve"> </w:t>
      </w:r>
      <w:r>
        <w:rPr>
          <w:rFonts w:ascii="Times New Roman;sans-serif" w:hAnsi="Times New Roman;sans-serif"/>
          <w:b w:val="false"/>
          <w:color w:val="000000"/>
          <w:sz w:val="20"/>
        </w:rPr>
        <w:t>earn-out consideration, the effect of foreign currency gains and losses, gains and losses on disposals of assets, non-recurring severance costs,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three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tbl>
      <w:tblPr>
        <w:tblW w:w="8237" w:type="dxa"/>
        <w:jc w:val="left"/>
        <w:tblInd w:w="0" w:type="dxa"/>
        <w:tblLayout w:type="fixed"/>
        <w:tblCellMar>
          <w:top w:w="28" w:type="dxa"/>
          <w:left w:w="28" w:type="dxa"/>
          <w:bottom w:w="28" w:type="dxa"/>
          <w:right w:w="28" w:type="dxa"/>
        </w:tblCellMar>
      </w:tblPr>
      <w:tblGrid>
        <w:gridCol w:w="1004"/>
        <w:gridCol w:w="882"/>
        <w:gridCol w:w="889"/>
        <w:gridCol w:w="205"/>
        <w:gridCol w:w="676"/>
        <w:gridCol w:w="267"/>
        <w:gridCol w:w="114"/>
        <w:gridCol w:w="114"/>
        <w:gridCol w:w="114"/>
        <w:gridCol w:w="205"/>
        <w:gridCol w:w="676"/>
        <w:gridCol w:w="267"/>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0"/>
        <w:gridCol w:w="2838"/>
        <w:gridCol w:w="4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tax impacts of adjustments to net income which resulted in a tax benefit during the period, including stock-based compensation expense and earn-out consideration.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Net Income Margin represents Adjusted Net Income divided by service revenue.</w:t>
            </w:r>
          </w:p>
        </w:tc>
      </w:tr>
    </w:tbl>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nine months ended September 30, 2023 and 2022:</w:t>
      </w:r>
    </w:p>
    <w:tbl>
      <w:tblPr>
        <w:tblW w:w="8136"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736"/>
        <w:gridCol w:w="256"/>
        <w:gridCol w:w="109"/>
        <w:gridCol w:w="109"/>
        <w:gridCol w:w="109"/>
        <w:gridCol w:w="223"/>
        <w:gridCol w:w="820"/>
        <w:gridCol w:w="124"/>
        <w:gridCol w:w="124"/>
        <w:gridCol w:w="124"/>
        <w:gridCol w:w="124"/>
        <w:gridCol w:w="269"/>
        <w:gridCol w:w="271"/>
        <w:gridCol w:w="342"/>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967"/>
        <w:gridCol w:w="2846"/>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 and other non-recurring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tax impacts of adjustments to net income which resulted in a tax benefit during the period, including stock-based compensation expense and earn-out consideration.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Net Income Margin represents Adjusted Net Income divided by service revenue.</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diluted EPS, the most directly comparable GAAP measure, to Adjusted EPS for the three and nine months ended September 30, 2023 and 2022:</w:t>
      </w:r>
    </w:p>
    <w:tbl>
      <w:tblPr>
        <w:tblW w:w="9996" w:type="dxa"/>
        <w:jc w:val="left"/>
        <w:tblInd w:w="0" w:type="dxa"/>
        <w:tblLayout w:type="fixed"/>
        <w:tblCellMar>
          <w:top w:w="28" w:type="dxa"/>
          <w:left w:w="28" w:type="dxa"/>
          <w:bottom w:w="28" w:type="dxa"/>
          <w:right w:w="28" w:type="dxa"/>
        </w:tblCellMar>
      </w:tblPr>
      <w:tblGrid>
        <w:gridCol w:w="1474"/>
        <w:gridCol w:w="1299"/>
        <w:gridCol w:w="1306"/>
        <w:gridCol w:w="284"/>
        <w:gridCol w:w="677"/>
        <w:gridCol w:w="154"/>
        <w:gridCol w:w="154"/>
        <w:gridCol w:w="154"/>
        <w:gridCol w:w="154"/>
        <w:gridCol w:w="311"/>
        <w:gridCol w:w="740"/>
        <w:gridCol w:w="154"/>
        <w:gridCol w:w="109"/>
        <w:gridCol w:w="109"/>
        <w:gridCol w:w="109"/>
        <w:gridCol w:w="284"/>
        <w:gridCol w:w="677"/>
        <w:gridCol w:w="147"/>
        <w:gridCol w:w="147"/>
        <w:gridCol w:w="147"/>
        <w:gridCol w:w="147"/>
        <w:gridCol w:w="311"/>
        <w:gridCol w:w="740"/>
        <w:gridCol w:w="208"/>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101,920,413 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103,073,208 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Reflects the aggregate adjustments made to reconcile net income to Adjusted Net Income, as noted in the above table, divided by the GAAP diluted weighted-average number of shares outstanding for the relevant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non-recurring severance costs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three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tbl>
      <w:tblPr>
        <w:tblW w:w="8237" w:type="dxa"/>
        <w:jc w:val="left"/>
        <w:tblInd w:w="0" w:type="dxa"/>
        <w:tblLayout w:type="fixed"/>
        <w:tblCellMar>
          <w:top w:w="28" w:type="dxa"/>
          <w:left w:w="28" w:type="dxa"/>
          <w:bottom w:w="28" w:type="dxa"/>
          <w:right w:w="28" w:type="dxa"/>
        </w:tblCellMar>
      </w:tblPr>
      <w:tblGrid>
        <w:gridCol w:w="1003"/>
        <w:gridCol w:w="883"/>
        <w:gridCol w:w="889"/>
        <w:gridCol w:w="205"/>
        <w:gridCol w:w="676"/>
        <w:gridCol w:w="267"/>
        <w:gridCol w:w="114"/>
        <w:gridCol w:w="114"/>
        <w:gridCol w:w="114"/>
        <w:gridCol w:w="205"/>
        <w:gridCol w:w="676"/>
        <w:gridCol w:w="267"/>
        <w:gridCol w:w="109"/>
        <w:gridCol w:w="109"/>
        <w:gridCol w:w="109"/>
        <w:gridCol w:w="234"/>
        <w:gridCol w:w="754"/>
        <w:gridCol w:w="130"/>
        <w:gridCol w:w="130"/>
        <w:gridCol w:w="130"/>
        <w:gridCol w:w="130"/>
        <w:gridCol w:w="314"/>
        <w:gridCol w:w="316"/>
        <w:gridCol w:w="359"/>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55,456 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(6)</w:t>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(6)</w:t>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0"/>
        <w:gridCol w:w="2838"/>
        <w:gridCol w:w="4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EBITDA Margin represents Adjusted EBITDA divided by service revenue.</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nine months ended September 30, 2023 and 2022:</w:t>
      </w:r>
    </w:p>
    <w:tbl>
      <w:tblPr>
        <w:tblW w:w="8231" w:type="dxa"/>
        <w:jc w:val="left"/>
        <w:tblInd w:w="0" w:type="dxa"/>
        <w:tblLayout w:type="fixed"/>
        <w:tblCellMar>
          <w:top w:w="28" w:type="dxa"/>
          <w:left w:w="28" w:type="dxa"/>
          <w:bottom w:w="28" w:type="dxa"/>
          <w:right w:w="28" w:type="dxa"/>
        </w:tblCellMar>
      </w:tblPr>
      <w:tblGrid>
        <w:gridCol w:w="1003"/>
        <w:gridCol w:w="883"/>
        <w:gridCol w:w="889"/>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278"/>
        <w:gridCol w:w="278"/>
        <w:gridCol w:w="356"/>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(6)</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(6)</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7"/>
        <w:gridCol w:w="2846"/>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 and other non-recurring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EBITDA Margin represents Adjusted EBITDA divided by service revenue.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(excluding payment for earn-out consideration) is a non-GAAP liquidity measure that represents Free Cash Flow before the payment of earn-out consideration which would hinder comparison of the performance of our business on a period-over-period basis or with other businesses. Our management believes that the inclusion of this supplementary adjustment to Free Cash Flow is appropriate to provide additional information to investors about this unusual item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the most directly comparable GAAP measure, to Free Cash Flow and Free Cash Flow (excluding payment for earn-out consideration) for the nine months ended September 30, 2023 and 2022:</w:t>
      </w:r>
    </w:p>
    <w:tbl>
      <w:tblPr>
        <w:tblW w:w="8807" w:type="dxa"/>
        <w:jc w:val="center"/>
        <w:tblInd w:w="0" w:type="dxa"/>
        <w:tblLayout w:type="fixed"/>
        <w:tblCellMar>
          <w:top w:w="28" w:type="dxa"/>
          <w:left w:w="28" w:type="dxa"/>
          <w:bottom w:w="28" w:type="dxa"/>
          <w:right w:w="28" w:type="dxa"/>
        </w:tblCellMar>
      </w:tblPr>
      <w:tblGrid>
        <w:gridCol w:w="2196"/>
        <w:gridCol w:w="1923"/>
        <w:gridCol w:w="1940"/>
        <w:gridCol w:w="196"/>
        <w:gridCol w:w="736"/>
        <w:gridCol w:w="256"/>
        <w:gridCol w:w="109"/>
        <w:gridCol w:w="109"/>
        <w:gridCol w:w="109"/>
        <w:gridCol w:w="196"/>
        <w:gridCol w:w="736"/>
        <w:gridCol w:w="301"/>
      </w:tblGrid>
      <w:tr>
        <w:trPr/>
        <w:tc>
          <w:tcPr>
            <w:tcW w:w="219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114,464 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earn-out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(excluding payment for earn-out consideration)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w:t>
            </w:r>
            <w:r>
              <w:rPr>
                <w:rFonts w:ascii="Times New Roman;sans-serif" w:hAnsi="Times New Roman;sans-serif"/>
                <w:b w:val="false"/>
                <w:color w:val="000000"/>
                <w:sz w:val="12"/>
              </w:rPr>
              <w:t>(1)</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 (excluding payment for earn-out consideration)</w:t>
            </w:r>
            <w:r>
              <w:rPr>
                <w:rFonts w:ascii="Times New Roman;sans-serif" w:hAnsi="Times New Roman;sans-serif"/>
                <w:b w:val="false"/>
                <w:color w:val="000000"/>
                <w:sz w:val="12"/>
              </w:rPr>
              <w:t>(1)</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Conversion of Adjusted EBITDA represents Free Cash Flow divided by Adjusted EBITDA. Conversion of Adjusted EBITDA (excluding payment for earn-out consideration) represents Free Cash Flow (excluding payment for earn-out consideration) divided by Adjusted EBITDA.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principal sources of liquidity were cash and cash equivalents totaling $114.6 million, which were held for working capital purposes, as well as the borrowing availability under the 2022 Revolving Credit Facility of $190.0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total indebtedness, net of debt financing fees was $265.8 million. The interest rate in effect for the 2022 Term Loan Facility as of September 30, 2023 was 7.674% per annum. We were in compliance with all debt covenants as of September 30, 2023. See Note 8,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repurchased 8,155,067 shares of our Class A common stock under the share repurchase program for $92.7 million, which we funded principally with available cash. 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As of September 30, 2023, approximately $76.5 million remained available for share repurchases under our share repurchase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from operating, investing and financing activities for the periods indicated:</w:t>
      </w:r>
    </w:p>
    <w:tbl>
      <w:tblPr>
        <w:tblW w:w="6267" w:type="dxa"/>
        <w:jc w:val="center"/>
        <w:tblInd w:w="0" w:type="dxa"/>
        <w:tblLayout w:type="fixed"/>
        <w:tblCellMar>
          <w:top w:w="28" w:type="dxa"/>
          <w:left w:w="28" w:type="dxa"/>
          <w:bottom w:w="28" w:type="dxa"/>
          <w:right w:w="28" w:type="dxa"/>
        </w:tblCellMar>
      </w:tblPr>
      <w:tblGrid>
        <w:gridCol w:w="1331"/>
        <w:gridCol w:w="1170"/>
        <w:gridCol w:w="1174"/>
        <w:gridCol w:w="207"/>
        <w:gridCol w:w="778"/>
        <w:gridCol w:w="115"/>
        <w:gridCol w:w="115"/>
        <w:gridCol w:w="115"/>
        <w:gridCol w:w="115"/>
        <w:gridCol w:w="207"/>
        <w:gridCol w:w="778"/>
        <w:gridCol w:w="162"/>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nine months ended September 30, 2023 was $103.9 million compared to net cash provided by operating activities of $114.5 million for the nine months ended September 30, 2022. Net cash provided by operating activities for the nine months ended September 30, 2023 reflects net income of $29.4 million, as well as the add back for non-cash charges totaling $94.1 million, partially offset by changes in operating assets and liabilities of $19.6 million. Non-cash charges primarily consisted of $42.3 million in stock-based compensation expense, $29.5 million of depreciation and $15.3 million of amortization related to intangibles. Net cash provided by operating activities for the nine months ended September 30, 2022 reflects net income of $24.7 million, as well as the add back for non-cash charges totaling $112.7 million, primarily driven by $54.8 million in stock-based compensation expense, $28.0 million of depreciation, $14.8 million of amortization related to intangibles and $13.5 million of unrealized foreign exchange losses on forward contracts. These changes were partially offset by changes in operating assets and liabilities of $22.9 million.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2023 was $23.9 million compared to net cash used in investing activities of $59.2 million for the nine months ended September 30, 2022. Purchase of property and equipment decreased primarily due to certain employees returning to the office driving higher utilization of equipment. Net cash used in investing activities for the nine months ended September 30, 2022 included the acquisition of heloo, net of cash received.</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nine months ended September 30, 2023 was $96.3 million compared to net cash provided by financing activities of $12.9 million for the nine months ended September 30, 2022. Net cash used in financing activities for the nine months ended September 30, 2023 consisted primarily of payments to acquire shares under our share repurchase program. Net cash provided by financing activities for the nine months ended September 30, 2022 consisted primarily of proceeds from the 2022 Credit Facilities, borrowings from our 2019 Revolving Credit Facility and proceeds from employee stock plans, partially offset by payments on long-term debt, including the repayment of all outstanding borrowings under the 2019 Credit Facilities, payments to acquire shares under our share repurchase program, payments for taxes related to net share settlement of equity awards and payments for debt financing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expose us to a variety of financial risks: market risk (includes foreign currency), interest rate risk and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and Indian rupee in the nine months ended September 30, 2023 and 2022.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average exchange rate of the Philippine peso against the U.S. dollar increased from </w:t>
      </w:r>
      <w:r>
        <w:rPr>
          <w:rFonts w:ascii="Times New Roman;sans-serif" w:hAnsi="Times New Roman;sans-serif"/>
          <w:b w:val="false"/>
          <w:color w:val="000000"/>
          <w:sz w:val="20"/>
          <w:shd w:fill="FFFFFF" w:val="clear"/>
        </w:rPr>
        <w:t>53.56</w:t>
      </w:r>
      <w:r>
        <w:rPr>
          <w:color w:val="000000"/>
        </w:rPr>
        <w:t xml:space="preserve"> </w:t>
      </w:r>
      <w:r>
        <w:rPr>
          <w:rFonts w:ascii="Times New Roman;sans-serif" w:hAnsi="Times New Roman;sans-serif"/>
          <w:b w:val="false"/>
          <w:color w:val="000000"/>
          <w:sz w:val="20"/>
        </w:rPr>
        <w:t>pesos during the nine months ended September 30, 2022 to 55.48 pesos during the nine months ended September 30, 2023, representing a depreciation of the Philippine peso of 3.6%. Based upon our level of operations during the nine months ended September 30, 2023, and excluding any forward contract arrangements that we had in place during that period, a 10% appreciation/depreciation in the Philippine peso against the U.S. dollar would have increased or decreased our expenses incurred and paid in the Philippine peso by approximately $27.7 million or $22.7 million, respectively, in the nine months ended September 30, 2023.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average exchange rate of the Indian rupee against the U.S. dollar increased from 77.31 rupees during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months ended September 30, 2022</w:t>
      </w:r>
      <w:r>
        <w:rPr>
          <w:color w:val="000000"/>
        </w:rPr>
        <w:t xml:space="preserve"> </w:t>
      </w:r>
      <w:r>
        <w:rPr>
          <w:rFonts w:ascii="Times New Roman;sans-serif" w:hAnsi="Times New Roman;sans-serif"/>
          <w:b w:val="false"/>
          <w:color w:val="000000"/>
          <w:sz w:val="20"/>
        </w:rPr>
        <w:t>to 82.35 rupees</w:t>
      </w:r>
      <w:r>
        <w:rPr>
          <w:color w:val="000000"/>
          <w:shd w:fill="FFFFFF" w:val="clear"/>
        </w:rPr>
        <w:t xml:space="preserve"> </w:t>
      </w:r>
      <w:r>
        <w:rPr>
          <w:rFonts w:ascii="Times New Roman;sans-serif" w:hAnsi="Times New Roman;sans-serif"/>
          <w:b w:val="false"/>
          <w:color w:val="000000"/>
          <w:sz w:val="20"/>
          <w:shd w:fill="FFFFFF" w:val="clear"/>
        </w:rPr>
        <w:t xml:space="preserve">during the nine months ended September 30, 2023, representing a depreciation of the Indian rupee of 6.5%. Based upon our level of operations during the nine months ended September 30, 2023, a 10% appreciation/depreciation in the Indian rupee against the U.S. dollar would have increased or decreased our expenses incurred and paid in the Indian rupee by approximately </w:t>
      </w:r>
      <w:r>
        <w:rPr>
          <w:rFonts w:ascii="Times New Roman;sans-serif" w:hAnsi="Times New Roman;sans-serif"/>
          <w:b w:val="false"/>
          <w:color w:val="000000"/>
          <w:sz w:val="20"/>
        </w:rPr>
        <w:t>$6.8 million</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$5.6 million</w:t>
      </w:r>
      <w:r>
        <w:rPr>
          <w:rFonts w:ascii="Times New Roman;sans-serif" w:hAnsi="Times New Roman;sans-serif"/>
          <w:b w:val="false"/>
          <w:color w:val="000000"/>
          <w:sz w:val="20"/>
          <w:shd w:fill="FFFFFF" w:val="clear"/>
        </w:rPr>
        <w:t>, respectively, in the nine months ended September 30, 2023.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Changes in the fair value of these derivatives are recognized in the consolidated statements of operations and are included in other expense, net.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realized gains of $3.4 million and $3.6 million, respectively, resulting from the settlement of forward contracts were included within 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we had outstanding forward contracts. The forward contract receivable (payable) resulting from changes in fair value was recorded under prepaid expenses and other current assets (accounts payable and accrued liabilities). For the three and nine months ended September 30, 2023, the unrealized losses on the forward contracts of $7.7 million and $6.0 million, respectively, were included within 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September 30, 2023 accrue interest at SOFR plus 2.25%. Our total principal balance outstanding as of September 30, 2023 was $267.3 million. Based on the outstanding balances and interest rates under the 2022 Credit Facilities as of September 30, 2023, a hypothetical 10% increase or decrease in SOFR would cause an increase or decrease in interest expense of approximately $1.4 million over the next 12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accounts receivable, net of allowance for doubtful accounts, of $179.1 million, of which $49.7 million was owed by two of our clients. Collectively, these clients represented approximately 27% of our gross accounts receivable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design and operation of our disclosure controls and procedures as of September 30, 2023. Based upon that evaluation, our Chief Executive Officer and Chief Financial Officer concluded that, as of September 30, 2023, the design and operation of the our disclosure controls and procedures were effective to accomplish their objectives at the reasonable assurance level.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653"/>
        <w:gridCol w:w="399"/>
        <w:gridCol w:w="401"/>
        <w:gridCol w:w="647"/>
        <w:gridCol w:w="467"/>
        <w:gridCol w:w="468"/>
        <w:gridCol w:w="109"/>
        <w:gridCol w:w="109"/>
        <w:gridCol w:w="109"/>
        <w:gridCol w:w="277"/>
        <w:gridCol w:w="787"/>
        <w:gridCol w:w="154"/>
        <w:gridCol w:w="109"/>
        <w:gridCol w:w="109"/>
        <w:gridCol w:w="109"/>
        <w:gridCol w:w="907"/>
        <w:gridCol w:w="750"/>
        <w:gridCol w:w="752"/>
        <w:gridCol w:w="109"/>
        <w:gridCol w:w="109"/>
        <w:gridCol w:w="109"/>
        <w:gridCol w:w="460"/>
        <w:gridCol w:w="1731"/>
        <w:gridCol w:w="371"/>
      </w:tblGrid>
      <w:tr>
        <w:trPr/>
        <w:tc>
          <w:tcPr>
            <w:tcW w:w="6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thousands)</w:t>
            </w:r>
          </w:p>
        </w:tc>
      </w:tr>
      <w:tr>
        <w:trPr/>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July 1, 2023 through July 31, 2023</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1,490,514 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1,490,514 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August 1, 2023 through August 31, 2023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1,943,930 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1,943,930 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2023 through September 30, 2023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1,107,539 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1,107,539 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4,541,983 </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4,541,983 </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Average price paid per share excludes commissions and other costs associated with the repurchases.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Section 13(r)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219 of the Iran Threat Reduction and Syria Human Rights Act of 2012, which added Section 13(r) of the Exchange Act, we hereby incorporate by reference herein Exhibit 99.1 of this report, which includes disclosures regarding activities at Mundys S.p.A., which may be, or may have been at the time considered to be, an affiliate of Blackstone and, therefore, our affiliate.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0"/>
        <w:gridCol w:w="243"/>
        <w:gridCol w:w="2815"/>
        <w:gridCol w:w="2732"/>
        <w:gridCol w:w="3901"/>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3.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20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irannoticeq32023.htm">
              <w:r>
                <w:rPr>
                  <w:rStyle w:val="InternetLink"/>
                  <w:rFonts w:ascii="Times New Roman;sans-serif" w:hAnsi="Times New Roman;sans-serif"/>
                  <w:b w:val="false"/>
                  <w:color w:val="0000FF"/>
                  <w:sz w:val="20"/>
                  <w:u w:val="single"/>
                </w:rPr>
                <w:t>Section 13(r) Disclosure.</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e2d854828d841f8b0c677cd042ccb64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3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6"/>
        <w:gridCol w:w="216"/>
        <w:gridCol w:w="216"/>
        <w:gridCol w:w="790"/>
        <w:gridCol w:w="790"/>
        <w:gridCol w:w="11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2023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723"/>
        <w:gridCol w:w="723"/>
        <w:gridCol w:w="10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2023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4" w:type="dxa"/>
        <w:jc w:val="right"/>
        <w:tblInd w:w="0" w:type="dxa"/>
        <w:tblLayout w:type="fixed"/>
        <w:tblCellMar>
          <w:top w:w="28" w:type="dxa"/>
          <w:left w:w="28" w:type="dxa"/>
          <w:bottom w:w="28" w:type="dxa"/>
          <w:right w:w="28" w:type="dxa"/>
        </w:tblCellMar>
      </w:tblPr>
      <w:tblGrid>
        <w:gridCol w:w="759"/>
        <w:gridCol w:w="668"/>
        <w:gridCol w:w="672"/>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September 30,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September 30,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13(r) Disclosure</w:t>
      </w:r>
    </w:p>
    <w:p>
      <w:pPr>
        <w:pStyle w:val="TextBody"/>
        <w:bidi w:val="0"/>
        <w:spacing w:before="0" w:after="0"/>
        <w:ind w:left="0" w:right="0" w:firstLine="49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The disclosure reproduced below was initially included in the Quarterly Report on Form 10-Q filed with the Securities and Exchange Commission by Blackstone Inc. (“Blackstone”) with respect to its fiscal quarter ended September 30, 2023, in accordance with Section 13(r) of the Securities Exchange Act of 1934, as amended, in regard to Mundys S.p.A. (formerly, Atlantia S.PA.).</w:t>
      </w:r>
      <w:r>
        <w:rPr>
          <w:color w:val="000000"/>
        </w:rPr>
        <w:t xml:space="preserve"> </w:t>
      </w:r>
      <w:r>
        <w:rPr>
          <w:rFonts w:ascii="Times New Roman;sans-serif" w:hAnsi="Times New Roman;sans-serif"/>
          <w:b w:val="false"/>
          <w:i/>
          <w:color w:val="000000"/>
          <w:sz w:val="20"/>
        </w:rPr>
        <w:t>Mundys S.p.A. may be, or may have been at the time considered to be, an affiliate of Blackstone, and therefore an affiliate of TaskUs, Inc. (“TaskUs”).</w:t>
      </w:r>
      <w:r>
        <w:rPr>
          <w:color w:val="000000"/>
        </w:rPr>
        <w:t xml:space="preserve"> </w:t>
      </w:r>
      <w:r>
        <w:rPr>
          <w:rFonts w:ascii="Times New Roman;sans-serif" w:hAnsi="Times New Roman;sans-serif"/>
          <w:b w:val="false"/>
          <w:i/>
          <w:color w:val="000000"/>
          <w:sz w:val="20"/>
        </w:rPr>
        <w:t>TaskUs did not independently verify or participate in the preparation of the disclosure reproduced below.</w:t>
      </w:r>
    </w:p>
    <w:p>
      <w:pPr>
        <w:pStyle w:val="TextBody"/>
        <w:bidi w:val="0"/>
        <w:spacing w:lineRule="auto" w:line="26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Blackstone included the following disclosure in its Quarterly Report on Form 10-Q for the quarter ended September 30, 2023:</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Mundys S.p.A. (formerly “Atlantia S.p.A.”) provided the disclosure reproduced below in connection with activities during the quarter ended September 30, 2023. We have not independently verified or participated in the preparation of this disclosure.</w:t>
      </w:r>
    </w:p>
    <w:p>
      <w:pPr>
        <w:pStyle w:val="TextBody"/>
        <w:bidi w:val="0"/>
        <w:spacing w:lineRule="auto" w:line="268" w:before="120" w:after="283"/>
        <w:ind w:left="0" w:right="0" w:firstLine="540"/>
        <w:jc w:val="both"/>
        <w:rPr>
          <w:color w:val="000000"/>
        </w:rPr>
      </w:pPr>
      <w:r>
        <w:rPr>
          <w:color w:val="000000"/>
        </w:rPr>
        <w:t>“</w:t>
      </w:r>
      <w:r>
        <w:rPr>
          <w:rFonts w:ascii="Times New Roman;sans-serif" w:hAnsi="Times New Roman;sans-serif"/>
          <w:b w:val="false"/>
          <w:color w:val="000000"/>
          <w:sz w:val="20"/>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September 30, 2023 was less than €65,000. Mundys S.p.A. does not track profits specifically attributable to these activities.”</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3000026/exhibit31thirdamendedandr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20310</Words>
  <Characters>114007</Characters>
  <CharactersWithSpaces>132677</CharactersWithSpaces>
  <Paragraphs>3101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