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6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CURRENT REPORT</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of The Securities Exchange Act of 1934</w:t>
      </w:r>
    </w:p>
    <w:p>
      <w:pPr>
        <w:pStyle w:val="TextBody"/>
        <w:bidi w:val="0"/>
        <w:spacing w:lineRule="auto" w:line="288" w:before="200" w:after="283"/>
        <w:jc w:val="center"/>
        <w:rPr/>
      </w:pPr>
      <w:r>
        <w:rPr>
          <w:rFonts w:ascii="Times New Roman;serif" w:hAnsi="Times New Roman;serif"/>
          <w:b/>
          <w:color w:val="000000"/>
          <w:sz w:val="20"/>
          <w:shd w:fill="FFFFFF" w:val="clear"/>
        </w:rPr>
        <w:t xml:space="preserve">Date of Report (Date of earliest event reported): </w:t>
      </w:r>
      <w:r>
        <w:rPr>
          <w:rFonts w:ascii="Times New Roman;serif" w:hAnsi="Times New Roman;serif"/>
          <w:b/>
          <w:color w:val="000000"/>
          <w:sz w:val="20"/>
        </w:rPr>
        <w:t>August 5, 2026</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TaskUs,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tbl>
      <w:tblPr>
        <w:tblW w:w="4662" w:type="dxa"/>
        <w:jc w:val="left"/>
        <w:tblInd w:w="0" w:type="dxa"/>
        <w:tblLayout w:type="fixed"/>
        <w:tblCellMar>
          <w:top w:w="28" w:type="dxa"/>
          <w:left w:w="28" w:type="dxa"/>
          <w:bottom w:w="28" w:type="dxa"/>
          <w:right w:w="28" w:type="dxa"/>
        </w:tblCellMar>
      </w:tblPr>
      <w:tblGrid>
        <w:gridCol w:w="764"/>
        <w:gridCol w:w="670"/>
        <w:gridCol w:w="680"/>
        <w:gridCol w:w="353"/>
        <w:gridCol w:w="353"/>
        <w:gridCol w:w="358"/>
        <w:gridCol w:w="433"/>
        <w:gridCol w:w="433"/>
        <w:gridCol w:w="618"/>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001-40482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1650 Independence Drive, Suite 100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Braunfels, Texas 78132</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(888) 400-8275</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(Registrant’s telephone number, including area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tbl>
      <w:tblPr>
        <w:tblW w:w="10205" w:type="dxa"/>
        <w:jc w:val="left"/>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601"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274"/>
        <w:gridCol w:w="274"/>
        <w:gridCol w:w="276"/>
        <w:gridCol w:w="109"/>
        <w:gridCol w:w="109"/>
        <w:gridCol w:w="109"/>
        <w:gridCol w:w="816"/>
        <w:gridCol w:w="816"/>
        <w:gridCol w:w="1157"/>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color w:val="000000"/>
          <w:sz w:val="20"/>
          <w:shd w:fill="FFFFFF" w:val="clear"/>
        </w:rPr>
        <w:t>Item 2.02 Results of Operations and Financial Condition</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5, 2026, TaskUs, Inc. (the “Company”) issued a press release announcing earnings for the second quarter ended June 30, 2026. A copy of the press release is furnished herewith as Exhibit 99.1 and is incorporated by reference herein.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tbl>
      <w:tblPr>
        <w:tblW w:w="6298"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467"/>
        <w:gridCol w:w="1467"/>
        <w:gridCol w:w="209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arningsreleaseex991q22026.htm">
              <w:r>
                <w:rPr>
                  <w:rStyle w:val="InternetLink"/>
                  <w:rFonts w:ascii="Times New Roman;serif" w:hAnsi="Times New Roman;serif"/>
                  <w:b w:val="false"/>
                  <w:color w:val="0000FF"/>
                  <w:sz w:val="20"/>
                  <w:u w:val="single"/>
                </w:rPr>
                <w:t>Press release of TaskUs, Inc., dated August 5,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4979" w:type="dxa"/>
        <w:jc w:val="left"/>
        <w:tblInd w:w="0" w:type="dxa"/>
        <w:tblLayout w:type="fixed"/>
        <w:tblCellMar>
          <w:top w:w="28" w:type="dxa"/>
          <w:left w:w="28" w:type="dxa"/>
          <w:bottom w:w="28" w:type="dxa"/>
          <w:right w:w="28" w:type="dxa"/>
        </w:tblCellMar>
      </w:tblPr>
      <w:tblGrid>
        <w:gridCol w:w="667"/>
        <w:gridCol w:w="587"/>
        <w:gridCol w:w="590"/>
        <w:gridCol w:w="210"/>
        <w:gridCol w:w="210"/>
        <w:gridCol w:w="210"/>
        <w:gridCol w:w="731"/>
        <w:gridCol w:w="731"/>
        <w:gridCol w:w="104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Rishabh Khemka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Rishabh Khemka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sans-serif" w:hAnsi="sans-serif"/>
          <w:b/>
          <w:color w:val="000000"/>
          <w:sz w:val="36"/>
        </w:rPr>
        <w:t xml:space="preserve">TaskUs Announces Fiscal </w:t>
      </w:r>
      <w:r>
        <w:rPr>
          <w:rFonts w:ascii="sans-serif" w:hAnsi="sans-serif"/>
          <w:b/>
          <w:color w:val="005CCF"/>
          <w:sz w:val="36"/>
        </w:rPr>
        <w:t>Second Quarter 2026 Results</w:t>
      </w:r>
    </w:p>
    <w:p>
      <w:pPr>
        <w:pStyle w:val="TextBody"/>
        <w:bidi w:val="0"/>
        <w:spacing w:lineRule="auto" w:line="288" w:before="200" w:after="283"/>
        <w:ind w:left="0" w:right="0" w:firstLine="540"/>
        <w:jc w:val="both"/>
        <w:rPr/>
      </w:pPr>
      <w:r>
        <w:rPr>
          <w:rFonts w:ascii="sans-serif" w:hAnsi="sans-serif"/>
          <w:b/>
          <w:color w:val="FF0074"/>
          <w:sz w:val="20"/>
        </w:rPr>
        <w:t>NEW BRAUNFELS, Texas, August 5, 2026</w:t>
      </w:r>
      <w:r>
        <w:rPr>
          <w:color w:val="000000"/>
        </w:rPr>
        <w:t xml:space="preserve"> — </w:t>
      </w:r>
      <w:r>
        <w:rPr>
          <w:rFonts w:ascii="sans-serif" w:hAnsi="sans-serif"/>
          <w:b w:val="false"/>
          <w:color w:val="000000"/>
          <w:sz w:val="20"/>
        </w:rPr>
        <w:t>TaskUs, Inc. (Nasdaq: TASK), a leading provider of outsourced digital services and next-generation customer experience to the world’s most innovative companies, today announced its results for the second quarter ended June 30, 2026.</w:t>
      </w:r>
    </w:p>
    <w:p>
      <w:pPr>
        <w:pStyle w:val="TextBody"/>
        <w:bidi w:val="0"/>
        <w:spacing w:lineRule="auto" w:line="288" w:before="120" w:after="283"/>
        <w:ind w:left="0" w:right="0" w:hanging="360"/>
        <w:jc w:val="both"/>
        <w:rPr/>
      </w:pPr>
      <w:r>
        <w:rPr>
          <w:color w:val="000000"/>
        </w:rPr>
        <w:t>•</w:t>
      </w:r>
      <w:r>
        <w:rPr>
          <w:rFonts w:ascii="sans-serif" w:hAnsi="sans-serif"/>
          <w:b/>
          <w:color w:val="000000"/>
          <w:sz w:val="20"/>
        </w:rPr>
        <w:t xml:space="preserve">Service revenue of $308.9 million, </w:t>
      </w:r>
      <w:r>
        <w:rPr>
          <w:rFonts w:ascii="sans-serif" w:hAnsi="sans-serif"/>
          <w:b w:val="false"/>
          <w:color w:val="000000"/>
          <w:sz w:val="20"/>
        </w:rPr>
        <w:t>5.0% year-over-year growth.</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Net income of $22.0 million</w:t>
      </w:r>
      <w:r>
        <w:rPr>
          <w:rFonts w:ascii="sans-serif" w:hAnsi="sans-serif"/>
          <w:b w:val="false"/>
          <w:color w:val="000000"/>
          <w:sz w:val="20"/>
        </w:rPr>
        <w:t>,</w:t>
      </w:r>
      <w:r>
        <w:rPr>
          <w:color w:val="000000"/>
        </w:rPr>
        <w:t xml:space="preserve"> </w:t>
      </w:r>
      <w:r>
        <w:rPr>
          <w:rFonts w:ascii="sans-serif" w:hAnsi="sans-serif"/>
          <w:b w:val="false"/>
          <w:color w:val="000000"/>
          <w:sz w:val="20"/>
        </w:rPr>
        <w:t>net income margin of 7.1%.</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Adjusted Net Income of $30.6 million</w:t>
      </w:r>
      <w:r>
        <w:rPr>
          <w:rFonts w:ascii="sans-serif" w:hAnsi="sans-serif"/>
          <w:b w:val="false"/>
          <w:color w:val="000000"/>
          <w:sz w:val="20"/>
        </w:rPr>
        <w:t>,</w:t>
      </w:r>
      <w:r>
        <w:rPr>
          <w:color w:val="000000"/>
        </w:rPr>
        <w:t xml:space="preserve"> </w:t>
      </w:r>
      <w:r>
        <w:rPr>
          <w:rFonts w:ascii="sans-serif" w:hAnsi="sans-serif"/>
          <w:b w:val="false"/>
          <w:color w:val="000000"/>
          <w:sz w:val="20"/>
        </w:rPr>
        <w:t>Adjusted Net Income margin of 9.9%.</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Diluted EPS of $0.24</w:t>
      </w:r>
      <w:r>
        <w:rPr>
          <w:rFonts w:ascii="sans-serif" w:hAnsi="sans-serif"/>
          <w:b w:val="false"/>
          <w:color w:val="000000"/>
          <w:sz w:val="20"/>
        </w:rPr>
        <w:t>,</w:t>
      </w:r>
      <w:r>
        <w:rPr>
          <w:color w:val="000000"/>
        </w:rPr>
        <w:t xml:space="preserve"> </w:t>
      </w:r>
      <w:r>
        <w:rPr>
          <w:rFonts w:ascii="sans-serif" w:hAnsi="sans-serif"/>
          <w:b w:val="false"/>
          <w:color w:val="000000"/>
          <w:sz w:val="20"/>
        </w:rPr>
        <w:t>Adjusted EPS of $0.33.</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Adjusted EBITDA of $57.7 million</w:t>
      </w:r>
      <w:r>
        <w:rPr>
          <w:rFonts w:ascii="sans-serif" w:hAnsi="sans-serif"/>
          <w:b w:val="false"/>
          <w:color w:val="000000"/>
          <w:sz w:val="20"/>
        </w:rPr>
        <w:t>, Adjusted EBITDA margin of 18.7%.</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Net cash provided by operating activities of $43.1 million</w:t>
      </w:r>
      <w:r>
        <w:rPr>
          <w:rFonts w:ascii="sans-serif" w:hAnsi="sans-serif"/>
          <w:b w:val="false"/>
          <w:color w:val="000000"/>
          <w:sz w:val="20"/>
        </w:rPr>
        <w:t>, Free Cash Flow of $32.6 million and</w:t>
      </w:r>
      <w:r>
        <w:rPr>
          <w:color w:val="000000"/>
        </w:rPr>
        <w:t xml:space="preserve"> </w:t>
      </w:r>
      <w:r>
        <w:rPr>
          <w:rFonts w:ascii="sans-serif" w:hAnsi="sans-serif"/>
          <w:b w:val="false"/>
          <w:color w:val="000000"/>
          <w:sz w:val="20"/>
        </w:rPr>
        <w:t>56.5% conversion of Adjusted EBITDA to Free Cash Flow. Adjusted Free Cash Flow of $36.4 million and</w:t>
      </w:r>
      <w:r>
        <w:rPr>
          <w:color w:val="000000"/>
        </w:rPr>
        <w:t xml:space="preserve"> </w:t>
      </w:r>
      <w:r>
        <w:rPr>
          <w:rFonts w:ascii="sans-serif" w:hAnsi="sans-serif"/>
          <w:b w:val="false"/>
          <w:color w:val="000000"/>
          <w:sz w:val="20"/>
        </w:rPr>
        <w:t>63.2% conversion of Adjusted EBITDA to Adjusted Free Cash Flow.</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sans-serif" w:hAnsi="sans-serif"/>
          <w:b w:val="false"/>
          <w:color w:val="000000"/>
          <w:sz w:val="20"/>
        </w:rPr>
        <w:t>We delivered another solid quarter in Q2, outperforming the top end of our guidance for both revenue and Adjusted EBITDA. As a result, we are raising the midpoint of our full-year revenue guidance,” said Co-Founder and CEO, Bryce Maddock. “Our momentum was anchored by approximately 26% growth in AI Services and continued diversification of our client base through strong mid-teens growth from clients other than our largest client. Our focus continues to be combining cutting-edge AI capabilities with specialized human talent to solve our clients' most complex operational challenges.”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sans-serif" w:hAnsi="sans-serif"/>
          <w:b/>
          <w:color w:val="005CCF"/>
          <w:sz w:val="28"/>
        </w:rPr>
      </w:pPr>
      <w:r>
        <w:rPr>
          <w:rFonts w:ascii="sans-serif" w:hAnsi="sans-serif"/>
          <w:b/>
          <w:color w:val="005CCF"/>
          <w:sz w:val="28"/>
        </w:rPr>
        <w:t>Second Quarter 2026 Financial and Frontline Highlights</w:t>
      </w:r>
    </w:p>
    <w:tbl>
      <w:tblPr>
        <w:tblW w:w="11896" w:type="dxa"/>
        <w:jc w:val="left"/>
        <w:tblInd w:w="0" w:type="dxa"/>
        <w:tblLayout w:type="fixed"/>
        <w:tblCellMar>
          <w:top w:w="28" w:type="dxa"/>
          <w:left w:w="28" w:type="dxa"/>
          <w:bottom w:w="28" w:type="dxa"/>
          <w:right w:w="28" w:type="dxa"/>
        </w:tblCellMar>
      </w:tblPr>
      <w:tblGrid>
        <w:gridCol w:w="408"/>
        <w:gridCol w:w="358"/>
        <w:gridCol w:w="360"/>
        <w:gridCol w:w="226"/>
        <w:gridCol w:w="946"/>
        <w:gridCol w:w="271"/>
        <w:gridCol w:w="109"/>
        <w:gridCol w:w="109"/>
        <w:gridCol w:w="109"/>
        <w:gridCol w:w="226"/>
        <w:gridCol w:w="946"/>
        <w:gridCol w:w="271"/>
        <w:gridCol w:w="109"/>
        <w:gridCol w:w="109"/>
        <w:gridCol w:w="109"/>
        <w:gridCol w:w="352"/>
        <w:gridCol w:w="354"/>
        <w:gridCol w:w="626"/>
        <w:gridCol w:w="109"/>
        <w:gridCol w:w="109"/>
        <w:gridCol w:w="109"/>
        <w:gridCol w:w="226"/>
        <w:gridCol w:w="946"/>
        <w:gridCol w:w="271"/>
        <w:gridCol w:w="109"/>
        <w:gridCol w:w="109"/>
        <w:gridCol w:w="109"/>
        <w:gridCol w:w="226"/>
        <w:gridCol w:w="946"/>
        <w:gridCol w:w="271"/>
        <w:gridCol w:w="109"/>
        <w:gridCol w:w="109"/>
        <w:gridCol w:w="109"/>
        <w:gridCol w:w="352"/>
        <w:gridCol w:w="354"/>
        <w:gridCol w:w="626"/>
        <w:gridCol w:w="109"/>
        <w:gridCol w:w="109"/>
        <w:gridCol w:w="109"/>
        <w:gridCol w:w="109"/>
        <w:gridCol w:w="109"/>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 in thousands, except per share amounts)</w:t>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Service revenue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308,855 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294,086 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5.0 </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615,121 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571,878 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7.6 </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Net income margin</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6.8 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7.2 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(22.8)</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Net Income margin</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9.9 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13.5 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10.3 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13.2 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EPS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EPS</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(23.3)</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57,669 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64,952 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EBITDA margin</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18.7 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22.1 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18.9 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21.7 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153.4 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67.8 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Cash Flow</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32,606 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68,705 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21,834 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214.7 </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Conversion of Adjusted EBITDA to Free Cash Flow</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Free Cash Flow</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36,440 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6,518 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459.1 </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78,650 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28,956 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171.6 </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Conversion of Adjusted EBITDA to Adjusted Free Cash Flow</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NM = not meaningful</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At 25.8% year-over-year growth, AI Services remained TaskUs’ fastest growing service line for the sixth quarter in a row.</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Digital Customer Experience growth accelerated to 6.4% compared to Q2 2025.</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Recognized as a Major Contender in Everest Group’s Healthcare Customer Experience Management (CXM) Intelligent Operations PEAK Matrix® Assessment 2026—a company first.</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Since Q1, increased liquidity to $180.3 million in cash and $100.0 million of borrowing capacity under our revolving credit facility.</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Approximately 63,200 teammates at the end of the second quarter of 2026.</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color w:val="000000"/>
        </w:rPr>
      </w:pPr>
      <w:r>
        <w:rPr>
          <w:color w:val="000000"/>
        </w:rPr>
        <w:t>“</w:t>
      </w:r>
      <w:r>
        <w:rPr>
          <w:rFonts w:ascii="sans-serif" w:hAnsi="sans-serif"/>
          <w:b w:val="false"/>
          <w:color w:val="000000"/>
          <w:sz w:val="20"/>
        </w:rPr>
        <w:t>In the second quarter of 2026, we generated revenue of $308.9 million, exceeding the top end of our revenue guidance by $10.9 million. Our results demonstrate the disciplined financial and operational execution underpinning our specialized service offerings as we scale,” said Chief Financial Officer, Rishabh Khemka. “Cash flow generation was once again a highlight in Q2, enabling us to increase our cash flow guidance for the second quarter in a row. For the full-year, we now expect Adjusted Free Cash Flow of $110 to $120 million, representing 9.3% of revenue at the midpoint. We are also increasing the bottom end of our revenue guidance by $10 million, resulting in full-year expectations of $1.22 billion to $1.24 billion in revenue and an Adjusted EBITDA margin of approximately 19%. TaskUs remains laser-focused on outpacing industry growth rates and driving long-term profitability. By pairing financial discipline with emerging growth initiatives and our ongoing AI-enabled transformation, we are well-positioned to strengthen our market leadership.”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sans-serif" w:hAnsi="sans-serif"/>
          <w:b/>
          <w:color w:val="005CCF"/>
          <w:sz w:val="28"/>
        </w:rPr>
      </w:pPr>
      <w:r>
        <w:rPr>
          <w:rFonts w:ascii="sans-serif" w:hAnsi="sans-serif"/>
          <w:b/>
          <w:color w:val="005CCF"/>
          <w:sz w:val="28"/>
        </w:rPr>
        <w:t>Third Quarter and Full Year 2026 Outlook</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For the third quarter and full year 2026, TaskUs expects its financial results to include:</w:t>
      </w:r>
    </w:p>
    <w:tbl>
      <w:tblPr>
        <w:tblW w:w="7445" w:type="dxa"/>
        <w:jc w:val="center"/>
        <w:tblInd w:w="0" w:type="dxa"/>
        <w:tblLayout w:type="fixed"/>
        <w:tblCellMar>
          <w:top w:w="28" w:type="dxa"/>
          <w:left w:w="28" w:type="dxa"/>
          <w:bottom w:w="28" w:type="dxa"/>
          <w:right w:w="28" w:type="dxa"/>
        </w:tblCellMar>
      </w:tblPr>
      <w:tblGrid>
        <w:gridCol w:w="1382"/>
        <w:gridCol w:w="1216"/>
        <w:gridCol w:w="1227"/>
        <w:gridCol w:w="459"/>
        <w:gridCol w:w="459"/>
        <w:gridCol w:w="463"/>
        <w:gridCol w:w="151"/>
        <w:gridCol w:w="151"/>
        <w:gridCol w:w="151"/>
        <w:gridCol w:w="521"/>
        <w:gridCol w:w="521"/>
        <w:gridCol w:w="744"/>
      </w:tblGrid>
      <w:tr>
        <w:trPr/>
        <w:tc>
          <w:tcPr>
            <w:tcW w:w="138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6"/>
              </w:rPr>
              <w:t>2026</w:t>
            </w:r>
            <w:r>
              <w:rPr>
                <w:color w:val="000000"/>
              </w:rPr>
              <w:t xml:space="preserve"> </w:t>
            </w:r>
            <w:r>
              <w:rPr>
                <w:rFonts w:ascii="sans-serif" w:hAnsi="sans-serif"/>
                <w:b/>
                <w:color w:val="000000"/>
                <w:sz w:val="16"/>
              </w:rPr>
              <w:t>Outlook</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Third Quarter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sans-serif" w:hAnsi="sans-serif"/>
                <w:b w:val="false"/>
                <w:color w:val="000000"/>
                <w:sz w:val="20"/>
                <w:shd w:fill="FFFFFF" w:val="clear"/>
              </w:rPr>
            </w:pPr>
            <w:r>
              <w:rPr>
                <w:rFonts w:ascii="sans-serif" w:hAnsi="sans-serif"/>
                <w:b w:val="false"/>
                <w:color w:val="000000"/>
                <w:sz w:val="20"/>
                <w:shd w:fill="FFFFFF" w:val="clear"/>
              </w:rPr>
              <w:t>Revenue (in millions)</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$300 to $302</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$1,220 to $1,240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sans-serif" w:hAnsi="sans-serif"/>
                <w:b w:val="false"/>
                <w:i/>
                <w:color w:val="000000"/>
                <w:sz w:val="20"/>
                <w:shd w:fill="FFFFFF" w:val="clear"/>
              </w:rPr>
            </w:pPr>
            <w:r>
              <w:rPr>
                <w:rFonts w:ascii="sans-serif" w:hAnsi="sans-serif"/>
                <w:b w:val="false"/>
                <w:i/>
                <w:color w:val="000000"/>
                <w:sz w:val="20"/>
                <w:shd w:fill="FFFFFF" w:val="clear"/>
              </w:rPr>
              <w:t>Revenue growth (YoY) at midpoint</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0.8%</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3.9%</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shd w:fill="FFFFFF" w:val="clear"/>
              </w:rPr>
              <w:t>Adjusted EBITDA Margin</w:t>
            </w:r>
            <w:r>
              <w:rPr>
                <w:rFonts w:ascii="sans-serif" w:hAnsi="sans-serif"/>
                <w:b w:val="false"/>
                <w:color w:val="000000"/>
                <w:sz w:val="13"/>
                <w:shd w:fill="FFFFFF" w:val="clear"/>
              </w:rPr>
              <w:t>1</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~18.7%</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~19.0%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Adjusted Free Cash Flow</w:t>
            </w:r>
            <w:r>
              <w:rPr>
                <w:color w:val="EE2724"/>
              </w:rPr>
              <w:t xml:space="preserve"> </w:t>
            </w:r>
            <w:r>
              <w:rPr>
                <w:rFonts w:ascii="sans-serif" w:hAnsi="sans-serif"/>
                <w:b w:val="false"/>
                <w:color w:val="000000"/>
                <w:sz w:val="20"/>
              </w:rPr>
              <w:t>(in millions)</w:t>
            </w:r>
            <w:r>
              <w:rPr>
                <w:rFonts w:ascii="sans-serif" w:hAnsi="sans-serif"/>
                <w:b w:val="false"/>
                <w:color w:val="000000"/>
                <w:sz w:val="13"/>
              </w:rPr>
              <w:t>2</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$110 to $120</w:t>
            </w:r>
          </w:p>
        </w:tc>
      </w:tr>
    </w:tbl>
    <w:p>
      <w:pPr>
        <w:pStyle w:val="TextBody"/>
        <w:bidi w:val="0"/>
        <w:spacing w:lineRule="auto" w:line="288" w:before="200" w:after="283"/>
        <w:ind w:left="0" w:right="0" w:hanging="270"/>
        <w:jc w:val="both"/>
        <w:rPr>
          <w:rFonts w:ascii="sans-serif" w:hAnsi="sans-serif"/>
          <w:b w:val="false"/>
          <w:color w:val="000000"/>
          <w:sz w:val="16"/>
        </w:rPr>
      </w:pPr>
      <w:r>
        <w:rPr>
          <w:rFonts w:ascii="sans-serif" w:hAnsi="sans-serif"/>
          <w:b w:val="false"/>
          <w:color w:val="000000"/>
          <w:sz w:val="16"/>
        </w:rPr>
        <w:t>1.With respect to the non-GAAP Adjusted EBITDA margin outlook provided above, a reconciliation to the closest GAAP financial measure has not been provided as the quantification of certain items included in the calculation of GAAP net income (loss) cannot be calculated or predicted at this time without unreasonable efforts. For example, the non-GAAP adjustment for stock-based compensation expense requires additional inputs such as number of shares granted and market price that are not currently ascertainable, the non-GAAP adjustment for foreign currency gains or losses depends on the timing and magnitude of changes in foreign currency exchange rates and cannot be accurately forecasted. For the same reasons, the Company is unable to address the probable significance of the unavailable information, which could have a potentially unpredictable, and potentially significant, impact on its future GAAP financial results.</w:t>
      </w:r>
    </w:p>
    <w:p>
      <w:pPr>
        <w:pStyle w:val="TextBody"/>
        <w:bidi w:val="0"/>
        <w:spacing w:lineRule="auto" w:line="288" w:before="0" w:after="0"/>
        <w:ind w:left="0" w:right="0" w:hanging="270"/>
        <w:jc w:val="both"/>
        <w:rPr>
          <w:rFonts w:ascii="sans-serif" w:hAnsi="sans-serif"/>
          <w:b w:val="false"/>
          <w:color w:val="000000"/>
          <w:sz w:val="16"/>
        </w:rPr>
      </w:pPr>
      <w:r>
        <w:rPr>
          <w:rFonts w:ascii="sans-serif" w:hAnsi="sans-serif"/>
          <w:b w:val="false"/>
          <w:color w:val="000000"/>
          <w:sz w:val="16"/>
        </w:rPr>
        <w:t>2.Adjusted Free Cash Flow is calculated as net cash provided by operating activities in the period minus cash used for purchase of property and equipment in the period, excluding certain non-recurring adjustments. At the midpoint of our guidance, net cash provided by operating activities for the full year 2026 is expected to be approximately $162 million and purchase of property and equipment is expected to be approximately $47 million. Our Adjusted Free Cash Flow guidance and expected net cash provided by operating activities excludes the impact of certain payments, including transaction costs, liability stock-based compensation awards and operational efficiency costs, due to the unpredictability of the costs and timing of payments.</w:t>
      </w:r>
    </w:p>
    <w:p>
      <w:pPr>
        <w:pStyle w:val="TextBody"/>
        <w:bidi w:val="0"/>
        <w:spacing w:lineRule="auto" w:line="288" w:before="200" w:after="283"/>
        <w:jc w:val="left"/>
        <w:rPr>
          <w:rFonts w:ascii="sans-serif" w:hAnsi="sans-serif"/>
          <w:b/>
          <w:color w:val="005CCF"/>
          <w:sz w:val="20"/>
        </w:rPr>
      </w:pPr>
      <w:r>
        <w:rPr>
          <w:rFonts w:ascii="sans-serif" w:hAnsi="sans-serif"/>
          <w:b/>
          <w:color w:val="005CCF"/>
          <w:sz w:val="20"/>
        </w:rPr>
        <w:t>Conference Call Information</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TaskUs senior management will host a conference call today to discuss the Company’s second quarter 2026 financial results and financial outlook. This call is scheduled to begin at 5:00 pm ET. Analysts and investors who wish to participate in the call can register by visiting the following link: https://register-conf.media-server.com/register/BIe8e22a79074142f9842cdfc2a8f1913e</w:t>
      </w:r>
    </w:p>
    <w:p>
      <w:pPr>
        <w:pStyle w:val="TextBody"/>
        <w:bidi w:val="0"/>
        <w:spacing w:lineRule="auto" w:line="288" w:before="120" w:after="283"/>
        <w:ind w:left="0" w:right="0" w:firstLine="720"/>
        <w:jc w:val="both"/>
        <w:rPr>
          <w:rFonts w:ascii="sans-serif" w:hAnsi="sans-serif"/>
          <w:b w:val="false"/>
          <w:color w:val="000000"/>
          <w:sz w:val="20"/>
        </w:rPr>
      </w:pPr>
      <w:r>
        <w:rPr>
          <w:rFonts w:ascii="sans-serif" w:hAnsi="sans-serif"/>
          <w:b w:val="false"/>
          <w:color w:val="000000"/>
          <w:sz w:val="20"/>
        </w:rPr>
        <w:t xml:space="preserve">To listen to a live audio webcast, please visit TaskUs’ Investor Relations website at IR.Taskus.com. The Company will also make a slide presentation and other materials available on its website. A replay of the audio webcast will be available on the Company’s Investor Relations website for 12 months following the call. </w:t>
      </w:r>
    </w:p>
    <w:p>
      <w:pPr>
        <w:pStyle w:val="TextBody"/>
        <w:bidi w:val="0"/>
        <w:spacing w:lineRule="auto" w:line="288" w:before="200" w:after="283"/>
        <w:jc w:val="left"/>
        <w:rPr>
          <w:rFonts w:ascii="sans-serif" w:hAnsi="sans-serif"/>
          <w:b/>
          <w:color w:val="005CCF"/>
          <w:sz w:val="20"/>
        </w:rPr>
      </w:pPr>
      <w:r>
        <w:rPr>
          <w:rFonts w:ascii="sans-serif" w:hAnsi="sans-serif"/>
          <w:b/>
          <w:color w:val="005CCF"/>
          <w:sz w:val="20"/>
        </w:rPr>
        <w:t>About TaskUs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TaskUs (Nasdaq: TASK) delivers outsourced digital services that power the companies shaping the future. By combining specialized human talent and intelligent technology, we solve complex operational challenges for global category leaders within AI, autonomous vehicles (AV), robotics, social media, financial services, healthcare, and beyond. We enable our clients to elevate their customer experience, protect their platforms, and grow their brands. For more information, visit www.taskus.com.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sans-serif" w:hAnsi="sans-serif"/>
          <w:b/>
          <w:color w:val="005CCF"/>
          <w:sz w:val="20"/>
        </w:rPr>
      </w:pPr>
      <w:r>
        <w:rPr>
          <w:rFonts w:ascii="sans-serif" w:hAnsi="sans-serif"/>
          <w:b/>
          <w:color w:val="005CCF"/>
          <w:sz w:val="20"/>
        </w:rPr>
        <w:t>Forward-Looking Statements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This press release contains “forward-looking statements” within the meaning of the Private Securities Litigation Reform Act of 1995. Forward-looking statements include all statements that are not historical facts, and further include, without limitation, statements reflecting our current views with respect to, among other things, our operations, our financial performance, our industry, the impact of the macroeconomic environment on our business, and other non-historical statements including the statements in the “Third Quarter and Full Year 2026 Outlook” section of this press release. In some cases, you can identify these forward-looking statements by the use of words such as “outlook,” “believes,” “expects,” “potential,” “continues,” “may,” “will,” “should,” “could,” “would,”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the dependence of our business on key clients; the risk of loss of business or non-payment from clients; our failure to cost-effectively acquire new clients; the risk that we may provide inadequate service or cause disruptions in our clients’ businesses or fail to comply with the quality standards required by our clients under our agreements; our inability to anticipate clients’ needs by adapting to market and technology trends; increased adoption and utilization of artificial intelligence (“AI”), including Generative AI and Agentic AI, by our clients or us, or our failure to appropriately incorporate AI into our operations; unauthorized or improper disclosure of personal or other sensitive information, or security breaches and incidents, whether inadvertent or purposeful, including as the result of a cyber-attack; negative publicity or liability or difficulty recruiting and retaining employees; our failure to detect and deter criminal or fraudulent activities or other misconduct by our employees or third parties; global economic and political conditions, especially in the social media and meal delivery and transport industries from which we generate significant revenue; our indebtedness and debt service obligations following the March 2026 refinancing; the dependence of our business on our international operations, particularly in the Philippines and India; our failure to comply with applicable data privacy and security laws and regulations; fluctuations against the U.S. dollar in the local currencies in the countries in which we operate; our inability to maintain and enhance our brand; competitive pricing pressure; volatile, unfavorable or uncertain economic or political conditions, particularly in the markets in which our clients and operations are concentrated, and the effects of these conditions on our clients’ businesses; our dependence on senior management and key employees; increases in employee expenses and changes to labor laws; failure to attract, hire, train and retain a sufficient number of skilled employees to support operations; our inability to effectively expand our operations into countries or industries in which we have no prior operating experience and in which we may be subject to increased business, economic and regulatory risks; reliance on owned and third-party technology and computer systems; failure to maintain asset utilization levels, price appropriately and control costs; the control of affiliates of Blackstone Inc. and our Co-Founders over us; the dual class structure of our common stock; and the volatility of the market price of our Class A common stock. Additional risks and uncertainties include but are not limited to those described under “Risk Factors” in the Company’s Annual Report on Form 10-K for the year ended December 31, 2025 filed with the Securities and Exchange Commission (the “SEC”) on March 5, 2026, as such factors may be updated from time to time in our filings with the SEC, which are accessible on the SEC’s website at www.sec.gov. These factors should not be construed as exhaustive and should be read in conjunction with the other cautionary statements that are included in the Company’s SEC filings. You are cautioned not to place undue reliance on these forward-looking statements, which speak only as of the date the statement was made. TaskUs undertakes no obligation to update or revise any forward-looking statements, whether as a result of new information, future developments or otherwise, except as required by law.</w:t>
      </w:r>
    </w:p>
    <w:p>
      <w:pPr>
        <w:pStyle w:val="TextBody"/>
        <w:bidi w:val="0"/>
        <w:spacing w:before="0" w:after="0"/>
        <w:jc w:val="left"/>
        <w:rPr/>
      </w:pPr>
      <w:r>
        <w:rPr/>
      </w:r>
    </w:p>
    <w:p>
      <w:pPr>
        <w:pStyle w:val="TextBody"/>
        <w:bidi w:val="0"/>
        <w:spacing w:lineRule="auto" w:line="288" w:before="0" w:after="0"/>
        <w:jc w:val="left"/>
        <w:rPr>
          <w:rFonts w:ascii="sans-serif" w:hAnsi="sans-serif"/>
          <w:b/>
          <w:color w:val="005CCF"/>
          <w:sz w:val="20"/>
        </w:rPr>
      </w:pPr>
      <w:r>
        <w:rPr>
          <w:rFonts w:ascii="sans-serif" w:hAnsi="sans-serif"/>
          <w:b/>
          <w:color w:val="005CCF"/>
          <w:sz w:val="20"/>
        </w:rPr>
        <w:t>Non-GAAP Financial Measures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 xml:space="preserve">TaskUs supplements results reported in accordance with United States generally accepted accounting principles (“GAAP”), with non-GAAP financial measures, such as Adjusted Net Income, Adjusted Net Income Margin, Adjusted Earnings Per Share, EBITDA, Adjusted EBITDA, Adjusted EBITDA Margin, Free Cash Flow, Adjusted Free Cash Flow, Conversion of Adjusted EBITDA to Free Cash Flow and Conversion of Adjusted EBITDA to Adjusted Free Cash Flow. Management believes these measures help illustrate underlying trends in TaskUs’ business and uses the measures to establish budgets and operational goals, communicate internally and externally, and manage TaskUs’ business and evaluate its performance. Management also believes that certain of these measures help investors compare TaskUs’ operating performance with its results in prior periods or assess liquidity. TaskUs anticipates that it will continue to report both GAAP and certain non-GAAP financial measures in its financial results, including non-GAAP results that exclude the impact of certain costs, losses and gains that are required to be included in our profit and loss measures under GAAP. Because TaskUs’ reported non-GAAP financial measures are not calculated in accordance with GAAP, these measures are not a substitute for the most directly comparable GAAP measure and may not be comparable to similarly titled measures used by other companies.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540"/>
        <w:jc w:val="both"/>
        <w:rPr>
          <w:rFonts w:ascii="sans-serif" w:hAnsi="sans-serif"/>
          <w:b w:val="false"/>
          <w:color w:val="000000"/>
          <w:sz w:val="20"/>
        </w:rPr>
      </w:pPr>
      <w:r>
        <w:rPr>
          <w:rFonts w:ascii="sans-serif" w:hAnsi="sans-serif"/>
          <w:b w:val="false"/>
          <w:color w:val="000000"/>
          <w:sz w:val="20"/>
        </w:rPr>
        <w:t>Consequently, TaskUs’ non-GAAP financial measures should not be evaluated in isolation or supplant comparable GAAP measures, but rather, should be considered together with the information in TaskUs’ consolidated financial statements, which are prepared in accordance with GAAP. Definitions of non-GAAP financial measures and the reconciliations to the most directly comparable measures in accordance with GAAP are provided in subsequent sections of this press release narrative and supplemental schedules.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420" w:after="283"/>
        <w:jc w:val="left"/>
        <w:rPr>
          <w:rFonts w:ascii="sans-serif" w:hAnsi="sans-serif"/>
          <w:b/>
          <w:color w:val="005CCF"/>
          <w:sz w:val="20"/>
        </w:rPr>
      </w:pPr>
      <w:r>
        <w:rPr>
          <w:rFonts w:ascii="sans-serif" w:hAnsi="sans-serif"/>
          <w:b/>
          <w:color w:val="005CCF"/>
          <w:sz w:val="20"/>
        </w:rPr>
        <w:t>Investor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Trent Thrash</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IR@taskus.com</w:t>
      </w:r>
    </w:p>
    <w:p>
      <w:pPr>
        <w:pStyle w:val="TextBody"/>
        <w:bidi w:val="0"/>
        <w:spacing w:lineRule="auto" w:line="288" w:before="120" w:after="283"/>
        <w:jc w:val="left"/>
        <w:rPr>
          <w:rFonts w:ascii="sans-serif" w:hAnsi="sans-serif"/>
          <w:b/>
          <w:color w:val="005CCF"/>
          <w:sz w:val="20"/>
        </w:rPr>
      </w:pPr>
      <w:r>
        <w:rPr>
          <w:rFonts w:ascii="sans-serif" w:hAnsi="sans-serif"/>
          <w:b/>
          <w:color w:val="005CCF"/>
          <w:sz w:val="20"/>
        </w:rPr>
        <w:t>Media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Ramya Kumaraswamy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mediainquiries@taskus.com</w: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Income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553"/>
        <w:gridCol w:w="1113"/>
        <w:gridCol w:w="1050"/>
        <w:gridCol w:w="244"/>
        <w:gridCol w:w="1011"/>
        <w:gridCol w:w="113"/>
        <w:gridCol w:w="113"/>
        <w:gridCol w:w="113"/>
        <w:gridCol w:w="113"/>
        <w:gridCol w:w="244"/>
        <w:gridCol w:w="1011"/>
        <w:gridCol w:w="113"/>
        <w:gridCol w:w="109"/>
        <w:gridCol w:w="109"/>
        <w:gridCol w:w="109"/>
        <w:gridCol w:w="240"/>
        <w:gridCol w:w="1006"/>
        <w:gridCol w:w="109"/>
        <w:gridCol w:w="109"/>
        <w:gridCol w:w="109"/>
        <w:gridCol w:w="109"/>
        <w:gridCol w:w="240"/>
        <w:gridCol w:w="1006"/>
        <w:gridCol w:w="159"/>
      </w:tblGrid>
      <w:tr>
        <w:trPr/>
        <w:tc>
          <w:tcPr>
            <w:tcW w:w="155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Service revenue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308,855 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294,086 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615,121 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571,878 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expenses:</w:t>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services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201,705 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180,568 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351,749 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 expense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54,641 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68,406 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125,830 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 assets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(gain) on disposal of assets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275,544 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263,724 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507,278 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33,311 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net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Financing expenses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before income taxes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29,509 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27,054 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56,802 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21,969 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per common share:</w:t>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Weighted-average number of common shares outstanding:</w:t>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91,620,230 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89,493,215 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91,206,490 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89,766,782 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92,495,764 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92,576,805 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92,794,883 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93,116,173 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17"/>
        <w:gridCol w:w="2204"/>
        <w:gridCol w:w="2223"/>
        <w:gridCol w:w="226"/>
        <w:gridCol w:w="946"/>
        <w:gridCol w:w="109"/>
        <w:gridCol w:w="109"/>
        <w:gridCol w:w="109"/>
        <w:gridCol w:w="109"/>
        <w:gridCol w:w="232"/>
        <w:gridCol w:w="1160"/>
        <w:gridCol w:w="161"/>
      </w:tblGrid>
      <w:tr>
        <w:trPr/>
        <w:tc>
          <w:tcPr>
            <w:tcW w:w="2617"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Assets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211,676 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 net of allowance for credit losses of $1,008 and $911,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254,053 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42,994 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476,134 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509,247 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assets: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right-of-use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153,490 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219,533 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521,505 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541,518 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997,639 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1,050,765 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Liabilities and Shareholders’ Equity</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64,549 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operating 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income tax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163,261 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liabilities: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219,798 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536,246 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287,515 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697,794 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450,776 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shareholders’ equity</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299,845 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599,989 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shareholders’ equity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997,639 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1,050,765 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 of Cash Flows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52"/>
        <w:gridCol w:w="2302"/>
        <w:gridCol w:w="2316"/>
        <w:gridCol w:w="226"/>
        <w:gridCol w:w="946"/>
        <w:gridCol w:w="109"/>
        <w:gridCol w:w="109"/>
        <w:gridCol w:w="109"/>
        <w:gridCol w:w="109"/>
        <w:gridCol w:w="226"/>
        <w:gridCol w:w="946"/>
        <w:gridCol w:w="155"/>
      </w:tblGrid>
      <w:tr>
        <w:trPr/>
        <w:tc>
          <w:tcPr>
            <w:tcW w:w="265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operating activities: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income to net cash provided by operating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debt financing fees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(gain) on disposal of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right-of-use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liabilities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investing activities: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property and equipment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(31,451)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financing activities: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long-term debt</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deferred business acquisition consideration</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on 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debt financing fees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employee stock plans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7,127 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taxes related to net share settlement</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(5,937)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stock repurchases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Distribution of dividends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financing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(33,493)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Decrease in cash and cash equivalents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 of exchange rate changes on cash</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at beginning of period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at end of period</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180,298 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181,916 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EBITDA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margin amounts)</w:t>
      </w:r>
    </w:p>
    <w:tbl>
      <w:tblPr>
        <w:tblW w:w="10205" w:type="dxa"/>
        <w:jc w:val="left"/>
        <w:tblInd w:w="0" w:type="dxa"/>
        <w:tblLayout w:type="fixed"/>
        <w:tblCellMar>
          <w:top w:w="28" w:type="dxa"/>
          <w:left w:w="28" w:type="dxa"/>
          <w:bottom w:w="28" w:type="dxa"/>
          <w:right w:w="28" w:type="dxa"/>
        </w:tblCellMar>
      </w:tblPr>
      <w:tblGrid>
        <w:gridCol w:w="1275"/>
        <w:gridCol w:w="1109"/>
        <w:gridCol w:w="1118"/>
        <w:gridCol w:w="236"/>
        <w:gridCol w:w="866"/>
        <w:gridCol w:w="283"/>
        <w:gridCol w:w="113"/>
        <w:gridCol w:w="113"/>
        <w:gridCol w:w="113"/>
        <w:gridCol w:w="236"/>
        <w:gridCol w:w="866"/>
        <w:gridCol w:w="283"/>
        <w:gridCol w:w="109"/>
        <w:gridCol w:w="109"/>
        <w:gridCol w:w="109"/>
        <w:gridCol w:w="226"/>
        <w:gridCol w:w="946"/>
        <w:gridCol w:w="271"/>
        <w:gridCol w:w="109"/>
        <w:gridCol w:w="109"/>
        <w:gridCol w:w="109"/>
        <w:gridCol w:w="226"/>
        <w:gridCol w:w="946"/>
        <w:gridCol w:w="325"/>
      </w:tblGrid>
      <w:tr>
        <w:trPr/>
        <w:tc>
          <w:tcPr>
            <w:tcW w:w="127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Net income</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21,969 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20,047 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41,195 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7,540 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7,007 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15,607 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Financing expenses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8,835 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9,298 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Depreciation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11,594 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19,870 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Amortization of intangible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4,997 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9,973 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EBITDA</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54,942 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46,553 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112,511 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95,943 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Transaction costs</w:t>
            </w:r>
            <w:r>
              <w:rPr>
                <w:rFonts w:ascii="sans-serif" w:hAnsi="sans-serif"/>
                <w:b w:val="false"/>
                <w:color w:val="000000"/>
                <w:sz w:val="12"/>
              </w:rPr>
              <w:t>(1)</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Operational efficiency costs</w:t>
            </w:r>
            <w:r>
              <w:rPr>
                <w:rFonts w:ascii="sans-serif" w:hAnsi="sans-serif"/>
                <w:b w:val="false"/>
                <w:color w:val="000000"/>
                <w:sz w:val="12"/>
              </w:rPr>
              <w:t>(2)</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Foreign currency losses (gains)</w:t>
            </w:r>
            <w:r>
              <w:rPr>
                <w:rFonts w:ascii="sans-serif" w:hAnsi="sans-serif"/>
                <w:b w:val="false"/>
                <w:color w:val="000000"/>
                <w:sz w:val="12"/>
              </w:rPr>
              <w:t>(3)</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(3,854)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Loss (gain) on disposal of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Severance costs</w:t>
            </w:r>
            <w:r>
              <w:rPr>
                <w:rFonts w:ascii="sans-serif" w:hAnsi="sans-serif"/>
                <w:b w:val="false"/>
                <w:color w:val="000000"/>
                <w:sz w:val="12"/>
              </w:rPr>
              <w:t>(4)</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Stock-based compensation expense</w:t>
            </w:r>
            <w:r>
              <w:rPr>
                <w:rFonts w:ascii="sans-serif" w:hAnsi="sans-serif"/>
                <w:b w:val="false"/>
                <w:color w:val="000000"/>
                <w:sz w:val="12"/>
              </w:rPr>
              <w:t>(5)</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3,787 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8,428 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17,646 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Interest income</w:t>
            </w:r>
            <w:r>
              <w:rPr>
                <w:rFonts w:ascii="sans-serif" w:hAnsi="sans-serif"/>
                <w:b w:val="false"/>
                <w:color w:val="000000"/>
                <w:sz w:val="12"/>
              </w:rPr>
              <w:t>(6)</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(1,298)</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(2,896)</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Adjusted EBITDA</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57,669 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64,952 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116,229 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124,224 </w:t>
            </w:r>
          </w:p>
        </w:tc>
        <w:tc>
          <w:tcPr>
            <w:tcW w:w="3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Net Income Margin</w:t>
            </w:r>
            <w:r>
              <w:rPr>
                <w:rFonts w:ascii="sans-serif" w:hAnsi="sans-serif"/>
                <w:b w:val="false"/>
                <w:color w:val="000000"/>
                <w:sz w:val="12"/>
              </w:rPr>
              <w:t>(7)</w:t>
            </w:r>
          </w:p>
        </w:tc>
        <w:tc>
          <w:tcPr>
            <w:tcW w:w="11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7.2 </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Adjusted EBITDA Margin</w:t>
            </w:r>
            <w:r>
              <w:rPr>
                <w:rFonts w:ascii="sans-serif" w:hAnsi="sans-serif"/>
                <w:b w:val="false"/>
                <w:color w:val="000000"/>
                <w:sz w:val="12"/>
              </w:rPr>
              <w:t>(7)</w:t>
            </w:r>
          </w:p>
        </w:tc>
        <w:tc>
          <w:tcPr>
            <w:tcW w:w="11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18.7 </w:t>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2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21.7 </w:t>
            </w:r>
          </w:p>
        </w:tc>
        <w:tc>
          <w:tcPr>
            <w:tcW w:w="3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Represents non-recurring professional fees related to the Refinancing and Special Dividend in 2026 and take-private transaction in 2025.</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(5) Represents stock-based compensation expense, as well as associated payroll tax.</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(7) Net Income Margin represents net income divided by service revenue and Adjusted EBITDA Margin represents Adjusted EBITDA divided by 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Net Income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margin amounts)</w:t>
      </w:r>
    </w:p>
    <w:tbl>
      <w:tblPr>
        <w:tblW w:w="10002" w:type="dxa"/>
        <w:jc w:val="left"/>
        <w:tblInd w:w="0" w:type="dxa"/>
        <w:tblLayout w:type="fixed"/>
        <w:tblCellMar>
          <w:top w:w="28" w:type="dxa"/>
          <w:left w:w="28" w:type="dxa"/>
          <w:bottom w:w="28" w:type="dxa"/>
          <w:right w:w="28" w:type="dxa"/>
        </w:tblCellMar>
      </w:tblPr>
      <w:tblGrid>
        <w:gridCol w:w="1279"/>
        <w:gridCol w:w="1122"/>
        <w:gridCol w:w="1138"/>
        <w:gridCol w:w="237"/>
        <w:gridCol w:w="867"/>
        <w:gridCol w:w="284"/>
        <w:gridCol w:w="114"/>
        <w:gridCol w:w="114"/>
        <w:gridCol w:w="114"/>
        <w:gridCol w:w="237"/>
        <w:gridCol w:w="867"/>
        <w:gridCol w:w="284"/>
        <w:gridCol w:w="109"/>
        <w:gridCol w:w="109"/>
        <w:gridCol w:w="109"/>
        <w:gridCol w:w="226"/>
        <w:gridCol w:w="826"/>
        <w:gridCol w:w="271"/>
        <w:gridCol w:w="109"/>
        <w:gridCol w:w="109"/>
        <w:gridCol w:w="109"/>
        <w:gridCol w:w="226"/>
        <w:gridCol w:w="826"/>
        <w:gridCol w:w="316"/>
      </w:tblGrid>
      <w:tr>
        <w:trPr/>
        <w:tc>
          <w:tcPr>
            <w:tcW w:w="127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21,969 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20,047 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41,195 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Amortization of intangible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4,997 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Transaction costs</w:t>
            </w:r>
            <w:r>
              <w:rPr>
                <w:rFonts w:ascii="sans-serif" w:hAnsi="sans-serif"/>
                <w:b w:val="false"/>
                <w:color w:val="000000"/>
                <w:sz w:val="12"/>
              </w:rPr>
              <w:t>(1)</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Operational efficiency costs</w:t>
            </w:r>
            <w:r>
              <w:rPr>
                <w:rFonts w:ascii="sans-serif" w:hAnsi="sans-serif"/>
                <w:b w:val="false"/>
                <w:color w:val="000000"/>
                <w:sz w:val="12"/>
              </w:rPr>
              <w:t>(2)</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Foreign currency losses (gains)</w:t>
            </w:r>
            <w:r>
              <w:rPr>
                <w:rFonts w:ascii="sans-serif" w:hAnsi="sans-serif"/>
                <w:b w:val="false"/>
                <w:color w:val="000000"/>
                <w:sz w:val="12"/>
              </w:rPr>
              <w:t>(3)</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(3,854)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(gain) on disposal of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Severance costs</w:t>
            </w:r>
            <w:r>
              <w:rPr>
                <w:rFonts w:ascii="sans-serif" w:hAnsi="sans-serif"/>
                <w:b w:val="false"/>
                <w:color w:val="000000"/>
                <w:sz w:val="12"/>
              </w:rPr>
              <w:t>(4)</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Stock-based compensation expense</w:t>
            </w:r>
            <w:r>
              <w:rPr>
                <w:rFonts w:ascii="sans-serif" w:hAnsi="sans-serif"/>
                <w:b w:val="false"/>
                <w:color w:val="000000"/>
                <w:sz w:val="12"/>
              </w:rPr>
              <w:t>(5)</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3,787 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8,428 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Tax impacts of adjustments</w:t>
            </w:r>
            <w:r>
              <w:rPr>
                <w:rFonts w:ascii="sans-serif" w:hAnsi="sans-serif"/>
                <w:b w:val="false"/>
                <w:color w:val="000000"/>
                <w:sz w:val="12"/>
              </w:rPr>
              <w:t>(6)</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(5,044)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Adjusted Net Income</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30,631 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39,697 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75,635 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Net Income Margin</w:t>
            </w:r>
            <w:r>
              <w:rPr>
                <w:rFonts w:ascii="sans-serif" w:hAnsi="sans-serif"/>
                <w:b w:val="false"/>
                <w:color w:val="000000"/>
                <w:sz w:val="12"/>
              </w:rPr>
              <w:t>(7)</w:t>
            </w:r>
          </w:p>
        </w:tc>
        <w:tc>
          <w:tcPr>
            <w:tcW w:w="11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7.1 </w:t>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6.8 </w:t>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Adjusted Net Income Margin</w:t>
            </w:r>
            <w:r>
              <w:rPr>
                <w:rFonts w:ascii="sans-serif" w:hAnsi="sans-serif"/>
                <w:b w:val="false"/>
                <w:color w:val="000000"/>
                <w:sz w:val="12"/>
              </w:rPr>
              <w:t>(7)</w:t>
            </w:r>
          </w:p>
        </w:tc>
        <w:tc>
          <w:tcPr>
            <w:tcW w:w="11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9.9 </w:t>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13.5 </w:t>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Represents non-recurring professional fees related to the Refinancing and Special Dividend in 2026 and take-private transaction in 2025.</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pPr>
      <w:r>
        <w:rPr>
          <w:rFonts w:ascii="sans-serif" w:hAnsi="sans-serif"/>
          <w:b w:val="false"/>
          <w:color w:val="000000"/>
          <w:sz w:val="16"/>
        </w:rPr>
        <w:t>(6) Represents tax impacts of adjustments to net income which resulted in a tax benefit during the period, including stock-based compensation expense, transaction costs, operational efficiency costs and severance. After these adjustments, we applied a non-GAAP effective tax rate of 21.5% and 25.8% for the three months ended June 30, 2026 and 2025, respectively, an</w:t>
      </w:r>
      <w:r>
        <w:rPr>
          <w:rFonts w:ascii="sans-serif" w:hAnsi="sans-serif"/>
          <w:b w:val="false"/>
          <w:color w:val="000000"/>
          <w:sz w:val="18"/>
        </w:rPr>
        <w:t xml:space="preserve">d </w:t>
      </w:r>
      <w:r>
        <w:rPr>
          <w:rFonts w:ascii="sans-serif" w:hAnsi="sans-serif"/>
          <w:b w:val="false"/>
          <w:color w:val="000000"/>
          <w:sz w:val="16"/>
        </w:rPr>
        <w:t>23.3% and 25.7% for the six months ended</w:t>
      </w:r>
      <w:r>
        <w:rPr>
          <w:color w:val="000000"/>
        </w:rPr>
        <w:t xml:space="preserve"> </w:t>
      </w:r>
      <w:r>
        <w:rPr>
          <w:rFonts w:ascii="sans-serif" w:hAnsi="sans-serif"/>
          <w:b w:val="false"/>
          <w:color w:val="000000"/>
          <w:sz w:val="16"/>
        </w:rPr>
        <w:t>June 30, 2026 and 2025</w:t>
      </w:r>
      <w:r>
        <w:rPr>
          <w:rFonts w:ascii="sans-serif" w:hAnsi="sans-serif"/>
          <w:b w:val="false"/>
          <w:color w:val="000000"/>
          <w:sz w:val="18"/>
        </w:rPr>
        <w:t>,</w:t>
      </w:r>
      <w:r>
        <w:rPr>
          <w:color w:val="000000"/>
        </w:rPr>
        <w:t xml:space="preserve"> </w:t>
      </w:r>
      <w:r>
        <w:rPr>
          <w:rFonts w:ascii="sans-serif" w:hAnsi="sans-serif"/>
          <w:b w:val="false"/>
          <w:color w:val="000000"/>
          <w:sz w:val="16"/>
        </w:rPr>
        <w:t>respectively, to non-GAAP income before income taxes.</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(7) Net Income Margin represents net income divided by service revenue and Adjusted Net Income Margin represents Adjusted Net Income divided by 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EPS (unaudited)</w:t>
      </w:r>
    </w:p>
    <w:tbl>
      <w:tblPr>
        <w:tblW w:w="10205" w:type="dxa"/>
        <w:jc w:val="center"/>
        <w:tblInd w:w="0" w:type="dxa"/>
        <w:tblLayout w:type="fixed"/>
        <w:tblCellMar>
          <w:top w:w="28" w:type="dxa"/>
          <w:left w:w="28" w:type="dxa"/>
          <w:bottom w:w="28" w:type="dxa"/>
          <w:right w:w="28" w:type="dxa"/>
        </w:tblCellMar>
      </w:tblPr>
      <w:tblGrid>
        <w:gridCol w:w="1530"/>
        <w:gridCol w:w="1044"/>
        <w:gridCol w:w="973"/>
        <w:gridCol w:w="346"/>
        <w:gridCol w:w="900"/>
        <w:gridCol w:w="132"/>
        <w:gridCol w:w="132"/>
        <w:gridCol w:w="132"/>
        <w:gridCol w:w="132"/>
        <w:gridCol w:w="346"/>
        <w:gridCol w:w="900"/>
        <w:gridCol w:w="132"/>
        <w:gridCol w:w="109"/>
        <w:gridCol w:w="109"/>
        <w:gridCol w:w="109"/>
        <w:gridCol w:w="346"/>
        <w:gridCol w:w="900"/>
        <w:gridCol w:w="125"/>
        <w:gridCol w:w="125"/>
        <w:gridCol w:w="125"/>
        <w:gridCol w:w="125"/>
        <w:gridCol w:w="346"/>
        <w:gridCol w:w="900"/>
        <w:gridCol w:w="187"/>
      </w:tblGrid>
      <w:tr>
        <w:trPr/>
        <w:tc>
          <w:tcPr>
            <w:tcW w:w="153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GAAP diluted EPS</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Per share adjustments to net income</w:t>
            </w:r>
            <w:r>
              <w:rPr>
                <w:rFonts w:ascii="sans-serif" w:hAnsi="sans-serif"/>
                <w:b w:val="false"/>
                <w:color w:val="000000"/>
                <w:sz w:val="12"/>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EPS</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Weighted-average common shares outstanding –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92,495,764 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92,576,805 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92,794,883 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93,116,173 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Free Cash Flow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percentages)</w:t>
      </w:r>
    </w:p>
    <w:tbl>
      <w:tblPr>
        <w:tblW w:w="10205" w:type="dxa"/>
        <w:jc w:val="center"/>
        <w:tblInd w:w="0" w:type="dxa"/>
        <w:tblLayout w:type="fixed"/>
        <w:tblCellMar>
          <w:top w:w="28" w:type="dxa"/>
          <w:left w:w="28" w:type="dxa"/>
          <w:bottom w:w="28" w:type="dxa"/>
          <w:right w:w="28" w:type="dxa"/>
        </w:tblCellMar>
      </w:tblPr>
      <w:tblGrid>
        <w:gridCol w:w="1488"/>
        <w:gridCol w:w="1154"/>
        <w:gridCol w:w="1161"/>
        <w:gridCol w:w="232"/>
        <w:gridCol w:w="849"/>
        <w:gridCol w:w="278"/>
        <w:gridCol w:w="111"/>
        <w:gridCol w:w="111"/>
        <w:gridCol w:w="111"/>
        <w:gridCol w:w="232"/>
        <w:gridCol w:w="849"/>
        <w:gridCol w:w="278"/>
        <w:gridCol w:w="109"/>
        <w:gridCol w:w="109"/>
        <w:gridCol w:w="109"/>
        <w:gridCol w:w="226"/>
        <w:gridCol w:w="826"/>
        <w:gridCol w:w="271"/>
        <w:gridCol w:w="109"/>
        <w:gridCol w:w="109"/>
        <w:gridCol w:w="109"/>
        <w:gridCol w:w="226"/>
        <w:gridCol w:w="826"/>
        <w:gridCol w:w="322"/>
      </w:tblGrid>
      <w:tr>
        <w:trPr/>
        <w:tc>
          <w:tcPr>
            <w:tcW w:w="148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43,108 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17,009 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89,412 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53,285 </w:t>
            </w:r>
          </w:p>
        </w:tc>
        <w:tc>
          <w:tcPr>
            <w:tcW w:w="32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property and equipment</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(10,502)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(16,971)</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(20,707)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(31,451)</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Cash Flow</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32,606 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68,705 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21,834 </w:t>
            </w:r>
          </w:p>
        </w:tc>
        <w:tc>
          <w:tcPr>
            <w:tcW w:w="32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transaction costs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2,547 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2,547 </w:t>
            </w:r>
          </w:p>
        </w:tc>
        <w:tc>
          <w:tcPr>
            <w:tcW w:w="32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liability stock-based compensation awards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3,451 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litigation costs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2,706 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3,348 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operational efficiency costs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1,227 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1,227 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Free Cash Flow</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36,440 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6,518 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78,650 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28,956 </w:t>
            </w:r>
          </w:p>
        </w:tc>
        <w:tc>
          <w:tcPr>
            <w:tcW w:w="3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Conversion of Adjusted EBITDA to Free Cash Flow</w:t>
            </w:r>
            <w:r>
              <w:rPr>
                <w:rFonts w:ascii="sans-serif" w:hAnsi="sans-serif"/>
                <w:b w:val="false"/>
                <w:color w:val="000000"/>
                <w:sz w:val="12"/>
              </w:rPr>
              <w:t>(1)</w:t>
            </w:r>
          </w:p>
        </w:tc>
        <w:tc>
          <w:tcPr>
            <w:tcW w:w="108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56.5 </w:t>
            </w:r>
          </w:p>
        </w:tc>
        <w:tc>
          <w:tcPr>
            <w:tcW w:w="2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0.1 </w:t>
            </w:r>
          </w:p>
        </w:tc>
        <w:tc>
          <w:tcPr>
            <w:tcW w:w="2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17.6 </w:t>
            </w:r>
          </w:p>
        </w:tc>
        <w:tc>
          <w:tcPr>
            <w:tcW w:w="32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ans-serif" w:hAnsi="sans-serif"/>
                <w:b w:val="false"/>
                <w:color w:val="000000"/>
                <w:sz w:val="18"/>
              </w:rPr>
              <w:t>Conversion of Adjusted EBITDA to Adjusted Free Cash Flow</w:t>
            </w:r>
            <w:r>
              <w:rPr>
                <w:rFonts w:ascii="sans-serif" w:hAnsi="sans-serif"/>
                <w:b w:val="false"/>
                <w:color w:val="000000"/>
                <w:sz w:val="12"/>
              </w:rPr>
              <w:t>(1)</w:t>
            </w:r>
          </w:p>
        </w:tc>
        <w:tc>
          <w:tcPr>
            <w:tcW w:w="10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63.2 </w:t>
            </w:r>
          </w:p>
        </w:tc>
        <w:tc>
          <w:tcPr>
            <w:tcW w:w="2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10.0 </w:t>
            </w:r>
          </w:p>
        </w:tc>
        <w:tc>
          <w:tcPr>
            <w:tcW w:w="2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67.7 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23.3 </w:t>
            </w:r>
          </w:p>
        </w:tc>
        <w:tc>
          <w:tcPr>
            <w:tcW w:w="3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120" w:after="283"/>
        <w:jc w:val="left"/>
        <w:rPr>
          <w:rFonts w:ascii="sans-serif" w:hAnsi="sans-serif"/>
          <w:b w:val="false"/>
          <w:color w:val="000000"/>
          <w:sz w:val="16"/>
        </w:rPr>
      </w:pPr>
      <w:r>
        <w:rPr>
          <w:rFonts w:ascii="sans-serif" w:hAnsi="sans-serif"/>
          <w:b w:val="false"/>
          <w:color w:val="000000"/>
          <w:sz w:val="16"/>
        </w:rPr>
        <w:t>(1) Conversion of Adjusted EBITDA to Free Cash Flow represents Free Cash Flow divided by Adjusted EBITDA. Conversion of Adjusted EBITDA to Adjusted Free Cash Flow represents Adjusted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Definitions of Non-GAAP Metrics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EBITDA and Adjusted EBITDA and Adjusted EBITDA Margin</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EBITDA Margin represents Adjusted EBITDA divided by service revenue.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Adjusted Net Income and Margin</w:t>
      </w:r>
    </w:p>
    <w:p>
      <w:pPr>
        <w:pStyle w:val="TextBody"/>
        <w:bidi w:val="0"/>
        <w:spacing w:lineRule="auto" w:line="288" w:before="120" w:after="283"/>
        <w:ind w:left="0" w:right="0" w:firstLine="540"/>
        <w:jc w:val="both"/>
        <w:rPr/>
      </w:pPr>
      <w:r>
        <w:rPr>
          <w:rFonts w:ascii="sans-serif" w:hAnsi="sans-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sans-serif" w:hAnsi="sans-serif"/>
          <w:b w:val="false"/>
          <w:color w:val="000000"/>
          <w:sz w:val="20"/>
          <w:shd w:fill="FFFFFF" w:val="clear"/>
        </w:rPr>
        <w:t>, transaction costs, operational efficiency costs</w:t>
      </w:r>
      <w:r>
        <w:rPr>
          <w:rFonts w:ascii="sans-serif" w:hAnsi="sans-serif"/>
          <w:b w:val="false"/>
          <w:color w:val="000000"/>
          <w:sz w:val="20"/>
        </w:rPr>
        <w:t>, the effect of foreign currency gains and losses, gains and losses on disposals of assets, certain severance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Net Income Margin represents Adjusted Net Income divided by service revenue.</w:t>
      </w:r>
    </w:p>
    <w:p>
      <w:pPr>
        <w:pStyle w:val="TextBody"/>
        <w:bidi w:val="0"/>
        <w:spacing w:before="120" w:after="283"/>
        <w:ind w:left="0" w:right="0" w:firstLine="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i/>
          <w:color w:val="000000"/>
          <w:sz w:val="20"/>
        </w:rPr>
      </w:pPr>
      <w:r>
        <w:rPr>
          <w:rFonts w:ascii="sans-serif" w:hAnsi="sans-serif"/>
          <w:b/>
          <w:i/>
          <w:color w:val="000000"/>
          <w:sz w:val="20"/>
        </w:rPr>
        <w:t>Adjusted EPS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Free Cash Flow, Adjusted Free Cash Flow, Conversion of Adjusted EBITDA to Free Cash Flow and Conversion of Adjusted EBITDA to Adjusted Free Cash Flow</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Free Cash Flow is a non-GAAP liquidity measure that represents Free Cash Flow before the payments for transaction costs, operational efficiency costs, liability stock-based compensation awards and certain litigation costs that are considered non-recurring and outside of the ordinary course of business, which would hinder comparison of the performance of our business on a period-over-period basis or with other businesses. Our management believes that the inclusion of these supplementary adjustments to Free Cash Flow are appropriate to provide additional information to investors about these unusual items that we do not expect to continue at the same level in the future.</w:t>
      </w:r>
    </w:p>
    <w:p>
      <w:pPr>
        <w:pStyle w:val="TextBody"/>
        <w:bidi w:val="0"/>
        <w:spacing w:lineRule="auto" w:line="288" w:before="120" w:after="283"/>
        <w:ind w:left="0" w:right="0" w:firstLine="540"/>
        <w:jc w:val="left"/>
        <w:rPr>
          <w:rFonts w:ascii="sans-serif" w:hAnsi="sans-serif"/>
          <w:b w:val="false"/>
          <w:color w:val="000000"/>
          <w:sz w:val="20"/>
        </w:rPr>
      </w:pPr>
      <w:r>
        <w:rPr>
          <w:rFonts w:ascii="sans-serif" w:hAnsi="sans-serif"/>
          <w:b w:val="false"/>
          <w:color w:val="000000"/>
          <w:sz w:val="20"/>
        </w:rPr>
        <w:t>Conversion of Adjusted EBITDA to Free Cash Flow represents Free Cash Flow divided by Adjusted EBITDA. Conversion of Adjusted EBITDA to Adjusted Free Cash Flow represents Adjusted Free Cash Flow divided by Adjusted EBITDA.</w:t>
      </w:r>
    </w:p>
    <w:p>
      <w:pPr>
        <w:pStyle w:val="TextBody"/>
        <w:bidi w:val="0"/>
        <w:spacing w:before="0" w:after="0"/>
        <w:jc w:val="left"/>
        <w:rPr/>
      </w:pPr>
      <w:r>
        <w:rPr/>
      </w:r>
    </w:p>
    <w:p>
      <w:pPr>
        <w:pStyle w:val="TextBody"/>
        <w:bidi w:val="0"/>
        <w:spacing w:before="12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5008</Words>
  <Characters>28584</Characters>
  <CharactersWithSpaces>33011</CharactersWithSpaces>
  <Paragraphs>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