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02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114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Sekar Balaji</w:t>
              </w:r>
            </w:hyperlink>
          </w:p>
        </w:tc>
        <w:tc>
          <w:tcPr>
            <w:tcW w:w="8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TaskUs,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TASK</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860" w:type="dxa"/>
            <w:vAlign w:val="bottom"/>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940" w:type="dxa"/>
            <w:vAlign w:val="bottom"/>
            <w:tcBorders>
              <w:top w:val="single" w:sz="8" w:color="0000EE"/>
            </w:tcBorders>
          </w:tcPr>
          <w:p>
            <w:pPr>
              <w:spacing w:after="0"/>
              <w:rPr>
                <w:sz w:val="5"/>
                <w:szCs w:val="5"/>
                <w:color w:val="auto"/>
              </w:rPr>
            </w:pPr>
          </w:p>
        </w:tc>
        <w:tc>
          <w:tcPr>
            <w:tcW w:w="26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1060" w:type="dxa"/>
            <w:vAlign w:val="bottom"/>
            <w:tcBorders>
              <w:top w:val="single" w:sz="8" w:color="0000EE"/>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164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40" w:type="dxa"/>
            <w:vAlign w:val="bottom"/>
          </w:tcPr>
          <w:p>
            <w:pPr>
              <w:spacing w:after="0"/>
              <w:rPr>
                <w:sz w:val="9"/>
                <w:szCs w:val="9"/>
                <w:color w:val="auto"/>
              </w:rPr>
            </w:pPr>
          </w:p>
        </w:tc>
        <w:tc>
          <w:tcPr>
            <w:tcW w:w="1140" w:type="dxa"/>
            <w:vAlign w:val="bottom"/>
            <w:gridSpan w:val="2"/>
            <w:vMerge w:val="restart"/>
          </w:tcPr>
          <w:p>
            <w:pPr>
              <w:spacing w:after="0"/>
              <w:rPr>
                <w:sz w:val="20"/>
                <w:szCs w:val="20"/>
                <w:color w:val="auto"/>
              </w:rPr>
            </w:pPr>
            <w:r>
              <w:rPr>
                <w:rFonts w:ascii="Arial" w:cs="Arial" w:eastAsia="Arial" w:hAnsi="Arial"/>
                <w:sz w:val="13"/>
                <w:szCs w:val="13"/>
                <w:color w:val="auto"/>
              </w:rPr>
              <w:t>(Last)</w:t>
            </w:r>
          </w:p>
        </w:tc>
        <w:tc>
          <w:tcPr>
            <w:tcW w:w="860" w:type="dxa"/>
            <w:vAlign w:val="bottom"/>
            <w:vMerge w:val="restart"/>
          </w:tcPr>
          <w:p>
            <w:pPr>
              <w:ind w:left="80"/>
              <w:spacing w:after="0"/>
              <w:rPr>
                <w:sz w:val="20"/>
                <w:szCs w:val="20"/>
                <w:color w:val="auto"/>
              </w:rPr>
            </w:pPr>
            <w:r>
              <w:rPr>
                <w:rFonts w:ascii="Arial" w:cs="Arial" w:eastAsia="Arial" w:hAnsi="Arial"/>
                <w:sz w:val="13"/>
                <w:szCs w:val="13"/>
                <w:color w:val="auto"/>
              </w:rPr>
              <w:t>(First)</w:t>
            </w:r>
          </w:p>
        </w:tc>
        <w:tc>
          <w:tcPr>
            <w:tcW w:w="1640" w:type="dxa"/>
            <w:vAlign w:val="bottom"/>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268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1640" w:type="dxa"/>
            <w:vAlign w:val="bottom"/>
            <w:vMerge w:val="continue"/>
          </w:tcPr>
          <w:p>
            <w:pPr>
              <w:spacing w:after="0"/>
              <w:rPr>
                <w:sz w:val="16"/>
                <w:szCs w:val="16"/>
                <w:color w:val="auto"/>
              </w:rPr>
            </w:pP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266"/>
        </w:trPr>
        <w:tc>
          <w:tcPr>
            <w:tcW w:w="40" w:type="dxa"/>
            <w:vAlign w:val="bottom"/>
          </w:tcPr>
          <w:p>
            <w:pPr>
              <w:spacing w:after="0"/>
              <w:rPr>
                <w:sz w:val="23"/>
                <w:szCs w:val="23"/>
                <w:color w:val="auto"/>
              </w:rPr>
            </w:pPr>
          </w:p>
        </w:tc>
        <w:tc>
          <w:tcPr>
            <w:tcW w:w="20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C/O TASKUS, INC.</w:t>
            </w:r>
          </w:p>
        </w:tc>
        <w:tc>
          <w:tcPr>
            <w:tcW w:w="1640" w:type="dxa"/>
            <w:vAlign w:val="bottom"/>
          </w:tcPr>
          <w:p>
            <w:pPr>
              <w:spacing w:after="0"/>
              <w:rPr>
                <w:sz w:val="23"/>
                <w:szCs w:val="23"/>
                <w:color w:val="auto"/>
              </w:rPr>
            </w:pPr>
          </w:p>
        </w:tc>
        <w:tc>
          <w:tcPr>
            <w:tcW w:w="122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03/03/2026</w:t>
            </w:r>
          </w:p>
        </w:tc>
        <w:tc>
          <w:tcPr>
            <w:tcW w:w="26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1650 INDEPENDENCE DRIVE, SUITE 100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562"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shd w:val="clear" w:color="auto" w:fill="9A9A9A"/>
          </w:tcPr>
          <w:p>
            <w:pPr>
              <w:spacing w:after="0"/>
              <w:rPr>
                <w:sz w:val="3"/>
                <w:szCs w:val="3"/>
                <w:color w:val="auto"/>
              </w:rPr>
            </w:pPr>
          </w:p>
        </w:tc>
        <w:tc>
          <w:tcPr>
            <w:tcW w:w="560" w:type="dxa"/>
            <w:vAlign w:val="bottom"/>
            <w:shd w:val="clear" w:color="auto" w:fill="9A9A9A"/>
          </w:tcPr>
          <w:p>
            <w:pPr>
              <w:spacing w:after="0"/>
              <w:rPr>
                <w:sz w:val="3"/>
                <w:szCs w:val="3"/>
                <w:color w:val="auto"/>
              </w:rPr>
            </w:pPr>
          </w:p>
        </w:tc>
        <w:tc>
          <w:tcPr>
            <w:tcW w:w="280" w:type="dxa"/>
            <w:vAlign w:val="bottom"/>
            <w:shd w:val="clear" w:color="auto" w:fill="9A9A9A"/>
          </w:tcPr>
          <w:p>
            <w:pPr>
              <w:spacing w:after="0"/>
              <w:rPr>
                <w:sz w:val="3"/>
                <w:szCs w:val="3"/>
                <w:color w:val="auto"/>
              </w:rPr>
            </w:pPr>
          </w:p>
        </w:tc>
        <w:tc>
          <w:tcPr>
            <w:tcW w:w="840" w:type="dxa"/>
            <w:vAlign w:val="bottom"/>
            <w:shd w:val="clear" w:color="auto" w:fill="9A9A9A"/>
          </w:tcPr>
          <w:p>
            <w:pPr>
              <w:spacing w:after="0"/>
              <w:rPr>
                <w:sz w:val="3"/>
                <w:szCs w:val="3"/>
                <w:color w:val="auto"/>
              </w:rPr>
            </w:pPr>
          </w:p>
        </w:tc>
        <w:tc>
          <w:tcPr>
            <w:tcW w:w="1340" w:type="dxa"/>
            <w:vAlign w:val="bottom"/>
            <w:shd w:val="clear" w:color="auto" w:fill="9A9A9A"/>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6"/>
            <w:vMerge w:val="restart"/>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3"/>
                <w:szCs w:val="3"/>
                <w:color w:val="auto"/>
              </w:rPr>
            </w:pPr>
          </w:p>
        </w:tc>
        <w:tc>
          <w:tcPr>
            <w:tcW w:w="3560" w:type="dxa"/>
            <w:vAlign w:val="bottom"/>
            <w:gridSpan w:val="9"/>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vMerge w:val="continue"/>
          </w:tcPr>
          <w:p>
            <w:pPr>
              <w:spacing w:after="0"/>
              <w:rPr>
                <w:sz w:val="9"/>
                <w:szCs w:val="9"/>
                <w:color w:val="auto"/>
              </w:rPr>
            </w:pPr>
          </w:p>
        </w:tc>
        <w:tc>
          <w:tcPr>
            <w:tcW w:w="3540" w:type="dxa"/>
            <w:vAlign w:val="bottom"/>
            <w:gridSpan w:val="6"/>
            <w:vMerge w:val="continue"/>
          </w:tcPr>
          <w:p>
            <w:pPr>
              <w:spacing w:after="0"/>
              <w:rPr>
                <w:sz w:val="9"/>
                <w:szCs w:val="9"/>
                <w:color w:val="auto"/>
              </w:rPr>
            </w:pPr>
          </w:p>
        </w:tc>
        <w:tc>
          <w:tcPr>
            <w:tcW w:w="200" w:type="dxa"/>
            <w:vAlign w:val="bottom"/>
          </w:tcPr>
          <w:p>
            <w:pPr>
              <w:spacing w:after="0"/>
              <w:rPr>
                <w:sz w:val="9"/>
                <w:szCs w:val="9"/>
                <w:color w:val="auto"/>
              </w:rPr>
            </w:pPr>
          </w:p>
        </w:tc>
        <w:tc>
          <w:tcPr>
            <w:tcW w:w="356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gridSpan w:val="3"/>
          </w:tcPr>
          <w:p>
            <w:pPr>
              <w:ind w:left="22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NEW</w:t>
            </w:r>
          </w:p>
        </w:tc>
        <w:tc>
          <w:tcPr>
            <w:tcW w:w="560" w:type="dxa"/>
            <w:vAlign w:val="bottom"/>
          </w:tcPr>
          <w:p>
            <w:pPr>
              <w:spacing w:after="0"/>
              <w:rPr>
                <w:sz w:val="18"/>
                <w:szCs w:val="18"/>
                <w:color w:val="auto"/>
              </w:rPr>
            </w:pPr>
          </w:p>
        </w:tc>
        <w:tc>
          <w:tcPr>
            <w:tcW w:w="2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6"/>
              </w:rPr>
              <w:t>TX</w:t>
            </w:r>
          </w:p>
        </w:tc>
        <w:tc>
          <w:tcPr>
            <w:tcW w:w="840" w:type="dxa"/>
            <w:vAlign w:val="bottom"/>
          </w:tcPr>
          <w:p>
            <w:pPr>
              <w:spacing w:after="0"/>
              <w:rPr>
                <w:sz w:val="18"/>
                <w:szCs w:val="18"/>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78132</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BRAUNFELS</w:t>
            </w:r>
          </w:p>
        </w:tc>
        <w:tc>
          <w:tcPr>
            <w:tcW w:w="28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03/03/2026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8,730</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gridSpan w:val="2"/>
          </w:tcPr>
          <w:p>
            <w:pPr>
              <w:jc w:val="center"/>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183,738</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03/03/2026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(2)</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2,590</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10.92</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181,148</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7, 2025, the Reporting Person was granted restricted stock units subject to performance-based vesting conditions ("PSUs"). On March 3, 2026, the Compensation Committee of the Issuer's Board of Directors certified these PSUs as meeting the performance threshold that resulted in vesting of the number of PSUs as reported herein for the relevant performance period of fiscal year 2025 and these PSUs, which were not previously reported, were deemed earned and vested immediately and settled into shares of the Issuer's Class A common stock on a one-for-one basis.</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Class A common stock withheld in connection with the vesting of PSUs, as described herein, to cover tax withholding obligations.</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4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Claudia Walsh, as</w:t>
            </w:r>
          </w:p>
        </w:tc>
        <w:tc>
          <w:tcPr>
            <w:tcW w:w="62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03/05/2026</w:t>
            </w:r>
          </w:p>
        </w:tc>
        <w:tc>
          <w:tcPr>
            <w:tcW w:w="0" w:type="dxa"/>
            <w:vAlign w:val="bottom"/>
          </w:tcPr>
          <w:p>
            <w:pPr>
              <w:spacing w:after="0"/>
              <w:rPr>
                <w:sz w:val="1"/>
                <w:szCs w:val="1"/>
                <w:color w:val="auto"/>
              </w:rPr>
            </w:pPr>
          </w:p>
        </w:tc>
      </w:tr>
      <w:tr>
        <w:trPr>
          <w:trHeight w:val="87"/>
        </w:trPr>
        <w:tc>
          <w:tcPr>
            <w:tcW w:w="114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4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40" w:type="dxa"/>
            <w:vAlign w:val="bottom"/>
            <w:tcBorders>
              <w:bottom w:val="single" w:sz="8" w:color="auto"/>
            </w:tcBorders>
            <w:vMerge w:val="continue"/>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62676" TargetMode="External"/><Relationship Id="rId14" Type="http://schemas.openxmlformats.org/officeDocument/2006/relationships/hyperlink" Target="http://www.sec.gov/cgi-bin/browse-edgar?action=getcompany&amp;CIK=00018298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2026-03-05T17:00:09Z</dcterms:created>
  <dcterms:modified xsi:type="dcterms:W3CDTF">2026-03-05T17:00:09Z</dcterms:modified>
</cp:coreProperties>
</file>