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from_____________to______________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001-40482</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1650 Independence Drive, Suite 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(888) 400-8275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2, 2024, the number of shares outstanding of the registrant’s common stock was as follows: Class A common stock, par value $0.01 per share: 18,682,805; Class B common stock, par value $0.01 per share: 70,032,694.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Quarterly Period Ended 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0">
              <w:r>
                <w:rPr>
                  <w:rStyle w:val="InternetLink"/>
                  <w:rFonts w:ascii="Times New Roman;sans-serif" w:hAnsi="Times New Roman;sans-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0">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
              <w:r>
                <w:rPr>
                  <w:rStyle w:val="InternetLink"/>
                  <w:rFonts w:ascii="Times New Roman;sans-serif" w:hAnsi="Times New Roman;sans-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3">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6">
              <w:r>
                <w:rPr>
                  <w:rStyle w:val="InternetLink"/>
                  <w:rFonts w:ascii="Times New Roman;sans-serif" w:hAnsi="Times New Roman;sans-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6">
              <w:r>
                <w:rPr>
                  <w:rStyle w:val="InternetLink"/>
                  <w:rFonts w:ascii="Times New Roman;sans-serif" w:hAnsi="Times New Roman;sans-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6">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9">
              <w:r>
                <w:rPr>
                  <w:rStyle w:val="InternetLink"/>
                  <w:rFonts w:ascii="Times New Roman;sans-serif" w:hAnsi="Times New Roman;sans-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9">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22">
              <w:r>
                <w:rPr>
                  <w:rStyle w:val="InternetLink"/>
                  <w:rFonts w:ascii="Times New Roman;sans-serif" w:hAnsi="Times New Roman;sans-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25">
              <w:r>
                <w:rPr>
                  <w:rStyle w:val="InternetLink"/>
                  <w:rFonts w:ascii="Times New Roman;sans-serif" w:hAnsi="Times New Roman;sans-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28">
              <w:r>
                <w:rPr>
                  <w:rStyle w:val="InternetLink"/>
                  <w:rFonts w:ascii="Times New Roman;sans-serif" w:hAnsi="Times New Roman;sans-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31">
              <w:r>
                <w:rPr>
                  <w:rStyle w:val="InternetLink"/>
                  <w:rFonts w:ascii="Times New Roman;sans-serif" w:hAnsi="Times New Roman;sans-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34">
              <w:r>
                <w:rPr>
                  <w:rStyle w:val="InternetLink"/>
                  <w:rFonts w:ascii="Times New Roman;sans-serif" w:hAnsi="Times New Roman;sans-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34">
              <w:r>
                <w:rPr>
                  <w:rStyle w:val="InternetLink"/>
                  <w:rFonts w:ascii="Times New Roman;sans-serif" w:hAnsi="Times New Roman;sans-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37">
              <w:r>
                <w:rPr>
                  <w:rStyle w:val="InternetLink"/>
                  <w:rFonts w:ascii="Times New Roman;sans-serif" w:hAnsi="Times New Roman;sans-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37">
              <w:r>
                <w:rPr>
                  <w:rStyle w:val="InternetLink"/>
                  <w:rFonts w:ascii="Times New Roman;sans-serif" w:hAnsi="Times New Roman;sans-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85">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85">
              <w:r>
                <w:rPr>
                  <w:rStyle w:val="InternetLink"/>
                  <w:rFonts w:ascii="Times New Roman;sans-serif" w:hAnsi="Times New Roman;sans-serif"/>
                  <w:b w:val="false"/>
                  <w:strike w:val="false"/>
                  <w:dstrike w:val="false"/>
                  <w:color w:val="000000"/>
                  <w:sz w:val="20"/>
                  <w:u w:val="none"/>
                  <w:effect w:val="none"/>
                </w:rPr>
                <w:t>18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15">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15">
              <w:r>
                <w:rPr>
                  <w:rStyle w:val="InternetLink"/>
                  <w:rFonts w:ascii="Times New Roman;sans-serif" w:hAnsi="Times New Roman;sans-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15">
              <w:r>
                <w:rPr>
                  <w:rStyle w:val="InternetLink"/>
                  <w:rFonts w:ascii="Times New Roman;sans-serif" w:hAnsi="Times New Roman;sans-serif"/>
                  <w:b w:val="false"/>
                  <w:strike w:val="false"/>
                  <w:dstrike w:val="false"/>
                  <w:color w:val="000000"/>
                  <w:sz w:val="20"/>
                  <w:u w:val="none"/>
                  <w:effect w:val="non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18">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18">
              <w:r>
                <w:rPr>
                  <w:rStyle w:val="InternetLink"/>
                  <w:rFonts w:ascii="Times New Roman;sans-serif" w:hAnsi="Times New Roman;sans-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18">
              <w:r>
                <w:rPr>
                  <w:rStyle w:val="InternetLink"/>
                  <w:rFonts w:ascii="Times New Roman;sans-serif" w:hAnsi="Times New Roman;sans-serif"/>
                  <w:b w:val="false"/>
                  <w:strike w:val="false"/>
                  <w:dstrike w:val="false"/>
                  <w:color w:val="000000"/>
                  <w:sz w:val="20"/>
                  <w:u w:val="none"/>
                  <w:effect w:val="none"/>
                </w:rPr>
                <w:t>30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21">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21">
              <w:r>
                <w:rPr>
                  <w:rStyle w:val="InternetLink"/>
                  <w:rFonts w:ascii="Times New Roman;sans-serif" w:hAnsi="Times New Roman;sans-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21">
              <w:r>
                <w:rPr>
                  <w:rStyle w:val="InternetLink"/>
                  <w:rFonts w:ascii="Times New Roman;sans-serif" w:hAnsi="Times New Roman;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24">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24">
              <w:r>
                <w:rPr>
                  <w:rStyle w:val="InternetLink"/>
                  <w:rFonts w:ascii="Times New Roman;sans-serif" w:hAnsi="Times New Roman;sans-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24">
              <w:r>
                <w:rPr>
                  <w:rStyle w:val="InternetLink"/>
                  <w:rFonts w:ascii="Times New Roman;sans-serif" w:hAnsi="Times New Roman;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27">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27">
              <w:r>
                <w:rPr>
                  <w:rStyle w:val="InternetLink"/>
                  <w:rFonts w:ascii="Times New Roman;sans-serif" w:hAnsi="Times New Roman;sans-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27">
              <w:r>
                <w:rPr>
                  <w:rStyle w:val="InternetLink"/>
                  <w:rFonts w:ascii="Times New Roman;sans-serif" w:hAnsi="Times New Roman;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0">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0">
              <w:r>
                <w:rPr>
                  <w:rStyle w:val="InternetLink"/>
                  <w:rFonts w:ascii="Times New Roman;sans-serif" w:hAnsi="Times New Roman;sans-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30">
              <w:r>
                <w:rPr>
                  <w:rStyle w:val="InternetLink"/>
                  <w:rFonts w:ascii="Times New Roman;sans-serif" w:hAnsi="Times New Roman;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3">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3">
              <w:r>
                <w:rPr>
                  <w:rStyle w:val="InternetLink"/>
                  <w:rFonts w:ascii="Times New Roman;sans-serif" w:hAnsi="Times New Roman;sans-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33">
              <w:r>
                <w:rPr>
                  <w:rStyle w:val="InternetLink"/>
                  <w:rFonts w:ascii="Times New Roman;sans-serif" w:hAnsi="Times New Roman;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6">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6">
              <w:r>
                <w:rPr>
                  <w:rStyle w:val="InternetLink"/>
                  <w:rFonts w:ascii="Times New Roman;sans-serif" w:hAnsi="Times New Roman;sans-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36">
              <w:r>
                <w:rPr>
                  <w:rStyle w:val="InternetLink"/>
                  <w:rFonts w:ascii="Times New Roman;sans-serif" w:hAnsi="Times New Roman;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9">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39">
              <w:r>
                <w:rPr>
                  <w:rStyle w:val="InternetLink"/>
                  <w:rFonts w:ascii="Times New Roman;sans-serif" w:hAnsi="Times New Roman;sans-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39">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42">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42">
              <w:r>
                <w:rPr>
                  <w:rStyle w:val="InternetLink"/>
                  <w:rFonts w:ascii="Times New Roman;sans-serif" w:hAnsi="Times New Roman;sans-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42">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50f17820854de7bd205c5c4c48720c_145">
              <w:r>
                <w:rPr>
                  <w:rStyle w:val="InternetLink"/>
                  <w:rFonts w:ascii="Times New Roman;sans-serif" w:hAnsi="Times New Roman;sans-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c50f17820854de7bd205c5c4c48720c_145">
              <w:r>
                <w:rPr>
                  <w:rStyle w:val="InternetLink"/>
                  <w:rFonts w:ascii="Times New Roman;sans-serif" w:hAnsi="Times New Roman;sans-serif"/>
                  <w:b w:val="false"/>
                  <w:strike w:val="false"/>
                  <w:dstrike w:val="false"/>
                  <w:color w:val="000000"/>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2023 (our "Annual Report") as filed with the SEC, as such risk factors may be updated from time to time in our periodic filings with the SEC, which are accessible on the SEC’s website at www.sec.gov. Such risks and uncertainties include, but are not limited to, the following: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dependent on key clients, and the loss of a key client could have an adverse effect on our business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clients may terminate contracts before completion or choose not to renew contracts and loss of business or non-payment from clients could materially affect our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cost-effectively acquire and retain new clients, which would adversely affect our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Utilization of artificial intelligence by our clients or our failure to incorporate artificial intelligence into our operations could adversely affect our business, reputation, or financial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Trust and Safety, including content monitoring and moderation services, is a large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Global economic and political conditions, especially in the social media and meal delivery and transport industries from which we generate significant revenue, could adversely affect our business, results of operations, financial condition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Fluctuations against the U.S. dollar in the local currencies in the countries in which we operate could have a material effect on our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depends on a strong brand and corporate reputation, and if we are not able to maintain and enhance our brand, our ability to expand our client base could be impaired and our business and operating results will be adversely affected.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Pricing pressure may reduce our revenue or gross profits and adversely affect our financial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success of our business depends on our senior management and key employees.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Increases in employee expenses as well as changes to labor laws could reduce our profit margin.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relies heavily on owned and third-party technology and computer systems, which subjects us to various uncertainties.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profitability will suffer if we are not able to maintain asset utilization levels, price appropriately and control our costs.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Certain investment funds associated with Blackstone Inc. and our Co-Founders control us and their interests may conflict with ours or yours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those stockholders who held our common stock prior to the completion of our June 2021 initial public offering, and it may depress the trading price of our Class A common stock.</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(www.taskus.com) and our social media outlets, such as Facebook, Instagram, LinkedIn, YouTube and X (formerly known as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X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35"/>
        <w:gridCol w:w="2394"/>
        <w:gridCol w:w="2391"/>
        <w:gridCol w:w="196"/>
        <w:gridCol w:w="736"/>
        <w:gridCol w:w="109"/>
        <w:gridCol w:w="109"/>
        <w:gridCol w:w="109"/>
        <w:gridCol w:w="109"/>
        <w:gridCol w:w="201"/>
        <w:gridCol w:w="756"/>
        <w:gridCol w:w="160"/>
      </w:tblGrid>
      <w:tr>
        <w:trPr/>
        <w:tc>
          <w:tcPr>
            <w:tcW w:w="2935"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credit losses of $1,658 and $1,978,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328,518 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535,684 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864,202 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101,804 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321,687 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423,491 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10)</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Authorized 2,500,000,000; 31,703,199 issued and 18,596,409 outstanding and 30,522,570 issued and 18,725,947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B convertible common stock, $0.01 par value. Authorized 250,000,000; 70,032,694 and 70,032,694 shares issued and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13,106,790 and 11,796,623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864,202 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9550" w:type="dxa"/>
        <w:jc w:val="left"/>
        <w:tblInd w:w="0" w:type="dxa"/>
        <w:tblLayout w:type="fixed"/>
        <w:tblCellMar>
          <w:top w:w="28" w:type="dxa"/>
          <w:left w:w="28" w:type="dxa"/>
          <w:bottom w:w="28" w:type="dxa"/>
          <w:right w:w="28" w:type="dxa"/>
        </w:tblCellMar>
      </w:tblPr>
      <w:tblGrid>
        <w:gridCol w:w="1537"/>
        <w:gridCol w:w="1349"/>
        <w:gridCol w:w="1358"/>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88,331,992 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88,563,601 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97,042,881 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91,629,930 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98,200,005 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91,739,908 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99,576,289 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7830" w:type="dxa"/>
        <w:jc w:val="left"/>
        <w:tblInd w:w="0" w:type="dxa"/>
        <w:tblLayout w:type="fixed"/>
        <w:tblCellMar>
          <w:top w:w="28" w:type="dxa"/>
          <w:left w:w="28" w:type="dxa"/>
          <w:bottom w:w="28" w:type="dxa"/>
          <w:right w:w="28" w:type="dxa"/>
        </w:tblCellMar>
      </w:tblPr>
      <w:tblGrid>
        <w:gridCol w:w="1084"/>
        <w:gridCol w:w="955"/>
        <w:gridCol w:w="96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benefit reserves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4293"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37"/>
        <w:gridCol w:w="801"/>
        <w:gridCol w:w="133"/>
        <w:gridCol w:w="109"/>
        <w:gridCol w:w="109"/>
        <w:gridCol w:w="109"/>
        <w:gridCol w:w="435"/>
        <w:gridCol w:w="436"/>
        <w:gridCol w:w="196"/>
        <w:gridCol w:w="109"/>
        <w:gridCol w:w="109"/>
        <w:gridCol w:w="109"/>
        <w:gridCol w:w="196"/>
        <w:gridCol w:w="66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29,257,651 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29,489,895 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2,039,732 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475,755 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3,223,283 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June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29,804,225 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5,263,015 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458,799 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446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30,522,570 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11,796,623 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31,020,925 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(78,270)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12,082,234 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722,711 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1,024,556 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June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31,703,199 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13,106,790 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243" w:type="dxa"/>
        <w:jc w:val="center"/>
        <w:tblInd w:w="0" w:type="dxa"/>
        <w:tblLayout w:type="fixed"/>
        <w:tblCellMar>
          <w:top w:w="28" w:type="dxa"/>
          <w:left w:w="28" w:type="dxa"/>
          <w:bottom w:w="28" w:type="dxa"/>
          <w:right w:w="28" w:type="dxa"/>
        </w:tblCellMar>
      </w:tblPr>
      <w:tblGrid>
        <w:gridCol w:w="2097"/>
        <w:gridCol w:w="1839"/>
        <w:gridCol w:w="1853"/>
        <w:gridCol w:w="196"/>
        <w:gridCol w:w="73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 (gains) on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employee-related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loan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deferred business acquisition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TaskUs, Inc.</w:t>
      </w:r>
      <w:r>
        <w:rPr>
          <w:color w:val="000000"/>
        </w:rPr>
        <w:t xml:space="preserve"> </w:t>
      </w:r>
      <w:r>
        <w:rPr>
          <w:rFonts w:ascii="Times New Roman;sans-serif" w:hAnsi="Times New Roman;sans-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and Safety, and Artificial Intelligence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AI</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Services. The Company has designed its platform to enable it to rapidly scale and benefit from its clients’ growth. Through its agile and responsive operational model, the Company delivers services from multiple delivery sites that span globally from the United States, the Philippines, India and other parts of the world.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Digital Customer Experience</w:t>
      </w:r>
      <w:r>
        <w:rPr>
          <w:rFonts w:ascii="Times New Roman;sans-serif" w:hAnsi="Times New Roman;sans-serif"/>
          <w:b w:val="false"/>
          <w:color w:val="000000"/>
          <w:sz w:val="20"/>
        </w:rPr>
        <w:t>: Principally consists of omni-channel customer care services, primarily delivered through digital (non-voice) channels.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rPr>
        <w:t>Trust and Safety</w:t>
      </w:r>
      <w:r>
        <w:rPr>
          <w:rFonts w:ascii="Times New Roman;sans-serif" w:hAnsi="Times New Roman;sans-serif"/>
          <w:b w:val="false"/>
          <w:color w:val="000000"/>
          <w:sz w:val="20"/>
        </w:rPr>
        <w:t>: Principally consists of review and disposition of user and advertiser generated visual, text and audio content for purposes which include removal or labeling of policy violating, offensive or misleading content. Also included in this area are our offerings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AI Services</w:t>
      </w:r>
      <w:r>
        <w:rPr>
          <w:rFonts w:ascii="Times New Roman;sans-serif" w:hAnsi="Times New Roman;sans-serif"/>
          <w:b w:val="false"/>
          <w:color w:val="000000"/>
          <w:sz w:val="20"/>
        </w:rPr>
        <w:t>: Principally consists of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and reporting policies of the Company are in accordance with accounting principles generally accepted in the United States of America ("US GAAP"). Our Annual Report on Form 10-K for the year ended December 31, 2023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2023 included in the Annual Report. In the opinion of the Company, the accompanying unaudited condensed consolidated financial statements contain all adjustments, consisting of only normal recurring adjustments, necessary for a fair statement of its financial position as of June 30, 2024 and its results of operations, comprehensive income and shareholders’ equity for the three and six months ended June 30, 2024 and 2023, and cash flows for the six months ended June 30, 2024 and 2023. The condensed consolidated balance sheet as of December 31, 2023, was derived from audited annual financial statements but does not contain all of the footnote disclosures from the annual financial statements.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 Use of Estimates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ans-serif" w:hAnsi="Times New Roman;sans-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 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 Concentration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customers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the following client represented greater than 10% of the Company’s service revenue:</w:t>
      </w:r>
    </w:p>
    <w:tbl>
      <w:tblPr>
        <w:tblW w:w="5493"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189"/>
        <w:gridCol w:w="189"/>
        <w:gridCol w:w="445"/>
        <w:gridCol w:w="189"/>
        <w:gridCol w:w="189"/>
        <w:gridCol w:w="189"/>
        <w:gridCol w:w="189"/>
        <w:gridCol w:w="189"/>
        <w:gridCol w:w="445"/>
        <w:gridCol w:w="109"/>
        <w:gridCol w:w="109"/>
        <w:gridCol w:w="109"/>
        <w:gridCol w:w="171"/>
        <w:gridCol w:w="171"/>
        <w:gridCol w:w="401"/>
        <w:gridCol w:w="171"/>
        <w:gridCol w:w="171"/>
        <w:gridCol w:w="171"/>
        <w:gridCol w:w="171"/>
        <w:gridCol w:w="171"/>
        <w:gridCol w:w="47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 revenue percentage</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following clients represented greater than 10% of the Company’s accounts receivable: </w:t>
      </w:r>
    </w:p>
    <w:tbl>
      <w:tblPr>
        <w:tblW w:w="4183"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65"/>
        <w:gridCol w:w="265"/>
        <w:gridCol w:w="625"/>
        <w:gridCol w:w="200"/>
        <w:gridCol w:w="200"/>
        <w:gridCol w:w="200"/>
        <w:gridCol w:w="322"/>
        <w:gridCol w:w="322"/>
        <w:gridCol w:w="90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 percentage</w:t>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Less than 10%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including the majority of its employees and the fixed assets owned by its wholly owned subsidiaries, are located in the Philippines.</w:t>
      </w:r>
    </w:p>
    <w:p>
      <w:pPr>
        <w:pStyle w:val="TextBody"/>
        <w:bidi w:val="0"/>
        <w:spacing w:lineRule="auto" w:line="26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ASU 2023-07, Segment Reporting (Topic 280): Improvements to Reportable Segment Disclosures. This standard requires enhanced disclosure of significant segment expenses, and other segment items, on an annual and interim basis. This Accounting Standards Update (“ASU”) will be effective for the Company for fiscal years beginning after December 15, 2023, and interim periods within fiscal years beginning after December 15, 2024. Early adoption is permitted. This ASU will be applied retrospectively to all periods presented in the financial statements. The Company is currently reviewing this ASU, but does not expect its adoption to have a material impact on its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is currently reviewing this ASU, but does not expect its adoption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15, 2022 (the "Closing Date"), the Company completed the acquisition of 100% of the equity interests of Parsec d.o.o. and Q Experience d.o.o. (collectively, "heloo") for $35.4 million. The former shareholders of heloo were also eligible to receive contingent earn-out payments not to exceed €20 million, based on performance compared to prescribed EBITDA targets outlined in the purchase agreement during each of the one year periods ending April 30, 2023 and 2024, respectively. The second earnout period expired as of April 30, 2024, with no additional amount paid, and the total fair value of remaining contingent earn-out payments was determined to be $0.0 million as of December 31, 2023. Since these payments were contingent on future service conditions, they were recognized as compensation expense ratably over the required service period. For the three and six months ended June 30, 2024, the Company recognized $0.0 million and $0.0 million, respectively, and $1.3 million and $7.9 million for the three and six months ended June 30, 2023, respectively, in compensation expense related to the contingent earn-out payments included in selling, general, and administrative expenses. The Company paid $0.1 million related to holdback cash consideration during the six months ended June 30, 2024, which is included in payments for deferred business acquisition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4. Revenue from Contracts with Customers</w:t>
      </w:r>
    </w:p>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7350" w:type="dxa"/>
        <w:jc w:val="left"/>
        <w:tblInd w:w="0" w:type="dxa"/>
        <w:tblLayout w:type="fixed"/>
        <w:tblCellMar>
          <w:top w:w="28" w:type="dxa"/>
          <w:left w:w="28" w:type="dxa"/>
          <w:bottom w:w="28" w:type="dxa"/>
          <w:right w:w="28" w:type="dxa"/>
        </w:tblCellMar>
      </w:tblPr>
      <w:tblGrid>
        <w:gridCol w:w="782"/>
        <w:gridCol w:w="688"/>
        <w:gridCol w:w="69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6434" w:type="dxa"/>
        <w:jc w:val="left"/>
        <w:tblInd w:w="0" w:type="dxa"/>
        <w:tblLayout w:type="fixed"/>
        <w:tblCellMar>
          <w:top w:w="28" w:type="dxa"/>
          <w:left w:w="28" w:type="dxa"/>
          <w:bottom w:w="28" w:type="dxa"/>
          <w:right w:w="28" w:type="dxa"/>
        </w:tblCellMar>
      </w:tblPr>
      <w:tblGrid>
        <w:gridCol w:w="451"/>
        <w:gridCol w:w="396"/>
        <w:gridCol w:w="39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includes $78.0 million and $77.2 million of unbilled revenue as of June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5. Forward Contracts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2024 and 2023, the Company entered into foreign currency exchange rate forward contracts, with three commercial banks as the counterparties, with maturities of generally 12 months or less, to reduce the volatility of cash flows primarily related to forecasted costs denominated in Philippine pesos and Indian rupees. </w:t>
      </w:r>
      <w:r>
        <w:rPr>
          <w:rFonts w:ascii="Times New Roman;sans-serif" w:hAnsi="Times New Roman;sans-serif"/>
          <w:b w:val="false"/>
          <w:color w:val="000000"/>
          <w:sz w:val="20"/>
          <w:shd w:fill="FFFFFF" w:val="clear"/>
        </w:rPr>
        <w:t xml:space="preserve">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income, net in the statements of income. </w:t>
      </w:r>
      <w:r>
        <w:rPr>
          <w:rFonts w:ascii="Times New Roman;sans-serif" w:hAnsi="Times New Roman;sans-serif"/>
          <w:b w:val="false"/>
          <w:color w:val="000000"/>
          <w:sz w:val="20"/>
        </w:rPr>
        <w:t xml:space="preserve">The forward contract receivable (payable) resulting from changes in fair value was recorded under prepaid expenses and other current assets (accounts payable and accrued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settled forward contracts and realized and unrealized losses (gains) associated with derivative contracts:</w:t>
      </w:r>
    </w:p>
    <w:tbl>
      <w:tblPr>
        <w:tblW w:w="10016" w:type="dxa"/>
        <w:jc w:val="left"/>
        <w:tblInd w:w="0" w:type="dxa"/>
        <w:tblLayout w:type="fixed"/>
        <w:tblCellMar>
          <w:top w:w="28" w:type="dxa"/>
          <w:left w:w="28" w:type="dxa"/>
          <w:bottom w:w="28" w:type="dxa"/>
          <w:right w:w="28" w:type="dxa"/>
        </w:tblCellMar>
      </w:tblPr>
      <w:tblGrid>
        <w:gridCol w:w="1694"/>
        <w:gridCol w:w="1490"/>
        <w:gridCol w:w="1495"/>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Philippine pesos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Indian rupees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settled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losses (gains) from settlement of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(gains) on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outstanding forward contracts:</w:t>
      </w:r>
    </w:p>
    <w:tbl>
      <w:tblPr>
        <w:tblW w:w="7561" w:type="dxa"/>
        <w:jc w:val="left"/>
        <w:tblInd w:w="0" w:type="dxa"/>
        <w:tblLayout w:type="fixed"/>
        <w:tblCellMar>
          <w:top w:w="28" w:type="dxa"/>
          <w:left w:w="28" w:type="dxa"/>
          <w:bottom w:w="28" w:type="dxa"/>
          <w:right w:w="28" w:type="dxa"/>
        </w:tblCellMar>
      </w:tblPr>
      <w:tblGrid>
        <w:gridCol w:w="1830"/>
        <w:gridCol w:w="1610"/>
        <w:gridCol w:w="1614"/>
        <w:gridCol w:w="196"/>
        <w:gridCol w:w="736"/>
        <w:gridCol w:w="109"/>
        <w:gridCol w:w="109"/>
        <w:gridCol w:w="109"/>
        <w:gridCol w:w="109"/>
        <w:gridCol w:w="205"/>
        <w:gridCol w:w="773"/>
        <w:gridCol w:w="161"/>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Philippine pesos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Indian rupees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outstanding forward contracts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214,222 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the Company offsets assets and liabilities for forward contracts with the same counterparty that it has the right and intent to net settle upon maturity; however, it does not offset assets and liabilities under master netting arrangements that it does not intend to net settle. The following table presents information about the Company’s assets and liabilities that are measured at fair value on a recurring basis, and indicates the fair value hierarchy of the valuation techniques utilized to determine such fair value, at June 30, 2024 and December 31, 2023:</w:t>
      </w:r>
    </w:p>
    <w:tbl>
      <w:tblPr>
        <w:tblW w:w="10893" w:type="dxa"/>
        <w:jc w:val="left"/>
        <w:tblInd w:w="0" w:type="dxa"/>
        <w:tblLayout w:type="fixed"/>
        <w:tblCellMar>
          <w:top w:w="28" w:type="dxa"/>
          <w:left w:w="28" w:type="dxa"/>
          <w:bottom w:w="28" w:type="dxa"/>
          <w:right w:w="28" w:type="dxa"/>
        </w:tblCellMar>
      </w:tblPr>
      <w:tblGrid>
        <w:gridCol w:w="344"/>
        <w:gridCol w:w="263"/>
        <w:gridCol w:w="264"/>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196"/>
        <w:gridCol w:w="646"/>
        <w:gridCol w:w="109"/>
        <w:gridCol w:w="109"/>
        <w:gridCol w:w="109"/>
        <w:gridCol w:w="109"/>
        <w:gridCol w:w="322"/>
        <w:gridCol w:w="668"/>
        <w:gridCol w:w="181"/>
        <w:gridCol w:w="109"/>
        <w:gridCol w:w="109"/>
        <w:gridCol w:w="109"/>
        <w:gridCol w:w="196"/>
        <w:gridCol w:w="646"/>
        <w:gridCol w:w="109"/>
        <w:gridCol w:w="109"/>
        <w:gridCol w:w="109"/>
        <w:gridCol w:w="109"/>
        <w:gridCol w:w="314"/>
        <w:gridCol w:w="651"/>
        <w:gridCol w:w="176"/>
        <w:gridCol w:w="109"/>
        <w:gridCol w:w="109"/>
        <w:gridCol w:w="109"/>
        <w:gridCol w:w="196"/>
        <w:gridCol w:w="646"/>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60"/>
        <w:gridCol w:w="278"/>
        <w:gridCol w:w="279"/>
        <w:gridCol w:w="200"/>
        <w:gridCol w:w="414"/>
        <w:gridCol w:w="111"/>
        <w:gridCol w:w="109"/>
        <w:gridCol w:w="109"/>
        <w:gridCol w:w="109"/>
        <w:gridCol w:w="199"/>
        <w:gridCol w:w="429"/>
        <w:gridCol w:w="111"/>
        <w:gridCol w:w="109"/>
        <w:gridCol w:w="109"/>
        <w:gridCol w:w="109"/>
        <w:gridCol w:w="200"/>
        <w:gridCol w:w="414"/>
        <w:gridCol w:w="111"/>
        <w:gridCol w:w="109"/>
        <w:gridCol w:w="109"/>
        <w:gridCol w:w="109"/>
        <w:gridCol w:w="206"/>
        <w:gridCol w:w="443"/>
        <w:gridCol w:w="114"/>
        <w:gridCol w:w="109"/>
        <w:gridCol w:w="109"/>
        <w:gridCol w:w="109"/>
        <w:gridCol w:w="334"/>
        <w:gridCol w:w="694"/>
        <w:gridCol w:w="188"/>
        <w:gridCol w:w="109"/>
        <w:gridCol w:w="109"/>
        <w:gridCol w:w="109"/>
        <w:gridCol w:w="217"/>
        <w:gridCol w:w="468"/>
        <w:gridCol w:w="122"/>
        <w:gridCol w:w="109"/>
        <w:gridCol w:w="109"/>
        <w:gridCol w:w="109"/>
        <w:gridCol w:w="363"/>
        <w:gridCol w:w="641"/>
        <w:gridCol w:w="203"/>
        <w:gridCol w:w="109"/>
        <w:gridCol w:w="109"/>
        <w:gridCol w:w="109"/>
        <w:gridCol w:w="204"/>
        <w:gridCol w:w="440"/>
        <w:gridCol w:w="173"/>
      </w:tblGrid>
      <w:tr>
        <w:trPr/>
        <w:tc>
          <w:tcPr>
            <w:tcW w:w="3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8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property and equipment, net as of June 30, 2024 and December 31, 2023 were as follows:</w:t>
      </w:r>
    </w:p>
    <w:tbl>
      <w:tblPr>
        <w:tblW w:w="4712" w:type="dxa"/>
        <w:jc w:val="left"/>
        <w:tblInd w:w="0" w:type="dxa"/>
        <w:tblLayout w:type="fixed"/>
        <w:tblCellMar>
          <w:top w:w="28" w:type="dxa"/>
          <w:left w:w="28" w:type="dxa"/>
          <w:bottom w:w="28" w:type="dxa"/>
          <w:right w:w="28" w:type="dxa"/>
        </w:tblCellMar>
      </w:tblPr>
      <w:tblGrid>
        <w:gridCol w:w="829"/>
        <w:gridCol w:w="730"/>
        <w:gridCol w:w="735"/>
        <w:gridCol w:w="196"/>
        <w:gridCol w:w="646"/>
        <w:gridCol w:w="109"/>
        <w:gridCol w:w="109"/>
        <w:gridCol w:w="109"/>
        <w:gridCol w:w="109"/>
        <w:gridCol w:w="224"/>
        <w:gridCol w:w="740"/>
        <w:gridCol w:w="17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computers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gross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are in the Philippines where the majority of property and equipment resides under its wholly owned subsidiaries. The table below presents the Company’s total property and equipment by geographic location as of June 30, 2024 and December 31, 2023:</w:t>
      </w:r>
    </w:p>
    <w:tbl>
      <w:tblPr>
        <w:tblW w:w="4532" w:type="dxa"/>
        <w:jc w:val="left"/>
        <w:tblInd w:w="0" w:type="dxa"/>
        <w:tblLayout w:type="fixed"/>
        <w:tblCellMar>
          <w:top w:w="28" w:type="dxa"/>
          <w:left w:w="28" w:type="dxa"/>
          <w:bottom w:w="28" w:type="dxa"/>
          <w:right w:w="28" w:type="dxa"/>
        </w:tblCellMar>
      </w:tblPr>
      <w:tblGrid>
        <w:gridCol w:w="766"/>
        <w:gridCol w:w="673"/>
        <w:gridCol w:w="675"/>
        <w:gridCol w:w="196"/>
        <w:gridCol w:w="646"/>
        <w:gridCol w:w="109"/>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7. Goodwill and Intangibles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during the period were as follows:</w:t>
      </w:r>
    </w:p>
    <w:tbl>
      <w:tblPr>
        <w:tblW w:w="3591" w:type="dxa"/>
        <w:jc w:val="left"/>
        <w:tblInd w:w="0" w:type="dxa"/>
        <w:tblLayout w:type="fixed"/>
        <w:tblCellMar>
          <w:top w:w="28" w:type="dxa"/>
          <w:left w:w="28" w:type="dxa"/>
          <w:bottom w:w="28" w:type="dxa"/>
          <w:right w:w="28" w:type="dxa"/>
        </w:tblCellMar>
      </w:tblPr>
      <w:tblGrid>
        <w:gridCol w:w="907"/>
        <w:gridCol w:w="798"/>
        <w:gridCol w:w="800"/>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June 30, 2024 and December 31, 2023:</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of current and noncurrent portions of debt consisted of the following as of June 30, 2024 and December 31, 2023:</w:t>
      </w:r>
    </w:p>
    <w:tbl>
      <w:tblPr>
        <w:tblW w:w="957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the Company amended and restated its prior credit agreement (as amended and restated the "2022 Credit Agreement"), which includes a $270.0 million term loan (the "2022 Term Loan Facility") and a $190.0 million revolving credit facility (the "2022 Revolving Credit Facility" and, together with the 2022 Term Loan Facility, the "2022 Credit Facilities").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Term Loan Facility matures on September 7, 2027. We have elected to pay interest on borrowings under the 2022 Term Loan Facility based on the SOFR rate. The interest rate in effect for the 2022 Term Loan Facility as of June 30, 2024 was 7.694% per annum. Due to its variable interest rates, the carrying amount of debt approximates fair value based on the present value of future cash flows using Level 2 inputs.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Revolving Credit Facility terminates on September 7, 2027. As of June 30, 2024, the Company had no balance outstanding and $190.0 million of borrowing availability under the 2022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debt covenants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operating lease costs recorded to cost of services:</w:t>
      </w:r>
    </w:p>
    <w:tbl>
      <w:tblPr>
        <w:tblW w:w="7876"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212"/>
        <w:gridCol w:w="602"/>
        <w:gridCol w:w="118"/>
        <w:gridCol w:w="118"/>
        <w:gridCol w:w="118"/>
        <w:gridCol w:w="118"/>
        <w:gridCol w:w="212"/>
        <w:gridCol w:w="602"/>
        <w:gridCol w:w="118"/>
        <w:gridCol w:w="109"/>
        <w:gridCol w:w="109"/>
        <w:gridCol w:w="109"/>
        <w:gridCol w:w="196"/>
        <w:gridCol w:w="556"/>
        <w:gridCol w:w="109"/>
        <w:gridCol w:w="109"/>
        <w:gridCol w:w="109"/>
        <w:gridCol w:w="109"/>
        <w:gridCol w:w="196"/>
        <w:gridCol w:w="55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weighted average discount rate for the Company's operating leases as of June 30, 2024 and December 31, 2023:</w:t>
      </w:r>
    </w:p>
    <w:tbl>
      <w:tblPr>
        <w:tblW w:w="6202"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58"/>
        <w:gridCol w:w="258"/>
        <w:gridCol w:w="608"/>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the Company's operating leases:</w:t>
      </w:r>
    </w:p>
    <w:tbl>
      <w:tblPr>
        <w:tblW w:w="8166" w:type="dxa"/>
        <w:jc w:val="left"/>
        <w:tblInd w:w="0" w:type="dxa"/>
        <w:tblLayout w:type="fixed"/>
        <w:tblCellMar>
          <w:top w:w="28" w:type="dxa"/>
          <w:left w:w="28" w:type="dxa"/>
          <w:bottom w:w="28" w:type="dxa"/>
          <w:right w:w="28" w:type="dxa"/>
        </w:tblCellMar>
      </w:tblPr>
      <w:tblGrid>
        <w:gridCol w:w="2080"/>
        <w:gridCol w:w="1830"/>
        <w:gridCol w:w="1835"/>
        <w:gridCol w:w="109"/>
        <w:gridCol w:w="109"/>
        <w:gridCol w:w="109"/>
        <w:gridCol w:w="196"/>
        <w:gridCol w:w="556"/>
        <w:gridCol w:w="109"/>
        <w:gridCol w:w="109"/>
        <w:gridCol w:w="109"/>
        <w:gridCol w:w="109"/>
        <w:gridCol w:w="196"/>
        <w:gridCol w:w="55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lease payments on the Company's operating lease liabilities as of June 30, 2024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have additional operating leases that have not yet commenced. These operating leases will commence in 2024, with lease obligations of approximately $10.0 million and weighted average lease terms of 5.1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w:t>
      </w:r>
      <w:r>
        <w:rPr>
          <w:rFonts w:ascii="Times New Roman;sans-serif" w:hAnsi="Times New Roman;sans-serif"/>
          <w:b w:val="false"/>
          <w:color w:val="000000"/>
          <w:sz w:val="20"/>
        </w:rPr>
        <w:t>.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initial public offering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We believe that the lawsuit is without merit and intend to defend the lawsuit vigorously. On February 17, 2023, TaskUs and the other named defendants filed a motion to dismiss. On October 16, 2023, the plaintiffs voluntarily dismissed with prejudice certain claims based on certain theories of liability. On January 5, 2024, the Court granted in part and denied in part the defendants' motion to dismiss. Defendants filed an answer to the complaint on February 9, 2024, and an initial pretrial conference was held on February 16, 2024 after which a Case Management Plan and Scheduling Order was entered by the Court on February 20, 2024. The Company cannot predict at this point the length of time that this action will be ongoing or the liability, if any, which may arise therefrom.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defending three lawsuits that present in large degree the same legal or factual issues, with allegations that are similar in nature. We believe that these three lawsuits are without merit and intend to defend each vigorously. The Company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the Company filed a motion to dismiss, which is currently pending. This case is currently stayed.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we filed a motion to dismiss the amended complaint. In May 2023, the Court issued an Order dismissing certain parties, staying the case as to the Company and denying as moot the Company's previously filed motion to dismiss. This case is currently stayed.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2023, TaskUs was added as an additional defendant in a lawsuit captioned Naeem Seirafi, Edward Baton, Anthony Comilla, Brett Deeney, and Abraham Vilinger, individually and on behalf of all others similarly situated v. Ledger SAS, Shopify (USA) Inc., Shopify Inc., and TaskUs, Inc., No. 21-cv-02470 pending in the United States District Court, Northern District of California. The complaint alleges defendants failed to exercise reasonable care in securing and safeguarding consumer information in connection with a 2020 data breach impacting Ledger cryptocurrency hardware wallets, resulting in the unauthorized public release of approximately 272,000 pieces of detailed personally identifiable information, including Plaintiffs’ and “Class” members’ full names, email addresses, postal addresses, and telephone numbers. The complaint asserts claims against TaskUs for negligence, negligence per se, declaratory and injunctive relief, and for violations of the New York Deceptive Trade Practices Act. The named plaintiffs’ alleged damages of approximately $557,000 and an award of costs and expenses, including reasonable attorneys’ fees, as well as declaratory and injunctive relief, and other damages. On February 5, 2024, TaskUs filed a motion to dismiss. On July 16, 2024, the Court granted in part and denied in part the motion to dismiss.</w:t>
      </w:r>
    </w:p>
    <w:p>
      <w:pPr>
        <w:pStyle w:val="TextBody"/>
        <w:bidi w:val="0"/>
        <w:spacing w:lineRule="auto" w:line="288" w:before="120" w:after="283"/>
        <w:ind w:left="0" w:right="0" w:firstLine="360"/>
        <w:jc w:val="both"/>
        <w:rPr/>
      </w:pPr>
      <w:r>
        <w:rPr>
          <w:rFonts w:ascii="Times New Roman;sans-serif" w:hAnsi="Times New Roman;sans-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the Company enters into agreements of varying scope and terms pursuant to which it agrees to indemnify clients, vendors and other business partners with respect to certain matters, including, but not limited to, losses arising out of breach of such agreements, cybersecurity breach, services to be provided by the Company or from intellectual property infringement claims made by third parties. Historically, the Company has not experienced significant losses on these types of indemnification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following table summarizes the stock option, restricted stock unit ("RSU") and performance stock unit ("PSU") activity for the </w:t>
      </w:r>
      <w:r>
        <w:rPr>
          <w:rFonts w:ascii="Times New Roman;sans-serif" w:hAnsi="Times New Roman;sans-serif"/>
          <w:b w:val="false"/>
          <w:color w:val="000000"/>
          <w:sz w:val="20"/>
        </w:rPr>
        <w:t>six months ended June 30, 2024</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84"/>
        <w:gridCol w:w="453"/>
        <w:gridCol w:w="455"/>
        <w:gridCol w:w="454"/>
        <w:gridCol w:w="456"/>
        <w:gridCol w:w="296"/>
        <w:gridCol w:w="109"/>
        <w:gridCol w:w="109"/>
        <w:gridCol w:w="109"/>
        <w:gridCol w:w="246"/>
        <w:gridCol w:w="698"/>
        <w:gridCol w:w="137"/>
        <w:gridCol w:w="109"/>
        <w:gridCol w:w="109"/>
        <w:gridCol w:w="109"/>
        <w:gridCol w:w="435"/>
        <w:gridCol w:w="436"/>
        <w:gridCol w:w="296"/>
        <w:gridCol w:w="109"/>
        <w:gridCol w:w="109"/>
        <w:gridCol w:w="109"/>
        <w:gridCol w:w="273"/>
        <w:gridCol w:w="777"/>
        <w:gridCol w:w="153"/>
        <w:gridCol w:w="109"/>
        <w:gridCol w:w="109"/>
        <w:gridCol w:w="109"/>
        <w:gridCol w:w="435"/>
        <w:gridCol w:w="436"/>
        <w:gridCol w:w="296"/>
        <w:gridCol w:w="109"/>
        <w:gridCol w:w="109"/>
        <w:gridCol w:w="109"/>
        <w:gridCol w:w="269"/>
        <w:gridCol w:w="766"/>
        <w:gridCol w:w="219"/>
      </w:tblGrid>
      <w:tr>
        <w:trPr/>
        <w:tc>
          <w:tcPr>
            <w:tcW w:w="58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2024</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7,523,971 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3,864,319 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3,373,417 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2,361,162 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or released</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(429,681)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(913,865)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(1,367,699)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June 30, 2024</w:t>
            </w:r>
          </w:p>
        </w:tc>
        <w:tc>
          <w:tcPr>
            <w:tcW w:w="9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5,726,591 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5,076,593 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3,693,417 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recognized for the periods presented:</w:t>
      </w:r>
    </w:p>
    <w:tbl>
      <w:tblPr>
        <w:tblW w:w="8039" w:type="dxa"/>
        <w:jc w:val="left"/>
        <w:tblInd w:w="0" w:type="dxa"/>
        <w:tblLayout w:type="fixed"/>
        <w:tblCellMar>
          <w:top w:w="28" w:type="dxa"/>
          <w:left w:w="28" w:type="dxa"/>
          <w:bottom w:w="28" w:type="dxa"/>
          <w:right w:w="28" w:type="dxa"/>
        </w:tblCellMar>
      </w:tblPr>
      <w:tblGrid>
        <w:gridCol w:w="1162"/>
        <w:gridCol w:w="1022"/>
        <w:gridCol w:w="102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$4.3 million, $41.5 million and $4.9 million of unrecognized compensation expense related to the Company’s unvested stock options, RSUs and PSUs, respectively, that is expected to be recognized over a weighted-average period of 1.2 years, 1.5 years and 1.6 years, respectively. Certain PSUs contain performance conditions, which may result in a lesser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provision for income taxes of $7.3 million and $7.4 million in the three months ended June 30, 2024 and 2023, respectively. The effective tax rate was 36.8% and 42.2% for the three months ended June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provision for income taxes of $13.8 million and $13.4 million in the six months ended June 30, 2024 and 2023, respectively. The effective tax rate was 36.3% and 40.5% for the six months ended June 30, 2024 and 2023, respectively. The difference between the effective tax rate and the 21% federal statutory rate in the six months ended June 30, 2024 was primarily due to Global Intangible Low-Taxed Income ("GILTI") inclusion, nondeductible compensation of officers, and tax benefits of income tax holidays in foreign jurisdiction. The difference between the effective tax rate and the 21% federal statutory rate in the six months ended June 30, 2023 was primarily due to nondeductible earn-out consideration, as well as Global Intangible Low-Taxed Income ("GILTI") inclusion, Base Erosion Anti-avoidance Tax ("BEAT") and nondeductible compensation of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earnings per share for the three and six months ended June 30, 2024 and 2023:</w:t>
      </w:r>
    </w:p>
    <w:tbl>
      <w:tblPr>
        <w:tblW w:w="9386" w:type="dxa"/>
        <w:jc w:val="left"/>
        <w:tblInd w:w="0" w:type="dxa"/>
        <w:tblLayout w:type="fixed"/>
        <w:tblCellMar>
          <w:top w:w="28" w:type="dxa"/>
          <w:left w:w="28" w:type="dxa"/>
          <w:bottom w:w="28" w:type="dxa"/>
          <w:right w:w="28" w:type="dxa"/>
        </w:tblCellMar>
      </w:tblPr>
      <w:tblGrid>
        <w:gridCol w:w="1476"/>
        <w:gridCol w:w="1297"/>
        <w:gridCol w:w="1307"/>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88,331,992 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88,563,601 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97,042,881 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2,533,408 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91,629,930 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98,200,005 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91,739,908 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99,576,289 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excluded 3,408,439 and 3,411,655 potential common stock equivalents from the computation of diluted EPS for the three and six months ended June 30, 2024, respectively, and 7,161,748 and 5,470,027 potential common stock equivalents from the computation of diluted EPS for the three and six months ended June 30, 2023, respectively, because the effect would have been anti-dilutive. There were 3,373,417 and 5,495,518 potential common stock equivalents outstanding as of June 30, 2024 and 2023, respectively, with market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2023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provider of outsourced digital services and next-generation customer experience to the world's most innovative companies, helping our clients represent, protect and grow their brands. </w:t>
      </w:r>
      <w:r>
        <w:rPr>
          <w:rFonts w:ascii="Times New Roman;sans-serif" w:hAnsi="Times New Roman;sans-serif"/>
          <w:b w:val="false"/>
          <w:color w:val="000000"/>
          <w:sz w:val="20"/>
          <w:shd w:fill="FFFFFF" w:val="clear"/>
        </w:rPr>
        <w:t>We serve our clients to support their end customers’ urgent needs, navigate an increasingly complex compliance landscape, handle sensitive tasks including online content moderation, and enable artificial intelligence technology and automation.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omni-channel delivery model is focused on providing our clients three key services – Digital Customer Experience ("Digital CX"), Trust and Safety, and Artificial Intelligence ("AI") Services. We have designed our platform to enable us to rapidly scale and benefit from our clients’ growth. We believe our ability to deliver “ridiculously good” outsourcing will enable us to continue to grow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2024 Developments</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to Revenue Growth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have seen some of the challenges and market uncertainty we faced in 2023 begin to subside. Through our continued focus on partnering with our clients and strategic investments we have made in sales and marketing, including our focus on landing enterprise clients and cross-selling our specialized services, we achieved revenue growth of 3.8% during the three months ended June 30, 2024 compared to the three months ended June 30, 2023. Given our performance in the six months ended June 30, 2024, we expect our revenue growth to continue improving in the remainder of 2024.This acceleration of revenue growth requires additional investments in operations, facilities, hiring and training. Additionally, we have seen an increase in pricing pressure as our clients remain focused on cost reduction and competitors reduce their rates. While we believe we are a premium provider of specialized services, we have and expect to continue to price our services competitively in order to achieve above market growth rates and take share from our competitors. These factors may impact our margins and cash flow.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Financial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we recorded service revenue of $237.9 million, a 3.8% increase from $229.2 million for the three months ended June 30, 2023. For the six months ended June 30, 2024, we recorded service revenue of $465.4 million, a 0.2% increase from $464.5 million for the six months ended June 30, 2023.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June 30, 2024 increased to $12.6 million from $10.1 million for the three months ended June 30, 2023. This increase is due primarily to revenue growth, the impact of foreign currency exchange rate changes and forward contracts, as well as higher interest income, lower stock-based compensation expense and earn-out consideration, partially offset by higher cost of services. Adjusted Net Income for the three months ended June 30, 2024 decreased 10.0% to $28.6 million from $31.8 million for the three months ended June 30, 2023. Adjusted EBITDA for the three months ended June 30, 2024 decreased 5.6% to $51.3 million from $54.3 million for the three months ended June 30, 2023. Adjusted Net Income and Adjusted EBITDA are non-GAAP financial measures. For definitions and reconciliations to net income, the most directly comparable measure in accordance with GAAP, see "Non-GAAP Financial Measures."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six months ended June 30, 2024 increased to $24.3 million from $19.6 million for the six months ended June 30, 2023. This increase is due primarily to lower earn-out consideration and stock-based compensation expense, partially offset by litigation costs and higher cost of services. Adjusted Net Income for the six months ended June 30, 2024 decreased 13.1% to $55.9 million from $64.3 million for the six months ended June 30, 2023. Adjusted EBITDA for the six months ended June 30, 2024 decreased 6.8% to $101.9 million from $109.3 million for the six months ended June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2024 and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three months ended June 30, 2024 and 2023:</w:t>
      </w:r>
    </w:p>
    <w:tbl>
      <w:tblPr>
        <w:tblW w:w="8359" w:type="dxa"/>
        <w:jc w:val="left"/>
        <w:tblInd w:w="0" w:type="dxa"/>
        <w:tblLayout w:type="fixed"/>
        <w:tblCellMar>
          <w:top w:w="28" w:type="dxa"/>
          <w:left w:w="28" w:type="dxa"/>
          <w:bottom w:w="28" w:type="dxa"/>
          <w:right w:w="28" w:type="dxa"/>
        </w:tblCellMar>
      </w:tblPr>
      <w:tblGrid>
        <w:gridCol w:w="1161"/>
        <w:gridCol w:w="1021"/>
        <w:gridCol w:w="1028"/>
        <w:gridCol w:w="196"/>
        <w:gridCol w:w="736"/>
        <w:gridCol w:w="109"/>
        <w:gridCol w:w="109"/>
        <w:gridCol w:w="109"/>
        <w:gridCol w:w="109"/>
        <w:gridCol w:w="196"/>
        <w:gridCol w:w="736"/>
        <w:gridCol w:w="109"/>
        <w:gridCol w:w="109"/>
        <w:gridCol w:w="109"/>
        <w:gridCol w:w="109"/>
        <w:gridCol w:w="244"/>
        <w:gridCol w:w="694"/>
        <w:gridCol w:w="136"/>
        <w:gridCol w:w="136"/>
        <w:gridCol w:w="136"/>
        <w:gridCol w:w="136"/>
        <w:gridCol w:w="276"/>
        <w:gridCol w:w="280"/>
        <w:gridCol w:w="375"/>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228"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34"/>
        <w:gridCol w:w="754"/>
        <w:gridCol w:w="130"/>
        <w:gridCol w:w="130"/>
        <w:gridCol w:w="130"/>
        <w:gridCol w:w="130"/>
        <w:gridCol w:w="232"/>
        <w:gridCol w:w="234"/>
        <w:gridCol w:w="3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Digital Customer Experience</w:t>
      </w:r>
      <w:r>
        <w:rPr>
          <w:color w:val="000000"/>
        </w:rPr>
        <w:t xml:space="preserve"> </w:t>
      </w:r>
      <w:r>
        <w:rPr>
          <w:rFonts w:ascii="Times New Roman;sans-serif" w:hAnsi="Times New Roman;sans-serif"/>
          <w:b w:val="false"/>
          <w:color w:val="000000"/>
          <w:sz w:val="20"/>
        </w:rPr>
        <w:t>was primarily driven by a decrease from existing clients in On Demand Travel + Transportation, as well as clients in Entertainment + Gaming and HealthTech. These decreases were partially offset by an increase from existing clients in FinTech, as well as new clients in HealthTech, FinTech and Professional Services + Industry.</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Trust and Safety</w:t>
      </w:r>
      <w:r>
        <w:rPr>
          <w:color w:val="000000"/>
        </w:rPr>
        <w:t xml:space="preserve"> </w:t>
      </w:r>
      <w:r>
        <w:rPr>
          <w:rFonts w:ascii="Times New Roman;sans-serif" w:hAnsi="Times New Roman;sans-serif"/>
          <w:b w:val="false"/>
          <w:color w:val="000000"/>
          <w:sz w:val="20"/>
        </w:rPr>
        <w:t>was primarily driven by an increase from existing clients in Social Media and FinTech.</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AI Services</w:t>
      </w:r>
      <w:r>
        <w:rPr>
          <w:color w:val="000000"/>
        </w:rPr>
        <w:t xml:space="preserve"> </w:t>
      </w:r>
      <w:r>
        <w:rPr>
          <w:rFonts w:ascii="Times New Roman;sans-serif" w:hAnsi="Times New Roman;sans-serif"/>
          <w:b w:val="false"/>
          <w:color w:val="000000"/>
          <w:sz w:val="20"/>
        </w:rPr>
        <w:t>was primarily driven by a decrease from existing clients in Social Media.</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6976"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69"/>
        <w:gridCol w:w="271"/>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Philippines:</w:t>
      </w:r>
      <w:r>
        <w:rPr>
          <w:color w:val="000000"/>
        </w:rPr>
        <w:t xml:space="preserve"> </w:t>
      </w:r>
      <w:r>
        <w:rPr>
          <w:rFonts w:ascii="Times New Roman;sans-serif" w:hAnsi="Times New Roman;sans-serif"/>
          <w:b w:val="false"/>
          <w:color w:val="000000"/>
          <w:sz w:val="20"/>
        </w:rPr>
        <w:t>Trust and Safety contributed 7.0% of the total increase primarily driven by clients in Social Media and FinTech. Digital Customer Experience contributed 3.5% of the total increase primarily driven by clients in FinTech, partially offset by clients in Entertainment + Gaming. The increase was partially offset by a 1.8% decrease contributed by AI Services, primarily driven by clients in Social Media.</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United States:</w:t>
      </w:r>
      <w:r>
        <w:rPr>
          <w:color w:val="000000"/>
        </w:rPr>
        <w:t xml:space="preserve"> </w:t>
      </w:r>
      <w:r>
        <w:rPr>
          <w:rFonts w:ascii="Times New Roman;sans-serif" w:hAnsi="Times New Roman;sans-serif"/>
          <w:b w:val="false"/>
          <w:color w:val="000000"/>
          <w:sz w:val="20"/>
        </w:rPr>
        <w:t xml:space="preserve">Digital Customer Experience contributed 30.8% of the total decrease primarily driven by clients in On Demand Travel + Transportation, Entertainment + Gaming and HealthTech. AI Services contributed 2.7% of the total decrease primarily driven by clients in On Demand Travel + Transportation. The decrease was partially offset by a 1.4% increase contributed by Trust and Safety, primarily driven by clients in On Demand Travel + Transportation.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India:</w:t>
      </w:r>
      <w:r>
        <w:rPr>
          <w:color w:val="000000"/>
        </w:rPr>
        <w:t xml:space="preserve"> </w:t>
      </w:r>
      <w:r>
        <w:rPr>
          <w:rFonts w:ascii="Times New Roman;sans-serif" w:hAnsi="Times New Roman;sans-serif"/>
          <w:b w:val="false"/>
          <w:color w:val="000000"/>
          <w:sz w:val="20"/>
        </w:rPr>
        <w:t>Trust and Safety contributed 8.4% of the total increase primarily driven by clients in Social Media. AI Services contributed 2.2% of the total increase. The increase was partially offset by a 9.0% decrease contributed by Digital Customer Experience, primarily driven by clients in On Demand Travel + Transportation, partially offset by clients in Retail + E Commerce.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Rest of World:</w:t>
      </w:r>
      <w:r>
        <w:rPr>
          <w:color w:val="000000"/>
        </w:rPr>
        <w:t xml:space="preserve"> </w:t>
      </w:r>
      <w:r>
        <w:rPr>
          <w:rFonts w:ascii="Times New Roman;sans-serif" w:hAnsi="Times New Roman;sans-serif"/>
          <w:b w:val="false"/>
          <w:color w:val="000000"/>
          <w:sz w:val="20"/>
        </w:rPr>
        <w:t>Digital Customer Experience contributed 20.0% of the total increase primarily driven by clients in FinTech, On Demand Travel + Transportation and Professional Services + Industry. Trust and Safety contributed 5.6% of the total increase, primarily driven by clients in FinTech and Social Media. AI Services contributed 0.2% of the total increase. Growth in the Rest of World was led by Latin America.</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driven by higher personnel costs of $6.7 million associated with increased headcount. The remaining increase included facilities and recruiting costs associated with site expansion and increasing headcount associated with accelerating growth.</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was primarily driven by lower personnel costs of $2.4 million, due primarily to a reduction in earn-out compensation and stock-based compensation expense, partially offset by an increase in bonus expense due to higher company performance. The remaining decrease included lower insurance expense based on renegotiated rates. This decrease was partially offset by certain litigation costs which we expect to continue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as well as higher interest income.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financing expense are primarily driven by the rate of SOFR used to calculate the interest rate of our debt.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June 30, 2024 and 2023 was 36.8% and 42.2%, respectively. Costs related to the issuance of stock-based compensation, the acquisition of heloo, severance and litigation costs within the provision for income taxes calculation are adjusted for Non-GAAP purposes. If those costs are removed, the provision for income taxes would have been $8.5 million and $7.4 million and the effective tax rate would have been 25.5% and 21.7% for the three months ended June 30, 2024 and 2023,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six months ended June 30, 2024 and 2023:</w:t>
      </w:r>
    </w:p>
    <w:tbl>
      <w:tblPr>
        <w:tblW w:w="8343" w:type="dxa"/>
        <w:jc w:val="left"/>
        <w:tblInd w:w="0" w:type="dxa"/>
        <w:tblLayout w:type="fixed"/>
        <w:tblCellMar>
          <w:top w:w="28" w:type="dxa"/>
          <w:left w:w="28" w:type="dxa"/>
          <w:bottom w:w="28" w:type="dxa"/>
          <w:right w:w="28" w:type="dxa"/>
        </w:tblCellMar>
      </w:tblPr>
      <w:tblGrid>
        <w:gridCol w:w="1161"/>
        <w:gridCol w:w="1021"/>
        <w:gridCol w:w="1028"/>
        <w:gridCol w:w="196"/>
        <w:gridCol w:w="736"/>
        <w:gridCol w:w="109"/>
        <w:gridCol w:w="109"/>
        <w:gridCol w:w="109"/>
        <w:gridCol w:w="109"/>
        <w:gridCol w:w="196"/>
        <w:gridCol w:w="736"/>
        <w:gridCol w:w="109"/>
        <w:gridCol w:w="109"/>
        <w:gridCol w:w="109"/>
        <w:gridCol w:w="109"/>
        <w:gridCol w:w="244"/>
        <w:gridCol w:w="694"/>
        <w:gridCol w:w="136"/>
        <w:gridCol w:w="136"/>
        <w:gridCol w:w="136"/>
        <w:gridCol w:w="136"/>
        <w:gridCol w:w="269"/>
        <w:gridCol w:w="271"/>
        <w:gridCol w:w="375"/>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316"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23"/>
        <w:gridCol w:w="820"/>
        <w:gridCol w:w="124"/>
        <w:gridCol w:w="124"/>
        <w:gridCol w:w="124"/>
        <w:gridCol w:w="124"/>
        <w:gridCol w:w="268"/>
        <w:gridCol w:w="272"/>
        <w:gridCol w:w="342"/>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Digital Customer Experience</w:t>
      </w:r>
      <w:r>
        <w:rPr>
          <w:color w:val="000000"/>
        </w:rPr>
        <w:t xml:space="preserve"> </w:t>
      </w:r>
      <w:r>
        <w:rPr>
          <w:rFonts w:ascii="Times New Roman;sans-serif" w:hAnsi="Times New Roman;sans-serif"/>
          <w:b w:val="false"/>
          <w:color w:val="000000"/>
          <w:sz w:val="20"/>
        </w:rPr>
        <w:t>was primarily driven by a decrease from existing clients in On Demand Travel + Transportation, Entertainment + Gaming, HealthTech and Social Media. These decreases were partially offset by an increase from existing clients in FinTech, as well as new clients in HealthTech, FinTech and Professional Services + Industry.</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Trust and Safety</w:t>
      </w:r>
      <w:r>
        <w:rPr>
          <w:color w:val="000000"/>
        </w:rPr>
        <w:t xml:space="preserve"> </w:t>
      </w:r>
      <w:r>
        <w:rPr>
          <w:rFonts w:ascii="Times New Roman;sans-serif" w:hAnsi="Times New Roman;sans-serif"/>
          <w:b w:val="false"/>
          <w:color w:val="000000"/>
          <w:sz w:val="20"/>
        </w:rPr>
        <w:t>was primarily driven by an increase from existing clients in Social Media, FinTech and On Demand Travel + Transportation.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AI Services</w:t>
      </w:r>
      <w:r>
        <w:rPr>
          <w:color w:val="000000"/>
        </w:rPr>
        <w:t xml:space="preserve"> </w:t>
      </w:r>
      <w:r>
        <w:rPr>
          <w:rFonts w:ascii="Times New Roman;sans-serif" w:hAnsi="Times New Roman;sans-serif"/>
          <w:b w:val="false"/>
          <w:color w:val="000000"/>
          <w:sz w:val="20"/>
        </w:rPr>
        <w:t xml:space="preserve">was primarily driven by a decrease from existing clients in Social Media and On Demand Travel + Transportation. </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6976"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69"/>
        <w:gridCol w:w="271"/>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Philippines:</w:t>
      </w:r>
      <w:r>
        <w:rPr>
          <w:color w:val="000000"/>
        </w:rPr>
        <w:t xml:space="preserve"> </w:t>
      </w:r>
      <w:r>
        <w:rPr>
          <w:rFonts w:ascii="Times New Roman;sans-serif" w:hAnsi="Times New Roman;sans-serif"/>
          <w:b w:val="false"/>
          <w:color w:val="000000"/>
          <w:sz w:val="20"/>
        </w:rPr>
        <w:t xml:space="preserve">Trust and Safety contributed 6.8% of the total increase primarily driven by clients in Social Media and FinTech. Digital Customer Experience contributed 1.7% of the total increase primarily driven by clients in FinTech and Social Media, partially offset by clients in Entertainment + Gaming. The increase was partially offset by a 2.4% decrease contributed by AI Services, primarily driven by clients in Social Media.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United States:</w:t>
      </w:r>
      <w:r>
        <w:rPr>
          <w:color w:val="000000"/>
        </w:rPr>
        <w:t xml:space="preserve"> </w:t>
      </w:r>
      <w:r>
        <w:rPr>
          <w:rFonts w:ascii="Times New Roman;sans-serif" w:hAnsi="Times New Roman;sans-serif"/>
          <w:b w:val="false"/>
          <w:color w:val="000000"/>
          <w:sz w:val="20"/>
        </w:rPr>
        <w:t>Digital Customer Experience contributed 32.6% of the total decrease primarily driven by clients in On Demand Travel + Transportation, Entertainment + Gaming, Social Media, HealthTech and FinTech. AI Services contributed 6.8% of the total decrease primarily driven by clients in On Demand Travel + Transportation and Social Media. Trust and Safety was flat.</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India:</w:t>
      </w:r>
      <w:r>
        <w:rPr>
          <w:color w:val="000000"/>
        </w:rPr>
        <w:t xml:space="preserve"> </w:t>
      </w:r>
      <w:r>
        <w:rPr>
          <w:rFonts w:ascii="Times New Roman;sans-serif" w:hAnsi="Times New Roman;sans-serif"/>
          <w:b w:val="false"/>
          <w:color w:val="000000"/>
          <w:sz w:val="20"/>
        </w:rPr>
        <w:t>Trust and Safety contributed 13.7% of the total increase primarily driven by clients in On Demand Travel + Transportation and Social Media. AI Services contributed 0.2% of the total increase. The increase was partially offset by a 11.9% decrease contributed by Digital Customer Experience, primarily driven by clients in On Demand Travel + Transportation, partially offset by clients in Retail + E-Commerce.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Rest of World:</w:t>
      </w:r>
      <w:r>
        <w:rPr>
          <w:color w:val="000000"/>
        </w:rPr>
        <w:t xml:space="preserve"> </w:t>
      </w:r>
      <w:r>
        <w:rPr>
          <w:rFonts w:ascii="Times New Roman;sans-serif" w:hAnsi="Times New Roman;sans-serif"/>
          <w:b w:val="false"/>
          <w:color w:val="000000"/>
          <w:sz w:val="20"/>
        </w:rPr>
        <w:t>Digital Customer Experience contributed 19.8% of the total increase primarily driven by clients in FinTech, On Demand Travel + Transportation and Professional Services + Industry. Trust and Safety contributed 5.2% of the total increase primarily driven by clients in FinTech and Social Media. AI Services contributed 0.2% of the total increase. Growth in the Rest of World was due to Latin America and Asia.</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driven by higher personnel costs of $4.0 million associated with increased headcount. The remaining increase included facilities and recruiting costs associated with site expansion and increasing headcount to prepare for accelerating growth.</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was primarily driven by lower personnel costs of $12.4 million, due primarily to a reduction in earn-out compensation and stock-based compensation expense, partially offset by an increase in bonus expense due to higher company performance. The remaining decrease included lower insurance expense based on renegotiated rates, as well as a reduction in certain taxes, licenses and permits. These decreases were partially offset by certain litigation costs which we expect to continue in future periods, as well as higher software costs.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is a result of capital expenditures for leasehold improvements associated with site expansions.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are primarily driven by our exposure to foreign currency exchange risk resulting from our operations in foreign geographies, primarily the Philippines, offset by economic hedges using foreign currency exchange rate forward contracts. The remaining increase is associated with higher interest income.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financing expense are primarily driven by the rate of SOFR used to calculate the interest rate of our debt.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six months ended June 30, 2024 and 2023 was 36.3% and 40.5%, respectively. Costs related to the issuance of stock-based compensation, the acquisition of heloo, severance and litigation costs within the provision for income taxes calculation are adjusted for Non-GAAP purposes. If those costs are removed, the provision for income taxes would have been $16.6 million and $15.4 million and the effective tax rate would have been 26.4% and 21.6%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Revenue by Top Clients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percentage of our total service revenue derived from our largest clients for the three and six months ended June 30, 2024 and 2023:</w:t>
      </w:r>
    </w:p>
    <w:tbl>
      <w:tblPr>
        <w:tblW w:w="6034" w:type="dxa"/>
        <w:jc w:val="left"/>
        <w:tblInd w:w="0" w:type="dxa"/>
        <w:tblLayout w:type="fixed"/>
        <w:tblCellMar>
          <w:top w:w="28" w:type="dxa"/>
          <w:left w:w="28" w:type="dxa"/>
          <w:bottom w:w="28" w:type="dxa"/>
          <w:right w:w="28" w:type="dxa"/>
        </w:tblCellMar>
      </w:tblPr>
      <w:tblGrid>
        <w:gridCol w:w="517"/>
        <w:gridCol w:w="451"/>
        <w:gridCol w:w="456"/>
        <w:gridCol w:w="189"/>
        <w:gridCol w:w="189"/>
        <w:gridCol w:w="445"/>
        <w:gridCol w:w="189"/>
        <w:gridCol w:w="189"/>
        <w:gridCol w:w="189"/>
        <w:gridCol w:w="189"/>
        <w:gridCol w:w="189"/>
        <w:gridCol w:w="445"/>
        <w:gridCol w:w="109"/>
        <w:gridCol w:w="109"/>
        <w:gridCol w:w="109"/>
        <w:gridCol w:w="171"/>
        <w:gridCol w:w="171"/>
        <w:gridCol w:w="401"/>
        <w:gridCol w:w="171"/>
        <w:gridCol w:w="171"/>
        <w:gridCol w:w="171"/>
        <w:gridCol w:w="171"/>
        <w:gridCol w:w="171"/>
        <w:gridCol w:w="472"/>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ten clients</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twenty clients</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we generated 20% and 19%, respectively, of our service revenue from our largest client. For the six months ended June 30, 2024 and 2023, we generated 20% and 20%, respectively, of our service revenue from our largest client.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identify and target high growth industry verticals and clients. Our strategy is to acquire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Net Income, Adjusted Earnings Per Share ("EPS"), EBITDA, Adjusted EBITDA, Free Cash Flow and Conversion of Adjusted EBITDA, as key measures to assess the performance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Adjusted Net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ans-serif" w:hAnsi="Times New Roman;sans-serif"/>
          <w:b w:val="false"/>
          <w:color w:val="000000"/>
          <w:sz w:val="20"/>
          <w:shd w:fill="FFFFFF" w:val="clear"/>
        </w:rPr>
        <w:t>, transaction costs,</w:t>
      </w:r>
      <w:r>
        <w:rPr>
          <w:color w:val="000000"/>
        </w:rPr>
        <w:t xml:space="preserve"> </w:t>
      </w:r>
      <w:r>
        <w:rPr>
          <w:rFonts w:ascii="Times New Roman;sans-serif" w:hAnsi="Times New Roman;sans-serif"/>
          <w:b w:val="false"/>
          <w:color w:val="000000"/>
          <w:sz w:val="20"/>
        </w:rPr>
        <w:t>earn-out consideration, the effect of foreign currency gains and losses, gains and losses on disposals of assets, non-recurring severance costs, certain non-recurring litigation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three months ended June 30, 2024 and 2023:</w:t>
      </w:r>
    </w:p>
    <w:tbl>
      <w:tblPr>
        <w:tblW w:w="8122"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314"/>
        <w:gridCol w:w="316"/>
        <w:gridCol w:w="359"/>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gains</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Realized and unrealized foreign currency gains include the effect of fair market value changes of forward contracts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tax impacts of adjustments to net income which resulted in a tax benefit during the period, including stock-based compensation expense and earn-out consideration.</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Net Income Margin represents net income divided by service revenue and Adjusted Net Income Margin represents Adjusted Net Income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six months ended June 30, 2024 and 2023:</w:t>
      </w:r>
    </w:p>
    <w:tbl>
      <w:tblPr>
        <w:tblW w:w="8122"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314"/>
        <w:gridCol w:w="316"/>
        <w:gridCol w:w="359"/>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gains</w:t>
            </w:r>
            <w:r>
              <w:rPr>
                <w:rFonts w:ascii="Times New Roman;sans-serif" w:hAnsi="Times New Roman;sans-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(8)</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(8)</w:t>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professional service fees related to non-recurring transactions.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Realized and unrealized foreign currency gains include the effect of fair market value changes of forward contracts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Represents tax impacts of adjustments to net income which resulted in a tax benefit during the period, including stock-based compensation expense and earn-out consideration.</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(8) Net Income Margin represents net income divided by service revenue and Adjusted Net Income Margin represents Adjusted Net Income divided by service revenue.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EPS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GAAP diluted EPS, the most directly comparable GAAP measure, to Adjusted EPS for the three and six months ended June 30, 2024 and 2023:</w:t>
      </w:r>
    </w:p>
    <w:tbl>
      <w:tblPr>
        <w:tblW w:w="9529" w:type="dxa"/>
        <w:jc w:val="left"/>
        <w:tblInd w:w="0" w:type="dxa"/>
        <w:tblLayout w:type="fixed"/>
        <w:tblCellMar>
          <w:top w:w="28" w:type="dxa"/>
          <w:left w:w="28" w:type="dxa"/>
          <w:bottom w:w="28" w:type="dxa"/>
          <w:right w:w="28" w:type="dxa"/>
        </w:tblCellMar>
      </w:tblPr>
      <w:tblGrid>
        <w:gridCol w:w="1474"/>
        <w:gridCol w:w="1299"/>
        <w:gridCol w:w="1306"/>
        <w:gridCol w:w="284"/>
        <w:gridCol w:w="677"/>
        <w:gridCol w:w="129"/>
        <w:gridCol w:w="129"/>
        <w:gridCol w:w="129"/>
        <w:gridCol w:w="129"/>
        <w:gridCol w:w="284"/>
        <w:gridCol w:w="677"/>
        <w:gridCol w:w="129"/>
        <w:gridCol w:w="109"/>
        <w:gridCol w:w="109"/>
        <w:gridCol w:w="109"/>
        <w:gridCol w:w="284"/>
        <w:gridCol w:w="677"/>
        <w:gridCol w:w="117"/>
        <w:gridCol w:w="117"/>
        <w:gridCol w:w="117"/>
        <w:gridCol w:w="117"/>
        <w:gridCol w:w="284"/>
        <w:gridCol w:w="677"/>
        <w:gridCol w:w="166"/>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Per share adjustments to net income</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91,629,930 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98,200,005 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91,739,908 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99,576,289 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gains and losses on disposals of assets, non-recurring severance costs, certain non-recurring litigation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three months ended June 30, 2024 and 2023:</w:t>
      </w:r>
    </w:p>
    <w:tbl>
      <w:tblPr>
        <w:tblW w:w="8122" w:type="dxa"/>
        <w:jc w:val="left"/>
        <w:tblInd w:w="0" w:type="dxa"/>
        <w:tblLayout w:type="fixed"/>
        <w:tblCellMar>
          <w:top w:w="28" w:type="dxa"/>
          <w:left w:w="28" w:type="dxa"/>
          <w:bottom w:w="28" w:type="dxa"/>
          <w:right w:w="28" w:type="dxa"/>
        </w:tblCellMar>
      </w:tblPr>
      <w:tblGrid>
        <w:gridCol w:w="1003"/>
        <w:gridCol w:w="883"/>
        <w:gridCol w:w="889"/>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314"/>
        <w:gridCol w:w="316"/>
        <w:gridCol w:w="359"/>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gains</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w:t>
            </w:r>
            <w:r>
              <w:rPr>
                <w:rFonts w:ascii="Times New Roman;sans-serif" w:hAnsi="Times New Roman;sans-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281.2 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Realized and unrealized foreign currency gains include the effect of fair market value changes of forward contracts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Net Income Margin represents net income divided by service revenue and Adjusted EBITDA Margin represents Adjusted EBITDA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six months ended June 30, 2024 and 2023:</w:t>
      </w:r>
    </w:p>
    <w:tbl>
      <w:tblPr>
        <w:tblW w:w="8302" w:type="dxa"/>
        <w:jc w:val="left"/>
        <w:tblInd w:w="0" w:type="dxa"/>
        <w:tblLayout w:type="fixed"/>
        <w:tblCellMar>
          <w:top w:w="28" w:type="dxa"/>
          <w:left w:w="28" w:type="dxa"/>
          <w:bottom w:w="28" w:type="dxa"/>
          <w:right w:w="28" w:type="dxa"/>
        </w:tblCellMar>
      </w:tblPr>
      <w:tblGrid>
        <w:gridCol w:w="1003"/>
        <w:gridCol w:w="883"/>
        <w:gridCol w:w="889"/>
        <w:gridCol w:w="196"/>
        <w:gridCol w:w="736"/>
        <w:gridCol w:w="256"/>
        <w:gridCol w:w="109"/>
        <w:gridCol w:w="109"/>
        <w:gridCol w:w="109"/>
        <w:gridCol w:w="196"/>
        <w:gridCol w:w="736"/>
        <w:gridCol w:w="256"/>
        <w:gridCol w:w="109"/>
        <w:gridCol w:w="109"/>
        <w:gridCol w:w="109"/>
        <w:gridCol w:w="234"/>
        <w:gridCol w:w="754"/>
        <w:gridCol w:w="130"/>
        <w:gridCol w:w="130"/>
        <w:gridCol w:w="130"/>
        <w:gridCol w:w="130"/>
        <w:gridCol w:w="314"/>
        <w:gridCol w:w="316"/>
        <w:gridCol w:w="359"/>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gains</w:t>
            </w:r>
            <w:r>
              <w:rPr>
                <w:rFonts w:ascii="Times New Roman;sans-serif" w:hAnsi="Times New Roman;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w:t>
            </w:r>
            <w:r>
              <w:rPr>
                <w:rFonts w:ascii="Times New Roman;sans-serif" w:hAnsi="Times New Roman;sans-serif"/>
                <w:b w:val="false"/>
                <w:color w:val="000000"/>
                <w:sz w:val="12"/>
              </w:rPr>
              <w:t>(7)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(8)</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(8)</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professional service fees related to non-recurring transactions.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Realized and unrealized foreign currency gains include the effect of fair market value changes of forward contracts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stock-based compensation expense, as well as associated payroll tax.</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(7) Represents interest earned on short-term savings, time-deposits and money market funds.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(8)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cash provided by operating activities, the most directly comparable GAAP measure, to Free Cash Flow for the six months ended June 30, 2024 and 2023:</w:t>
      </w:r>
    </w:p>
    <w:tbl>
      <w:tblPr>
        <w:tblW w:w="5567" w:type="dxa"/>
        <w:jc w:val="center"/>
        <w:tblInd w:w="0" w:type="dxa"/>
        <w:tblLayout w:type="fixed"/>
        <w:tblCellMar>
          <w:top w:w="28" w:type="dxa"/>
          <w:left w:w="28" w:type="dxa"/>
          <w:bottom w:w="28" w:type="dxa"/>
          <w:right w:w="28" w:type="dxa"/>
        </w:tblCellMar>
      </w:tblPr>
      <w:tblGrid>
        <w:gridCol w:w="1087"/>
        <w:gridCol w:w="952"/>
        <w:gridCol w:w="960"/>
        <w:gridCol w:w="196"/>
        <w:gridCol w:w="646"/>
        <w:gridCol w:w="256"/>
        <w:gridCol w:w="109"/>
        <w:gridCol w:w="109"/>
        <w:gridCol w:w="109"/>
        <w:gridCol w:w="196"/>
        <w:gridCol w:w="646"/>
        <w:gridCol w:w="301"/>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Conversion of Adjusted EBITDA</w:t>
            </w:r>
            <w:r>
              <w:rPr>
                <w:rFonts w:ascii="Times New Roman;sans-serif" w:hAnsi="Times New Roman;sans-serif"/>
                <w:b w:val="false"/>
                <w:color w:val="000000"/>
                <w:sz w:val="12"/>
              </w:rPr>
              <w:t>(1)</w:t>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Conversion of Adjusted EBITDA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our principal sources of liquidity were cash and cash equivalents totaling $171.1 million, which were held for working capital purposes, as well as the borrowing availability under the 2022 Revolving Credit Facility of $190.0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total indebtedness, net of debt financing fees was $261.0 million. The interest rate in effect for the 2022 Term Loan Facility as of June 30, 2024 was 7.694% per annum. We were in compliance with all debt covenants as of June 30, 2024. See Note 8,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repurchased 1,310,167 shares of our Class A common stock under the share repurchase program for $15.0 million, which we funded principally with available cash. As of June 30, 2024, $42.2 million remained available for share repurchases under our share repurchase program. For additional information about our share repurchase program, see Part II, Item 2., "Unregistered Sales of Equity Securities and Use of Proceeds—Issuer Purchases of Equity Securities" in this Quarterly Report.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consolidated cash flows from operating, investing and financing activities for the periods indicated:</w:t>
      </w:r>
    </w:p>
    <w:tbl>
      <w:tblPr>
        <w:tblW w:w="5273" w:type="dxa"/>
        <w:jc w:val="center"/>
        <w:tblInd w:w="0" w:type="dxa"/>
        <w:tblLayout w:type="fixed"/>
        <w:tblCellMar>
          <w:top w:w="28" w:type="dxa"/>
          <w:left w:w="28" w:type="dxa"/>
          <w:bottom w:w="28" w:type="dxa"/>
          <w:right w:w="28" w:type="dxa"/>
        </w:tblCellMar>
      </w:tblPr>
      <w:tblGrid>
        <w:gridCol w:w="1086"/>
        <w:gridCol w:w="955"/>
        <w:gridCol w:w="958"/>
        <w:gridCol w:w="196"/>
        <w:gridCol w:w="646"/>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six months ended June 30, 2024 was $81.2 million compared to net cash provided by operating activities of $82.2 million for the six months ended June 30, 2023. Net cash provided by operating activities for the six months ended June 30, 2024 reflects net income of $24.3 million, the add back for non-cash charges totaling $54.1 million, as well as changes in operating assets and liabilities of $2.8 million. Non-cash charges primarily consisted of $21.4 million in stock-based compensation expense, $20.8 million of depreciation and $10.0 million of amortization related to intangibles. Net cash provided by operating activities for the six months ended June 30, 2023 reflects net income of $19.6 million, as well as the add back for non-cash charges totaling $57.2 million and changes in operating assets and liabilities of $5.4 million. Non-cash charges primarily consisted of $28.5 million in stock-based compensation expense, $19.7 million of depreciation and $10.2 million of amortization related to intangibles. </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2024 was $8.1 million compared to net cash used in investing activities of $16.0 million for the six months ended June 30, 2023. Purchase of property and equipment decreased primarily due to the timing of site build-out costs.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six months ended June 30, 2024 was $18.6 million compared to net cash used by financing activities of $45.8 million for the six months ended June 30, 2023. The decrease was due primarily to lower payments to acquire shares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and Indian rupee in the six months ended June 30, 2024 and 2023. We also incur expenses in U.S. dollars, and currencies of the other countries in which we have operations. The exchange rates among the Philippine peso, Indian rupee and the U.S. dollar have changed substantially in recent years and may fluctuate substantially in the future.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average exchange rate of the Philippine peso against the U.S. dollar increased from </w:t>
      </w:r>
      <w:r>
        <w:rPr>
          <w:rFonts w:ascii="Times New Roman;sans-serif" w:hAnsi="Times New Roman;sans-serif"/>
          <w:b w:val="false"/>
          <w:color w:val="000000"/>
          <w:sz w:val="20"/>
          <w:shd w:fill="FFFFFF" w:val="clear"/>
        </w:rPr>
        <w:t>55.22</w:t>
      </w:r>
      <w:r>
        <w:rPr>
          <w:color w:val="000000"/>
        </w:rPr>
        <w:t xml:space="preserve"> </w:t>
      </w:r>
      <w:r>
        <w:rPr>
          <w:rFonts w:ascii="Times New Roman;sans-serif" w:hAnsi="Times New Roman;sans-serif"/>
          <w:b w:val="false"/>
          <w:color w:val="000000"/>
          <w:sz w:val="20"/>
        </w:rPr>
        <w:t>pesos during the six months ended June 30, 2023 to 56.90 pesos during the six months ended June 30, 2024, representing a depreciation of the Philippine peso of 3.0%. Based upon our level of operations during the six months ended June 30, 2024, and excluding any forward contract arrangements that we had in place during that period, a 10% appreciation/depreciation in the Philippine peso against the U.S. dollar would have increased or decreased our expenses incurred and paid in the Philippine peso by approximately $19.0 million or $15.5 million, respectively, in the six months ended June 30, 2024.</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average exchange rate of the Indian rupee against the U.S. dollar increased from 82.19 rupees during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months ended June 30, 2023</w:t>
      </w:r>
      <w:r>
        <w:rPr>
          <w:color w:val="000000"/>
        </w:rPr>
        <w:t xml:space="preserve"> </w:t>
      </w:r>
      <w:r>
        <w:rPr>
          <w:rFonts w:ascii="Times New Roman;sans-serif" w:hAnsi="Times New Roman;sans-serif"/>
          <w:b w:val="false"/>
          <w:color w:val="000000"/>
          <w:sz w:val="20"/>
        </w:rPr>
        <w:t>to 83.23 rupees</w:t>
      </w:r>
      <w:r>
        <w:rPr>
          <w:color w:val="000000"/>
          <w:shd w:fill="FFFFFF" w:val="clear"/>
        </w:rPr>
        <w:t xml:space="preserve"> </w:t>
      </w:r>
      <w:r>
        <w:rPr>
          <w:rFonts w:ascii="Times New Roman;sans-serif" w:hAnsi="Times New Roman;sans-serif"/>
          <w:b w:val="false"/>
          <w:color w:val="000000"/>
          <w:sz w:val="20"/>
          <w:shd w:fill="FFFFFF" w:val="clear"/>
        </w:rPr>
        <w:t xml:space="preserve">during the six months ended June 30, 2024, representing a depreciation of the Indian rupee of 1.3%. Based upon our level of operations during the six months ended June 30, 2024, a 10% appreciation/depreciation in the Indian rupee against the U.S. dollar would have increased or decreased our expenses incurred and paid in the Indian rupee by approximately </w:t>
      </w:r>
      <w:r>
        <w:rPr>
          <w:rFonts w:ascii="Times New Roman;sans-serif" w:hAnsi="Times New Roman;sans-serif"/>
          <w:b w:val="false"/>
          <w:color w:val="000000"/>
          <w:sz w:val="20"/>
        </w:rPr>
        <w:t>$5.0 million</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$4.1 million</w:t>
      </w:r>
      <w:r>
        <w:rPr>
          <w:rFonts w:ascii="Times New Roman;sans-serif" w:hAnsi="Times New Roman;sans-serif"/>
          <w:b w:val="false"/>
          <w:color w:val="000000"/>
          <w:sz w:val="20"/>
          <w:shd w:fill="FFFFFF" w:val="clear"/>
        </w:rPr>
        <w:t>, respectively, in the six months ended June 30, 2024.</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Topic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815"). Changes in the fair value of these derivatives are recognized in the consolidated statements of income and are included in other income,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the realized losses (gains) of $2.8 million and $(0.2) million, respectively, resulting from the settlement of forward contracts were included within other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we had outstanding forward contracts. The forward contract receivable (payable) resulting from changes in fair value was recorded under prepaid expenses and other current assets (accounts payable and accrued liabilities). For the six months ended June 30, 2024 and 2023, the unrealized losses (gains) on the forward contracts of $3.5 million and $(1.7) million, respectively, were included within other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is influenced by the changes in interest rates paid on any outstanding balance on our borrowings, mainly under our 2022 Credit Facilities. All of our borrowings outstanding under the 2022 Credit Facilities as of June 30, 2024 accrue interest at SOFR plus 2.25%. As of June 30, 2024 our total principal balance outstanding was $262.2 million and the interest rate in effect was 7.694% per annum. Based on the outstanding balances and interest rates under the 2022 Credit Facilities as of June 30, 2024, a hypothetical 10% increase or decrease in SOFR would cause an increase or decrease in interest expense of approximately $1.4 million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accounts receivable, net of allowance for credit losses, of $175.3 million, of which $27.2 million was owed by one of our clients. Collectively, this client represented approximately 15% of our gross accounts receivable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the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the design and operation of our disclosure controls and procedures as of June 30, 2024. Based upon that evaluation, our Chief Executive Officer and Chief Financial Officer concluded that, as of June 30, 2024, the design and operation of the our disclosure controls and procedures were effective to accomplish their objectives at the reasonable assurance level.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430"/>
        <w:gridCol w:w="379"/>
        <w:gridCol w:w="382"/>
        <w:gridCol w:w="658"/>
        <w:gridCol w:w="484"/>
        <w:gridCol w:w="486"/>
        <w:gridCol w:w="109"/>
        <w:gridCol w:w="109"/>
        <w:gridCol w:w="109"/>
        <w:gridCol w:w="287"/>
        <w:gridCol w:w="814"/>
        <w:gridCol w:w="159"/>
        <w:gridCol w:w="109"/>
        <w:gridCol w:w="109"/>
        <w:gridCol w:w="109"/>
        <w:gridCol w:w="951"/>
        <w:gridCol w:w="799"/>
        <w:gridCol w:w="801"/>
        <w:gridCol w:w="109"/>
        <w:gridCol w:w="109"/>
        <w:gridCol w:w="109"/>
        <w:gridCol w:w="509"/>
        <w:gridCol w:w="1678"/>
        <w:gridCol w:w="407"/>
      </w:tblGrid>
      <w:tr>
        <w:trPr/>
        <w:tc>
          <w:tcPr>
            <w:tcW w:w="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16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br/>
              <w:t>(in thousands)</w:t>
            </w:r>
          </w:p>
        </w:tc>
      </w:tr>
      <w:tr>
        <w:trPr/>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2024 through April 30, 2024</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871,173 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871,173 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44,024 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2024 through May 31, 2024</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153,383 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153,383 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2024 through June 30, 2024</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1,024,556 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1,024,556 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On May 8, 2023, the Company announced that the Board of Directors of the Company authorized a $100.0 million increase to the Company's share repurchase program, increasing the total authorization to $200.0 million, with the total amount remaining available after the increase being exclusive of any commissions, fees or excise taxes. Pursuant to our share repurchase program, we may repurchase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terminates on December 31, 2024, and may be modified, suspended or discontinued at any time at our discretion. The program does not obligate the Company to acquire any amount of Class A common stock.</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Average price paid per share excludes commissions and other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Section 13(r)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219 of the Iran Threat Reduction and Syria Human Rights Act of 2012, which added Section 13(r) of the Exchange Act, we hereby incorporate by reference herein Exhibit 99.1 of this report, which includes disclosures regarding activities at Mundys S.p.A., which may be, or may have been at the time considered to be, an affiliate of Blackstone and, therefore, our affiliate.</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17, 2024, Stephan Daoust, our Chief Operating Officer, adopted a Rule 10b5-1 trading arrangement (the “Daoust 10b5-1 Plan”), which provides for the potential sale of up to 251,161 shares of the Company’s Class A Common Stock, including shares obtained from the exercise of vested stock options and the vesting of restricted stock units (subject to reduction for any shares withheld to satisfy tax withholding obligations). The Daoust 10b5-1 Plan is intended to satisfy the affirmative defense of Rule 10b5-1(c) under the Exchange Act and unless otherwise terminated pursuant to its terms, provides for sales from August 16, 2024 to December 15, 2024 or an earlier date on which all shares thereunder are sold.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2024, Jarrod Johnson, our Chief Customer Officer, adopted a Rule 10b5-1 trading arrangement (the “Johnson 10b5-1 Plan”), which provides for the potential sale of up to 146,865 shares of the Company’s Class A Common Stock, including shares obtained from the vesting of restricted stock units (subject to reduction for any shares withheld to satisfy tax withholding obligations). The Johnson 10b5-1 Plan is intended to satisfy the affirmative defense of Rule 10b5-1(c) under the Exchange Act and unless otherwise terminated pursuant to its terms, provides for sales from August 15, 2024 to March 31, 2025 or an earlier date on which all shares thereunder are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4"/>
        <w:gridCol w:w="240"/>
        <w:gridCol w:w="243"/>
        <w:gridCol w:w="2815"/>
        <w:gridCol w:w="2732"/>
        <w:gridCol w:w="3901"/>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Exhibit </w:t>
              <w:br/>
              <w:t>No.</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taskus-psuawarda.htm">
              <w:r>
                <w:rPr>
                  <w:rStyle w:val="InternetLink"/>
                  <w:rFonts w:ascii="Times New Roman;sans-serif" w:hAnsi="Times New Roman;sans-serif"/>
                  <w:b w:val="false"/>
                  <w:color w:val="0000FF"/>
                  <w:sz w:val="20"/>
                  <w:u w:val="single"/>
                </w:rPr>
                <w:t>Performance Stock Unit Grant Notice and Agreement (under TaskUs, Inc. 2021 Omnibus Incentive Plan), dated June 3, 2024, between the Company and Bryce Maddock.</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22024.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22024.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22024.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22024.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irannoticeq22024.htm">
              <w:r>
                <w:rPr>
                  <w:rStyle w:val="InternetLink"/>
                  <w:rFonts w:ascii="Times New Roman;sans-serif" w:hAnsi="Times New Roman;sans-serif"/>
                  <w:b w:val="false"/>
                  <w:color w:val="0000FF"/>
                  <w:sz w:val="20"/>
                  <w:u w:val="single"/>
                </w:rPr>
                <w:t>Section 13(r) Disclosure.</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ind w:left="0" w:right="0" w:hanging="540"/>
        <w:jc w:val="left"/>
        <w:rPr>
          <w:color w:val="000000"/>
        </w:rPr>
      </w:pPr>
      <w:r>
        <w:rPr>
          <w:color w:val="000000"/>
        </w:rPr>
        <w:t>†    </w:t>
      </w:r>
      <w:r>
        <w:rPr>
          <w:rFonts w:ascii="Times New Roman;sans-serif" w:hAnsi="Times New Roman;sans-serif"/>
          <w:b w:val="false"/>
          <w:color w:val="000000"/>
          <w:sz w:val="20"/>
        </w:rPr>
        <w:t>Management contract or compensatory plan or arrangement.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c50f17820854de7bd205c5c4c48720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896"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16"/>
        <w:gridCol w:w="216"/>
        <w:gridCol w:w="216"/>
        <w:gridCol w:w="968"/>
        <w:gridCol w:w="968"/>
        <w:gridCol w:w="14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Amaya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Amaya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PERFORMANCE STOCK UNIT GRANT NOTICE</w:t>
        <w:br/>
        <w:t>UNDER THE</w:t>
        <w:br/>
        <w:t>TASKUS, INC.</w:t>
        <w:br/>
        <w:t>2021 OMNIBUS INCENTIVE PLAN</w:t>
        <w:br/>
        <w:t>PERFORMANCE-BASED VESTING AWARD</w:t>
      </w:r>
    </w:p>
    <w:p>
      <w:pPr>
        <w:pStyle w:val="TextBody"/>
        <w:bidi w:val="0"/>
        <w:spacing w:lineRule="auto" w:line="288" w:before="0" w:after="120"/>
        <w:ind w:left="0" w:right="0" w:firstLine="720"/>
        <w:jc w:val="both"/>
        <w:rPr/>
      </w:pPr>
      <w:r>
        <w:rPr>
          <w:rFonts w:ascii="Times New Roman;sans-serif" w:hAnsi="Times New Roman;sans-serif"/>
          <w:b w:val="false"/>
          <w:color w:val="000000"/>
          <w:sz w:val="22"/>
        </w:rPr>
        <w:t>TaskUs,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pursuant to its 2021 Omnibus Incentive Plan (as it may be amended and/or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hereby grants to the Participant the number of performance-based Restricted Stock Units (“</w:t>
      </w:r>
      <w:r>
        <w:rPr>
          <w:rFonts w:ascii="Times New Roman;sans-serif" w:hAnsi="Times New Roman;sans-serif"/>
          <w:b w:val="false"/>
          <w:color w:val="000000"/>
          <w:sz w:val="22"/>
          <w:u w:val="single"/>
        </w:rPr>
        <w:t>Performance Stock Units</w:t>
      </w:r>
      <w:r>
        <w:rPr>
          <w:color w:val="000000"/>
        </w:rPr>
        <w:t>”</w:t>
      </w:r>
      <w:r>
        <w:rPr>
          <w:rFonts w:ascii="Times New Roman;sans-serif" w:hAnsi="Times New Roman;sans-serif"/>
          <w:b w:val="false"/>
          <w:color w:val="000000"/>
          <w:sz w:val="22"/>
        </w:rPr>
        <w:t xml:space="preserve">) equal to the “Number of Performance Stock Units” set forth below. The Performance Stock Units are subject to all of the terms and conditions as set forth herein, in the Performance Stock Unit Agreement (attached hereto or previously provided to the Participant in connection with a prior grant), in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 and in the Plan, all of which are incorporated herein in their entirety. Capitalized terms not otherwise defined herein shall have the meaning set forth in the Plan.</w:t>
      </w:r>
    </w:p>
    <w:p>
      <w:pPr>
        <w:pStyle w:val="TextBody"/>
        <w:bidi w:val="0"/>
        <w:spacing w:before="0" w:after="120"/>
        <w:ind w:left="0" w:right="0" w:firstLine="720"/>
        <w:jc w:val="both"/>
        <w:rPr/>
      </w:pPr>
      <w:r>
        <w:rPr/>
      </w:r>
    </w:p>
    <w:p>
      <w:pPr>
        <w:pStyle w:val="TextBody"/>
        <w:bidi w:val="0"/>
        <w:spacing w:lineRule="auto" w:line="288" w:before="0" w:after="120"/>
        <w:ind w:left="0" w:right="0" w:hanging="3600"/>
        <w:jc w:val="left"/>
        <w:rPr/>
      </w:pPr>
      <w:r>
        <w:rPr>
          <w:rFonts w:ascii="Times New Roman;sans-serif" w:hAnsi="Times New Roman;sans-serif"/>
          <w:b/>
          <w:color w:val="000000"/>
          <w:sz w:val="22"/>
        </w:rPr>
        <w:t>Participant:</w:t>
      </w:r>
      <w:r>
        <w:rPr>
          <w:color w:val="000000"/>
        </w:rPr>
        <w:t>    </w:t>
      </w:r>
      <w:r>
        <w:rPr>
          <w:rFonts w:ascii="Times New Roman;sans-serif" w:hAnsi="Times New Roman;sans-serif"/>
          <w:b w:val="false"/>
          <w:color w:val="000000"/>
          <w:sz w:val="22"/>
        </w:rPr>
        <w:t>Bryce Maddock</w:t>
      </w:r>
    </w:p>
    <w:p>
      <w:pPr>
        <w:pStyle w:val="TextBody"/>
        <w:bidi w:val="0"/>
        <w:spacing w:lineRule="auto" w:line="288" w:before="0" w:after="120"/>
        <w:ind w:left="0" w:right="0" w:hanging="3600"/>
        <w:jc w:val="left"/>
        <w:rPr/>
      </w:pPr>
      <w:r>
        <w:rPr>
          <w:rFonts w:ascii="Times New Roman;sans-serif" w:hAnsi="Times New Roman;sans-serif"/>
          <w:b/>
          <w:color w:val="000000"/>
          <w:sz w:val="22"/>
        </w:rPr>
        <w:t>Date of Grant:    </w:t>
      </w:r>
      <w:r>
        <w:rPr>
          <w:rFonts w:ascii="Times New Roman;sans-serif" w:hAnsi="Times New Roman;sans-serif"/>
          <w:b w:val="false"/>
          <w:color w:val="000000"/>
          <w:sz w:val="22"/>
        </w:rPr>
        <w:t>June 3, 2024</w:t>
      </w:r>
    </w:p>
    <w:p>
      <w:pPr>
        <w:pStyle w:val="TextBody"/>
        <w:bidi w:val="0"/>
        <w:spacing w:lineRule="auto" w:line="288" w:before="0" w:after="120"/>
        <w:ind w:left="0" w:right="0" w:hanging="3600"/>
        <w:jc w:val="left"/>
        <w:rPr/>
      </w:pPr>
      <w:r>
        <w:rPr>
          <w:rFonts w:ascii="Times New Roman;sans-serif" w:hAnsi="Times New Roman;sans-serif"/>
          <w:b/>
          <w:color w:val="000000"/>
          <w:sz w:val="22"/>
        </w:rPr>
        <w:t>Performance Period:</w:t>
      </w:r>
      <w:r>
        <w:rPr>
          <w:color w:val="000000"/>
        </w:rPr>
        <w:t>    </w:t>
      </w:r>
      <w:r>
        <w:rPr>
          <w:rFonts w:ascii="Times New Roman;sans-serif" w:hAnsi="Times New Roman;sans-serif"/>
          <w:b w:val="false"/>
          <w:color w:val="000000"/>
          <w:sz w:val="22"/>
        </w:rPr>
        <w:t xml:space="preserve">The Performance Period applicable to the Performance Stock Units is set forth on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w:t>
      </w:r>
    </w:p>
    <w:p>
      <w:pPr>
        <w:pStyle w:val="TextBody"/>
        <w:bidi w:val="0"/>
        <w:spacing w:lineRule="auto" w:line="288" w:before="0" w:after="0"/>
        <w:ind w:left="0" w:right="0" w:hanging="3600"/>
        <w:jc w:val="left"/>
        <w:rPr>
          <w:rFonts w:ascii="Times New Roman;sans-serif" w:hAnsi="Times New Roman;sans-serif"/>
          <w:b/>
          <w:color w:val="000000"/>
          <w:sz w:val="22"/>
        </w:rPr>
      </w:pPr>
      <w:r>
        <w:rPr>
          <w:rFonts w:ascii="Times New Roman;sans-serif" w:hAnsi="Times New Roman;sans-serif"/>
          <w:b/>
          <w:color w:val="000000"/>
          <w:sz w:val="22"/>
        </w:rPr>
        <w:t xml:space="preserve">Number of </w:t>
      </w:r>
    </w:p>
    <w:p>
      <w:pPr>
        <w:pStyle w:val="TextBody"/>
        <w:bidi w:val="0"/>
        <w:spacing w:lineRule="auto" w:line="288" w:before="0" w:after="120"/>
        <w:ind w:left="0" w:right="0" w:hanging="3600"/>
        <w:jc w:val="left"/>
        <w:rPr/>
      </w:pPr>
      <w:r>
        <w:rPr>
          <w:rFonts w:ascii="Times New Roman;sans-serif" w:hAnsi="Times New Roman;sans-serif"/>
          <w:b/>
          <w:color w:val="000000"/>
          <w:sz w:val="22"/>
        </w:rPr>
        <w:t xml:space="preserve">Performance Stock Units: </w:t>
      </w:r>
      <w:r>
        <w:rPr>
          <w:color w:val="000000"/>
        </w:rPr>
        <w:t>    </w:t>
      </w:r>
      <w:r>
        <w:rPr>
          <w:rFonts w:ascii="Times New Roman;sans-serif" w:hAnsi="Times New Roman;sans-serif"/>
          <w:b w:val="false"/>
          <w:color w:val="000000"/>
          <w:sz w:val="22"/>
        </w:rPr>
        <w:t>240,000</w:t>
      </w:r>
    </w:p>
    <w:p>
      <w:pPr>
        <w:pStyle w:val="TextBody"/>
        <w:bidi w:val="0"/>
        <w:spacing w:lineRule="auto" w:line="288" w:before="0" w:after="240"/>
        <w:ind w:left="0" w:right="0" w:hanging="3600"/>
        <w:jc w:val="both"/>
        <w:rPr/>
      </w:pPr>
      <w:r>
        <w:rPr>
          <w:rFonts w:ascii="Times New Roman;sans-serif" w:hAnsi="Times New Roman;sans-serif"/>
          <w:b/>
          <w:color w:val="000000"/>
          <w:sz w:val="22"/>
        </w:rPr>
        <w:t>Vesting Schedule:</w:t>
      </w:r>
      <w:r>
        <w:rPr>
          <w:color w:val="000000"/>
        </w:rPr>
        <w:t>    </w:t>
      </w:r>
      <w:r>
        <w:rPr>
          <w:rFonts w:ascii="Times New Roman;sans-serif" w:hAnsi="Times New Roman;sans-serif"/>
          <w:b w:val="false"/>
          <w:color w:val="000000"/>
          <w:sz w:val="22"/>
        </w:rPr>
        <w:t xml:space="preserve">The Performance Stock Units shall vest in accordance with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TASKUS, INC.</w:t>
      </w:r>
    </w:p>
    <w:p>
      <w:pPr>
        <w:pStyle w:val="TextBody"/>
        <w:bidi w:val="0"/>
        <w:spacing w:before="0" w:after="24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u w:val="single"/>
        </w:rPr>
        <w:t>/s/ Claudia Walsh</w:t>
      </w:r>
      <w:r>
        <w:rPr>
          <w:rFonts w:ascii="Times New Roman;sans-serif" w:hAnsi="Times New Roman;sans-serif"/>
          <w:b w:val="false"/>
          <w:color w:val="000000"/>
          <w:sz w:val="22"/>
        </w:rPr>
        <w:t>___________________________        </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By: Claudia Walsh</w:t>
      </w:r>
    </w:p>
    <w:p>
      <w:pPr>
        <w:pStyle w:val="TextBody"/>
        <w:bidi w:val="0"/>
        <w:spacing w:lineRule="auto" w:line="288"/>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Title: General Counsel and Corporate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Performance Stock Unit Grant Notice]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Performance Stock Unit Grant Notice]</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extBody"/>
        <w:bidi w:val="0"/>
        <w:spacing w:lineRule="auto" w:line="288" w:before="0" w:after="240"/>
        <w:jc w:val="left"/>
        <w:rPr/>
      </w:pPr>
      <w:r>
        <w:rPr>
          <w:rFonts w:ascii="Times New Roman;sans-serif" w:hAnsi="Times New Roman;sans-serif"/>
          <w:b w:val="false"/>
          <w:color w:val="000000"/>
          <w:sz w:val="22"/>
        </w:rPr>
        <w:t>PARTICIPANT</w:t>
      </w:r>
      <w:r>
        <w:rPr>
          <w:rFonts w:ascii="Times New Roman;sans-serif" w:hAnsi="Times New Roman;sans-serif"/>
          <w:b w:val="false"/>
          <w:color w:val="000000"/>
          <w:sz w:val="14"/>
        </w:rPr>
        <w:t>1</w:t>
      </w:r>
    </w:p>
    <w:p>
      <w:pPr>
        <w:pStyle w:val="TextBody"/>
        <w:bidi w:val="0"/>
        <w:spacing w:before="0" w:after="240"/>
        <w:jc w:val="left"/>
        <w:rPr/>
      </w:pPr>
      <w:r>
        <w:rPr/>
      </w:r>
    </w:p>
    <w:p>
      <w:pPr>
        <w:pStyle w:val="TextBody"/>
        <w:bidi w:val="0"/>
        <w:spacing w:lineRule="auto" w:line="288" w:before="0" w:after="240"/>
        <w:jc w:val="left"/>
        <w:rPr/>
      </w:pPr>
      <w:r>
        <w:rPr>
          <w:rFonts w:ascii="Times New Roman;sans-serif" w:hAnsi="Times New Roman;sans-serif"/>
          <w:b w:val="false"/>
          <w:color w:val="000000"/>
          <w:sz w:val="22"/>
          <w:u w:val="single"/>
        </w:rPr>
        <w:t>/s/ Bryce Maddock</w:t>
      </w:r>
      <w:r>
        <w:rPr>
          <w:rFonts w:ascii="Times New Roman;sans-serif" w:hAnsi="Times New Roman;sans-serif"/>
          <w:b w:val="false"/>
          <w:color w:val="000000"/>
          <w:sz w:val="22"/>
        </w:rPr>
        <w:t>_________________________</w:t>
        <w:br/>
        <w:t>Bryce Maddock</w:t>
      </w:r>
    </w:p>
    <w:p>
      <w:pPr>
        <w:pStyle w:val="TextBody"/>
        <w:bidi w:val="0"/>
        <w:spacing w:lineRule="auto" w:line="288" w:before="0" w:after="0"/>
        <w:ind w:left="0" w:right="0" w:hanging="9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To the extent that the Company has established, either itself or through a third-party plan administrator, the ability to accept this award electronically, such acceptance shall constitute the Participant’s signature 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Performance Stock Unit Grant Notice</w:t>
                            </w:r>
                            <w:r>
                              <w:rPr>
                                <w:rFonts w:ascii="Times New Roman;sans-serif" w:hAnsi="Times New Roman;sans-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Performance Stock Unit Grant Notice</w:t>
                      </w:r>
                      <w:r>
                        <w:rPr>
                          <w:rFonts w:ascii="Times New Roman;sans-serif" w:hAnsi="Times New Roman;sans-serif"/>
                          <w:b w:val="false"/>
                          <w:color w:val="000000"/>
                          <w:sz w:val="20"/>
                        </w:rPr>
                        <w: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PERFORMANCE STOCK UNIT AGREEMENT</w:t>
        <w:br/>
        <w:t>UNDER THE</w:t>
        <w:br/>
        <w:t>TASKUS, INC.</w:t>
        <w:br/>
        <w:t>2021 OMNIBUS INCENTIVE PLAN</w:t>
        <w:br/>
        <w:t>PERFORMANCE-BASED VESTING AWARD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Pursuant to the Performance Stock Unit Grant Notice (the “</w:t>
      </w:r>
      <w:r>
        <w:rPr>
          <w:rFonts w:ascii="Times New Roman;sans-serif" w:hAnsi="Times New Roman;sans-serif"/>
          <w:b/>
          <w:i/>
          <w:color w:val="000000"/>
          <w:sz w:val="22"/>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Performance Stock Unit Agreement (this “</w:t>
      </w:r>
      <w:r>
        <w:rPr>
          <w:rFonts w:ascii="Times New Roman;sans-serif" w:hAnsi="Times New Roman;sans-serif"/>
          <w:b/>
          <w:i/>
          <w:color w:val="000000"/>
          <w:sz w:val="22"/>
        </w:rPr>
        <w:t>Performance Stock Unit Agreement</w:t>
      </w:r>
      <w:r>
        <w:rPr>
          <w:color w:val="000000"/>
        </w:rPr>
        <w:t>”</w:t>
      </w:r>
      <w:r>
        <w:rPr>
          <w:rFonts w:ascii="Times New Roman;sans-serif" w:hAnsi="Times New Roman;sans-serif"/>
          <w:b w:val="false"/>
          <w:color w:val="000000"/>
          <w:sz w:val="22"/>
        </w:rPr>
        <w:t>) and the TaskUs, Inc. 2021 Omnibus Incentive Plan, as it may be amended and restated from time to time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TaskUs,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Performance Stock Units</w:t>
      </w:r>
      <w:r>
        <w:rPr>
          <w:rFonts w:ascii="Times New Roman;sans-serif" w:hAnsi="Times New Roman;sans-serif"/>
          <w:b w:val="false"/>
          <w:color w:val="000000"/>
          <w:sz w:val="22"/>
        </w:rPr>
        <w:t>. Subject to the terms and conditions set forth herein and in the Plan, the Company hereby grants to the Participant the number of performance-based Restricted Stock Units (“</w:t>
      </w:r>
      <w:r>
        <w:rPr>
          <w:rFonts w:ascii="Times New Roman;sans-serif" w:hAnsi="Times New Roman;sans-serif"/>
          <w:b/>
          <w:i/>
          <w:color w:val="000000"/>
          <w:sz w:val="22"/>
        </w:rPr>
        <w:t>Performance Stock Units</w:t>
      </w:r>
      <w:r>
        <w:rPr>
          <w:color w:val="000000"/>
        </w:rPr>
        <w:t>”</w:t>
      </w:r>
      <w:r>
        <w:rPr>
          <w:rFonts w:ascii="Times New Roman;sans-serif" w:hAnsi="Times New Roman;sans-serif"/>
          <w:b w:val="false"/>
          <w:color w:val="000000"/>
          <w:sz w:val="22"/>
        </w:rPr>
        <w:t>) provided in the Grant Notice (with each Performance Stock Unit representing an unfunded, unsecured right to receive one share of Class A Common Stock).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Performance Stock Units shall vest as provided in the Grant Notice and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attached hereto.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Performance Stock Units</w:t>
      </w:r>
      <w:r>
        <w:rPr>
          <w:rFonts w:ascii="Times New Roman;sans-serif" w:hAnsi="Times New Roman;sans-serif"/>
          <w:b w:val="false"/>
          <w:color w:val="000000"/>
          <w:sz w:val="22"/>
        </w:rPr>
        <w:t xml:space="preserve">. Subject to any election by the Committee pursuant to Section 9(d)(ii) of the Plan, the Company will deliver to the Participant, without charge, as soon as reasonably practicable (and, in any event, within two and one-half months) following the applicable vesting date, one share of Class A Common Stock for each Performance Stock Unit (as adjusted under the Plan, as applicable) which becomes vested hereunder and such vested Performance Stock Unit shall be cancelled upon such delivery. The Company shall either (a) deliver, or cause to be delivered, to the Participant a certificate or certificates therefor, registered in the Participant’s name or (b) cause such shares of Class A Common Stock to be credited to the Participant’s account at the third party plan administrator. Notwithstanding anything in this Performance Stock Unit Agreement to the contrary, the Company shall have no obligation to issue or transfer any shares of Class A Common Stock as contemplated by this Performance Stock Unit Agreement unless and until such issuance or transfer complies with all relevant provisions of law and the requirements of any stock exchange on which the Company’s shares of Class A Common Stock are listed for trading.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Performance Stock Units upon Termination</w:t>
      </w:r>
      <w:r>
        <w:rPr>
          <w:rFonts w:ascii="Times New Roman;sans-serif" w:hAnsi="Times New Roman;sans-serif"/>
          <w:b w:val="false"/>
          <w:color w:val="000000"/>
          <w:sz w:val="22"/>
        </w:rPr>
        <w:t xml:space="preserve">. The provisions of Section 9(c)(ii) of the Plan are incorporated herein by reference and made a part hereof, subject to the Vesting Schedule as provided in the Grant Notice and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attached hereto (and for the avoidance for doubt, in the event of any conflict between the Grant Notice and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and Section 9(c)(ii) of the Plan, the provisions of the Grant Notice and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will prevail).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Company; Participant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term “Company” as used in this Performance Stock Unit Agreement with reference to employment or service shall include the applicable Service Recipient.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xml:space="preserve">. The Performance Stock Units are not transferable by the Participant except to Permitted Transferees in accordance with Section 13(b)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Rights as Stockholder</w:t>
      </w:r>
      <w:r>
        <w:rPr>
          <w:rFonts w:ascii="Times New Roman;sans-serif" w:hAnsi="Times New Roman;sans-serif"/>
          <w:b w:val="false"/>
          <w:color w:val="000000"/>
          <w:sz w:val="22"/>
        </w:rPr>
        <w:t xml:space="preserve">. Subject to any payments to be provided to the Participant in accordance with the Grant Notice and Section 13(c)(iii) of the Plan, the Participant or a Permitted Transferee shall have no rights as a stockholder with respect to any share of Class A Common Stock underlying a Performance Stock Unit unless and until the Participant shall have become the holder of record or the beneficial owner of such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xml:space="preserve">. The provisions of Section 13(d) of the Plan are incorporated herein by reference and made a part 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Performance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Performance Stock Unit Agreement does not confer upon the Participant any right to continue as an employee or service provider to the Service Recipient or any other member of the Company Group.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Performance Stock Unit Agreement shall be binding upon the heirs, executors, administrators and successors of the parties hereto.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12 of the Plan, any waiver, alteration, amendment or modification of any of the terms of this Performance Stock Unit Agreement shall be valid only if made in writing and signed by the parties hereto;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Clawback/Forfeiture</w:t>
      </w:r>
      <w:r>
        <w:rPr>
          <w:rFonts w:ascii="Times New Roman;sans-serif" w:hAnsi="Times New Roman;sans-serif"/>
          <w:b w:val="false"/>
          <w:color w:val="000000"/>
          <w:sz w:val="22"/>
        </w:rPr>
        <w:t xml:space="preserve">. This Performance Stock Unit Agreement shall be subject to reduction, cancellation, forfeiture or recoupment to 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Detrimental Activity</w:t>
      </w:r>
      <w:r>
        <w:rPr>
          <w:rFonts w:ascii="Times New Roman;sans-serif" w:hAnsi="Times New Roman;sans-serif"/>
          <w:b w:val="false"/>
          <w:color w:val="000000"/>
          <w:sz w:val="22"/>
        </w:rPr>
        <w:t xml:space="preserve">. Notwithstanding anything to the contrary contained herein or in the Plan, if the Participant has engaged in or engages in any Detrimental Activity, as determined by the Committee, then the Committee may, in its sole discretion, take actions permitted under the Plan, including, but not limited to: (i) cancelling any and all Performance Stock Units, or (ii) requiring that the Participant forfeit any gain realized on the settlement of the Performance Stock Unit or the disposition of any Class A Common Stock received upon settlement of the Performance Stock Units, and repay such gain to the Company.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Right to Offset</w:t>
      </w:r>
      <w:r>
        <w:rPr>
          <w:rFonts w:ascii="Times New Roman;sans-serif" w:hAnsi="Times New Roman;sans-serif"/>
          <w:b w:val="false"/>
          <w:color w:val="000000"/>
          <w:sz w:val="22"/>
        </w:rPr>
        <w:t>. The provisions of Section 13(x) of the Plan are incorporated herein by reference and made a part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xml:space="preserve">.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Plan</w:t>
      </w:r>
      <w:r>
        <w:rPr>
          <w:rFonts w:ascii="Times New Roman;sans-serif" w:hAnsi="Times New Roman;sans-serif"/>
          <w:b w:val="false"/>
          <w:color w:val="000000"/>
          <w:sz w:val="22"/>
        </w:rPr>
        <w:t xml:space="preserve">. The terms and provisions of the Plan are incorporated herein by reference. In the event of a conflict or inconsistency between the terms and provisions of the Plan and the provisions of this Performance Stock Unit Agreement (including the Grant Notice and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the Plan shall govern and control.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It is intended that the Performance Stock Units granted hereunder shall be exempt from Section 409A of the Code pursuant to the “short-term deferral” rule applicable to such section, as set forth in the regulations or other guidance published by the Internal Revenue Service thereunder and shall be interpreted as such.</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xml:space="preserve">. The Company reserves the right to impose other requirements on the Participant’s participation in the Plan, on the Performance Stock Units and on any shares of Class A Common Stock acquired under the Plan, to the extent that the Company, in its sole discretion, determines it is necessary or advisable for legal or administrative reasons, and to require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to sign any additional agreements or undertakings that may be necessary to accomplish the foregoing.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This Performance Stock Unit Agreement (including, without limitation, all exhibits and appendices attached hereto),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lineRule="auto" w:line="288" w:before="0" w:after="240"/>
        <w:jc w:val="both"/>
        <w:rPr/>
      </w:pPr>
      <w:r>
        <w:rPr>
          <w:rFonts w:ascii="Times New Roman;sans-serif" w:hAnsi="Times New Roman;sans-serif"/>
          <w:b w:val="false"/>
          <w:color w:val="000000"/>
          <w:sz w:val="22"/>
        </w:rPr>
        <w:t xml:space="preserve">Provided that the Participant has not undergone a Termination and remains employed as Chief Executive Officer of the Company as of the last day of the applicable Performance Period (as defined below), even if the Participant undergoes a Termination following the last day of the Performance Period and prior to the Determination Date, and subject to the other provisions of this </w:t>
      </w:r>
      <w:r>
        <w:rPr>
          <w:rFonts w:ascii="Times New Roman;sans-serif" w:hAnsi="Times New Roman;sans-serif"/>
          <w:b w:val="false"/>
          <w:color w:val="000000"/>
          <w:sz w:val="22"/>
          <w:u w:val="single"/>
        </w:rPr>
        <w:t>Appendix A</w:t>
      </w:r>
      <w:r>
        <w:rPr>
          <w:rFonts w:ascii="Times New Roman;sans-serif" w:hAnsi="Times New Roman;sans-serif"/>
          <w:b w:val="false"/>
          <w:color w:val="000000"/>
          <w:sz w:val="22"/>
        </w:rPr>
        <w:t xml:space="preserve">, the Performance Stock Units will become vested based on achievement of the Performance Condition with respect to the applicable Performance Period. </w:t>
      </w:r>
    </w:p>
    <w:p>
      <w:pPr>
        <w:pStyle w:val="TextBody"/>
        <w:bidi w:val="0"/>
        <w:spacing w:lineRule="auto" w:line="288" w:before="0" w:after="240"/>
        <w:jc w:val="both"/>
        <w:rPr/>
      </w:pPr>
      <w:r>
        <w:rPr>
          <w:rFonts w:ascii="Times New Roman;sans-serif" w:hAnsi="Times New Roman;sans-serif"/>
          <w:b w:val="false"/>
          <w:color w:val="000000"/>
          <w:sz w:val="22"/>
        </w:rPr>
        <w:t>1.    </w:t>
      </w:r>
      <w:r>
        <w:rPr>
          <w:rFonts w:ascii="Times New Roman;sans-serif" w:hAnsi="Times New Roman;sans-serif"/>
          <w:b w:val="false"/>
          <w:i/>
          <w:color w:val="000000"/>
          <w:sz w:val="22"/>
          <w:u w:val="single"/>
        </w:rPr>
        <w:t>Performance Period</w:t>
      </w:r>
      <w:r>
        <w:rPr>
          <w:rFonts w:ascii="Times New Roman;sans-serif" w:hAnsi="Times New Roman;sans-serif"/>
          <w:b w:val="false"/>
          <w:color w:val="000000"/>
          <w:sz w:val="22"/>
        </w:rPr>
        <w:t>. The Performance Periods applicable to the Performance Stock Units shall be as follows:</w:t>
      </w:r>
    </w:p>
    <w:tbl>
      <w:tblPr>
        <w:tblW w:w="7769" w:type="dxa"/>
        <w:jc w:val="center"/>
        <w:tblInd w:w="0" w:type="dxa"/>
        <w:tblLayout w:type="fixed"/>
        <w:tblCellMar>
          <w:top w:w="28" w:type="dxa"/>
          <w:left w:w="28" w:type="dxa"/>
          <w:bottom w:w="28" w:type="dxa"/>
          <w:right w:w="28" w:type="dxa"/>
        </w:tblCellMar>
      </w:tblPr>
      <w:tblGrid>
        <w:gridCol w:w="532"/>
        <w:gridCol w:w="466"/>
        <w:gridCol w:w="6771"/>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7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76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556" w:before="0" w:after="283"/>
              <w:jc w:val="center"/>
              <w:rPr>
                <w:rFonts w:ascii="Times New Roman;sans-serif" w:hAnsi="Times New Roman;sans-serif"/>
                <w:b/>
                <w:color w:val="000000"/>
                <w:sz w:val="22"/>
              </w:rPr>
            </w:pPr>
            <w:r>
              <w:rPr>
                <w:rFonts w:ascii="Times New Roman;sans-serif" w:hAnsi="Times New Roman;sans-serif"/>
                <w:b/>
                <w:color w:val="000000"/>
                <w:sz w:val="22"/>
              </w:rPr>
              <w:t>Performance Period</w:t>
            </w:r>
          </w:p>
        </w:tc>
      </w:tr>
      <w:tr>
        <w:trPr/>
        <w:tc>
          <w:tcPr>
            <w:tcW w:w="77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Date of Grant to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anniversary of Date of Grant (“</w:t>
            </w:r>
            <w:r>
              <w:rPr>
                <w:rFonts w:ascii="Times New Roman;sans-serif" w:hAnsi="Times New Roman;sans-serif"/>
                <w:b w:val="false"/>
                <w:color w:val="000000"/>
                <w:sz w:val="22"/>
                <w:u w:val="single"/>
              </w:rPr>
              <w:t>First Performance Period</w:t>
            </w:r>
            <w:r>
              <w:rPr>
                <w:color w:val="000000"/>
              </w:rPr>
              <w:t>”</w:t>
            </w:r>
            <w:r>
              <w:rPr>
                <w:rFonts w:ascii="Times New Roman;sans-serif" w:hAnsi="Times New Roman;sans-serif"/>
                <w:b w:val="false"/>
                <w:color w:val="000000"/>
                <w:sz w:val="22"/>
              </w:rPr>
              <w:t>)</w:t>
            </w:r>
          </w:p>
        </w:tc>
      </w:tr>
      <w:tr>
        <w:trPr/>
        <w:tc>
          <w:tcPr>
            <w:tcW w:w="77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Date of Grant to 2</w:t>
            </w:r>
            <w:r>
              <w:rPr>
                <w:rFonts w:ascii="Times New Roman;sans-serif" w:hAnsi="Times New Roman;sans-serif"/>
                <w:b w:val="false"/>
                <w:color w:val="000000"/>
                <w:sz w:val="14"/>
              </w:rPr>
              <w:t>nd</w:t>
            </w:r>
            <w:r>
              <w:rPr>
                <w:color w:val="000000"/>
              </w:rPr>
              <w:t xml:space="preserve"> </w:t>
            </w:r>
            <w:r>
              <w:rPr>
                <w:rFonts w:ascii="Times New Roman;sans-serif" w:hAnsi="Times New Roman;sans-serif"/>
                <w:b w:val="false"/>
                <w:color w:val="000000"/>
                <w:sz w:val="22"/>
              </w:rPr>
              <w:t>anniversary of Date of Grant (“</w:t>
            </w:r>
            <w:r>
              <w:rPr>
                <w:rFonts w:ascii="Times New Roman;sans-serif" w:hAnsi="Times New Roman;sans-serif"/>
                <w:b w:val="false"/>
                <w:color w:val="000000"/>
                <w:sz w:val="22"/>
                <w:u w:val="single"/>
              </w:rPr>
              <w:t>Second Performance Period</w:t>
            </w:r>
            <w:r>
              <w:rPr>
                <w:color w:val="000000"/>
              </w:rPr>
              <w:t>”</w:t>
            </w:r>
            <w:r>
              <w:rPr>
                <w:rFonts w:ascii="Times New Roman;sans-serif" w:hAnsi="Times New Roman;sans-serif"/>
                <w:b w:val="false"/>
                <w:color w:val="000000"/>
                <w:sz w:val="22"/>
              </w:rPr>
              <w:t>)</w:t>
            </w:r>
          </w:p>
        </w:tc>
      </w:tr>
      <w:tr>
        <w:trPr/>
        <w:tc>
          <w:tcPr>
            <w:tcW w:w="77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Date of Grant to 3</w:t>
            </w:r>
            <w:r>
              <w:rPr>
                <w:rFonts w:ascii="Times New Roman;sans-serif" w:hAnsi="Times New Roman;sans-serif"/>
                <w:b w:val="false"/>
                <w:color w:val="000000"/>
                <w:sz w:val="14"/>
              </w:rPr>
              <w:t>rd</w:t>
            </w:r>
            <w:r>
              <w:rPr>
                <w:color w:val="000000"/>
              </w:rPr>
              <w:t xml:space="preserve"> </w:t>
            </w:r>
            <w:r>
              <w:rPr>
                <w:rFonts w:ascii="Times New Roman;sans-serif" w:hAnsi="Times New Roman;sans-serif"/>
                <w:b w:val="false"/>
                <w:color w:val="000000"/>
                <w:sz w:val="22"/>
              </w:rPr>
              <w:t>anniversary of Date of Grant (“</w:t>
            </w:r>
            <w:r>
              <w:rPr>
                <w:rFonts w:ascii="Times New Roman;sans-serif" w:hAnsi="Times New Roman;sans-serif"/>
                <w:b w:val="false"/>
                <w:color w:val="000000"/>
                <w:sz w:val="22"/>
                <w:u w:val="single"/>
              </w:rPr>
              <w:t>Final Performance Period</w:t>
            </w:r>
            <w:r>
              <w:rPr>
                <w:color w:val="000000"/>
              </w:rPr>
              <w:t>”</w:t>
            </w:r>
            <w:r>
              <w:rPr>
                <w:rFonts w:ascii="Times New Roman;sans-serif" w:hAnsi="Times New Roman;sans-serif"/>
                <w:b w:val="false"/>
                <w:color w:val="000000"/>
                <w:sz w:val="22"/>
              </w:rPr>
              <w:t>)</w:t>
            </w:r>
          </w:p>
        </w:tc>
      </w:tr>
    </w:tbl>
    <w:p>
      <w:pPr>
        <w:pStyle w:val="TextBody"/>
        <w:bidi w:val="0"/>
        <w:spacing w:lineRule="auto" w:line="288" w:before="240" w:after="240"/>
        <w:jc w:val="both"/>
        <w:rPr/>
      </w:pPr>
      <w:r>
        <w:rPr>
          <w:rFonts w:ascii="Times New Roman;sans-serif" w:hAnsi="Times New Roman;sans-serif"/>
          <w:b w:val="false"/>
          <w:color w:val="000000"/>
          <w:sz w:val="22"/>
        </w:rPr>
        <w:t>2.    </w:t>
      </w:r>
      <w:r>
        <w:rPr>
          <w:rFonts w:ascii="Times New Roman;sans-serif" w:hAnsi="Times New Roman;sans-serif"/>
          <w:b w:val="false"/>
          <w:i/>
          <w:color w:val="000000"/>
          <w:sz w:val="22"/>
          <w:u w:val="single"/>
        </w:rPr>
        <w:t>Performance Condition</w:t>
      </w:r>
      <w:r>
        <w:rPr>
          <w:rFonts w:ascii="Times New Roman;sans-serif" w:hAnsi="Times New Roman;sans-serif"/>
          <w:b w:val="false"/>
          <w:color w:val="000000"/>
          <w:sz w:val="22"/>
        </w:rPr>
        <w:t>. The number of Performance Stock Units that satisfy the Performance Condition during each applicable Performance Period shall be based on the achievement of the specified Stock Price CAGR levels set forth below:</w:t>
      </w:r>
    </w:p>
    <w:tbl>
      <w:tblPr>
        <w:tblW w:w="6302" w:type="dxa"/>
        <w:jc w:val="center"/>
        <w:tblInd w:w="0" w:type="dxa"/>
        <w:tblLayout w:type="fixed"/>
        <w:tblCellMar>
          <w:top w:w="28" w:type="dxa"/>
          <w:left w:w="28" w:type="dxa"/>
          <w:bottom w:w="28" w:type="dxa"/>
          <w:right w:w="28" w:type="dxa"/>
        </w:tblCellMar>
      </w:tblPr>
      <w:tblGrid>
        <w:gridCol w:w="1435"/>
        <w:gridCol w:w="1262"/>
        <w:gridCol w:w="1263"/>
        <w:gridCol w:w="239"/>
        <w:gridCol w:w="239"/>
        <w:gridCol w:w="239"/>
        <w:gridCol w:w="265"/>
        <w:gridCol w:w="265"/>
        <w:gridCol w:w="266"/>
        <w:gridCol w:w="239"/>
        <w:gridCol w:w="239"/>
        <w:gridCol w:w="351"/>
      </w:tblGrid>
      <w:tr>
        <w:trPr/>
        <w:tc>
          <w:tcPr>
            <w:tcW w:w="143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60" w:type="dxa"/>
            <w:gridSpan w:val="3"/>
            <w:tcBorders>
              <w:top w:val="single" w:sz="8" w:space="0" w:color="000000"/>
              <w:left w:val="single" w:sz="8" w:space="0" w:color="000000"/>
            </w:tcBorders>
            <w:shd w:fill="B6B6B6" w:val="clear"/>
            <w:tcMar>
              <w:top w:w="30" w:type="dxa"/>
              <w:bottom w:w="0" w:type="dxa"/>
              <w:right w:w="0" w:type="dxa"/>
            </w:tcMar>
            <w:vAlign w:val="center"/>
          </w:tcPr>
          <w:p>
            <w:pPr>
              <w:pStyle w:val="TableContents"/>
              <w:bidi w:val="0"/>
              <w:spacing w:lineRule="auto" w:line="240" w:before="0" w:after="283"/>
              <w:ind w:left="0" w:right="0" w:firstLine="1440"/>
              <w:jc w:val="center"/>
              <w:rPr>
                <w:rFonts w:ascii="Times New Roman;sans-serif" w:hAnsi="Times New Roman;sans-serif"/>
                <w:b/>
                <w:color w:val="000000"/>
                <w:sz w:val="24"/>
              </w:rPr>
            </w:pPr>
            <w:r>
              <w:rPr>
                <w:rFonts w:ascii="Times New Roman;sans-serif" w:hAnsi="Times New Roman;sans-serif"/>
                <w:b/>
                <w:color w:val="000000"/>
                <w:sz w:val="24"/>
              </w:rPr>
              <w:t>Performance Condition</w:t>
            </w:r>
          </w:p>
        </w:tc>
        <w:tc>
          <w:tcPr>
            <w:tcW w:w="2342" w:type="dxa"/>
            <w:gridSpan w:val="9"/>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bidi w:val="0"/>
              <w:spacing w:lineRule="auto" w:line="556" w:before="0" w:after="283"/>
              <w:ind w:left="0" w:right="0" w:hanging="0"/>
              <w:jc w:val="center"/>
              <w:rPr>
                <w:rFonts w:ascii="Times New Roman;sans-serif" w:hAnsi="Times New Roman;sans-serif"/>
                <w:b/>
                <w:color w:val="000000"/>
                <w:sz w:val="22"/>
              </w:rPr>
            </w:pPr>
            <w:r>
              <w:rPr>
                <w:rFonts w:ascii="Times New Roman;sans-serif" w:hAnsi="Times New Roman;sans-serif"/>
                <w:b/>
                <w:color w:val="000000"/>
                <w:sz w:val="22"/>
              </w:rPr>
              <w:t>Level of Achievement</w:t>
            </w:r>
          </w:p>
        </w:tc>
      </w:tr>
      <w:tr>
        <w:trPr/>
        <w:tc>
          <w:tcPr>
            <w:tcW w:w="3960" w:type="dxa"/>
            <w:gridSpan w:val="3"/>
            <w:vMerge w:val="restart"/>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55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Stock Price CAGR</w:t>
            </w:r>
          </w:p>
        </w:tc>
        <w:tc>
          <w:tcPr>
            <w:tcW w:w="71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First</w:t>
            </w:r>
          </w:p>
        </w:tc>
        <w:tc>
          <w:tcPr>
            <w:tcW w:w="79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Second</w:t>
            </w:r>
          </w:p>
        </w:tc>
        <w:tc>
          <w:tcPr>
            <w:tcW w:w="829"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Third</w:t>
            </w:r>
          </w:p>
        </w:tc>
      </w:tr>
      <w:tr>
        <w:trPr/>
        <w:tc>
          <w:tcPr>
            <w:tcW w:w="3960" w:type="dxa"/>
            <w:gridSpan w:val="3"/>
            <w:vMerge w:val="continue"/>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Normal"/>
              <w:bidi w:val="0"/>
              <w:jc w:val="left"/>
              <w:rPr/>
            </w:pPr>
            <w:r>
              <w:rPr/>
            </w:r>
          </w:p>
        </w:tc>
        <w:tc>
          <w:tcPr>
            <w:tcW w:w="7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c>
        <w:tc>
          <w:tcPr>
            <w:tcW w:w="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c>
        <w:tc>
          <w:tcPr>
            <w:tcW w:w="8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c>
      </w:tr>
    </w:tbl>
    <w:p>
      <w:pPr>
        <w:pStyle w:val="TextBody"/>
        <w:bidi w:val="0"/>
        <w:spacing w:lineRule="auto" w:line="288" w:before="240" w:after="240"/>
        <w:jc w:val="both"/>
        <w:rPr/>
      </w:pPr>
      <w:r>
        <w:rPr>
          <w:rFonts w:ascii="Times New Roman;sans-serif" w:hAnsi="Times New Roman;sans-serif"/>
          <w:b w:val="false"/>
          <w:color w:val="000000"/>
          <w:sz w:val="22"/>
        </w:rPr>
        <w:t>3.    </w:t>
      </w:r>
      <w:r>
        <w:rPr>
          <w:rFonts w:ascii="Times New Roman;sans-serif" w:hAnsi="Times New Roman;sans-serif"/>
          <w:b w:val="false"/>
          <w:i/>
          <w:color w:val="000000"/>
          <w:sz w:val="22"/>
          <w:u w:val="single"/>
        </w:rPr>
        <w:t>Calculation of Number of Vested Performance Stock Units</w:t>
      </w:r>
      <w:r>
        <w:rPr>
          <w:rFonts w:ascii="Times New Roman;sans-serif" w:hAnsi="Times New Roman;sans-serif"/>
          <w:b w:val="false"/>
          <w:color w:val="000000"/>
          <w:sz w:val="22"/>
        </w:rPr>
        <w:t xml:space="preserve">. Within 30 days following the completion of the applicable Performance Period, the Committee shall determine, as set forth below, the achievement with respect to the Performance Condition and calculate the “Cumulative Number of PSUs Earned”, based on the table below based on the “Level of Achievement” specified above during the applicable Performance Period. With respect to the Second Performance Period and the Final Performance Period, the number of Performance Stock Units earned with respect to such Performance Period (if any) shall be the “Cumulative Number of PSUs Earned” determined by the Committee based on the table below based on the “Level of Achievement” specified above during such Performance Period </w:t>
      </w:r>
      <w:r>
        <w:rPr>
          <w:rFonts w:ascii="Times New Roman;sans-serif" w:hAnsi="Times New Roman;sans-serif"/>
          <w:b w:val="false"/>
          <w:i/>
          <w:color w:val="000000"/>
          <w:sz w:val="22"/>
        </w:rPr>
        <w:t>less</w:t>
      </w:r>
      <w:r>
        <w:rPr>
          <w:color w:val="000000"/>
        </w:rPr>
        <w:t xml:space="preserve"> </w:t>
      </w:r>
      <w:r>
        <w:rPr>
          <w:rFonts w:ascii="Times New Roman;sans-serif" w:hAnsi="Times New Roman;sans-serif"/>
          <w:b w:val="false"/>
          <w:color w:val="000000"/>
          <w:sz w:val="22"/>
        </w:rPr>
        <w:t xml:space="preserve">the number of any Performance Stock Units earned with respect to any prior Performance Period;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the number of Performance Stock Units earned with respect to any Performance Period shall not be less than zero.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Performance Condition shall not be achieved and no Performance Stock Unit shall be vested in respect of the applicable Performance Period until the Committee certifies in writing the extent to which the Performance Condition has been met (which certification will be made within 30 days following the completion of the applicable Performance Period) (each such date, the “</w:t>
      </w:r>
      <w:r>
        <w:rPr>
          <w:rFonts w:ascii="Times New Roman;sans-serif" w:hAnsi="Times New Roman;sans-serif"/>
          <w:b w:val="false"/>
          <w:color w:val="000000"/>
          <w:sz w:val="22"/>
          <w:u w:val="single"/>
        </w:rPr>
        <w:t>Determination Date</w:t>
      </w:r>
      <w:r>
        <w:rPr>
          <w:color w:val="000000"/>
        </w:rPr>
        <w:t>”</w:t>
      </w:r>
      <w:r>
        <w:rPr>
          <w:rFonts w:ascii="Times New Roman;sans-serif" w:hAnsi="Times New Roman;sans-serif"/>
          <w:b w:val="false"/>
          <w:color w:val="000000"/>
          <w:sz w:val="22"/>
        </w:rPr>
        <w:t xml:space="preserve">). All determinations with respect to whether and the extent to which the Performance Condition has been achieved shall be made by the Committee, in its discretion, acting reasonably and in good faith based on the mathematically determined level of achievement.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In the event that actual performance in respect of the applicable Performance Period does not meet the “First” level of achievement with respect to the Performance Condition as set forth in the table above, the “Cumulative Number of PSUs Earned” for such Performance Period shall be zero;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in such event, the Participant shall not be required to forfeit any Performance Stock Units previously earned with respect to any prior Performance Period.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actual performance with respect to the Performance Condition determined by the Committee is between (i) the “First” and “Second” levels of achievement or (ii) the “Second” and “Third” levels of achievement, then the “Cumulative Number of PSUs Earned” shall be determined based on the level of achievement actually achieved. For example, if the actual performance with respect to the Performance Condition determined by the Committee is 15% (i.e., halfway between the “First” and “Second” levels of achievement), then the “Cumulative Number of PSUs Earned” shall be determined based on the First level of achievement.</w:t>
      </w:r>
    </w:p>
    <w:tbl>
      <w:tblPr>
        <w:tblW w:w="10205" w:type="dxa"/>
        <w:jc w:val="center"/>
        <w:tblInd w:w="0" w:type="dxa"/>
        <w:tblLayout w:type="fixed"/>
        <w:tblCellMar>
          <w:top w:w="28" w:type="dxa"/>
          <w:left w:w="28" w:type="dxa"/>
          <w:bottom w:w="28" w:type="dxa"/>
          <w:right w:w="28" w:type="dxa"/>
        </w:tblCellMar>
      </w:tblPr>
      <w:tblGrid>
        <w:gridCol w:w="798"/>
        <w:gridCol w:w="701"/>
        <w:gridCol w:w="703"/>
        <w:gridCol w:w="857"/>
        <w:gridCol w:w="857"/>
        <w:gridCol w:w="853"/>
        <w:gridCol w:w="931"/>
        <w:gridCol w:w="931"/>
        <w:gridCol w:w="926"/>
        <w:gridCol w:w="776"/>
        <w:gridCol w:w="776"/>
        <w:gridCol w:w="109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003" w:type="dxa"/>
            <w:gridSpan w:val="9"/>
            <w:tcBorders>
              <w:top w:val="single" w:sz="4" w:space="0" w:color="000000"/>
              <w:left w:val="single" w:sz="4" w:space="0" w:color="000000"/>
              <w:right w:val="single" w:sz="4" w:space="0" w:color="000000"/>
            </w:tcBorders>
            <w:shd w:fill="BFBFBF" w:val="clear"/>
            <w:tcMar>
              <w:top w:w="30" w:type="dxa"/>
              <w:left w:w="200" w:type="dxa"/>
              <w:bottom w:w="0" w:type="dxa"/>
              <w:right w:w="20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Cumulative Number of PSUs Earned</w:t>
            </w:r>
          </w:p>
        </w:tc>
      </w:tr>
      <w:tr>
        <w:trPr/>
        <w:tc>
          <w:tcPr>
            <w:tcW w:w="2202" w:type="dxa"/>
            <w:gridSpan w:val="3"/>
            <w:tcBorders>
              <w:top w:val="single" w:sz="4" w:space="0" w:color="000000"/>
              <w:left w:val="single" w:sz="4" w:space="0" w:color="000000"/>
            </w:tcBorders>
            <w:shd w:fill="BFBFBF" w:val="clear"/>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Level of Achievement</w:t>
            </w:r>
          </w:p>
        </w:tc>
        <w:tc>
          <w:tcPr>
            <w:tcW w:w="2567" w:type="dxa"/>
            <w:gridSpan w:val="3"/>
            <w:tcBorders>
              <w:top w:val="single" w:sz="4" w:space="0" w:color="000000"/>
              <w:left w:val="single" w:sz="4" w:space="0" w:color="000000"/>
            </w:tcBorders>
            <w:shd w:fill="D9D9D9" w:val="clear"/>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First Performance Period</w:t>
            </w:r>
          </w:p>
        </w:tc>
        <w:tc>
          <w:tcPr>
            <w:tcW w:w="2788" w:type="dxa"/>
            <w:gridSpan w:val="3"/>
            <w:tcBorders>
              <w:top w:val="single" w:sz="4" w:space="0" w:color="000000"/>
              <w:left w:val="single" w:sz="4" w:space="0" w:color="000000"/>
            </w:tcBorders>
            <w:shd w:fill="D9D9D9" w:val="clear"/>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Second Performance Period</w:t>
            </w:r>
          </w:p>
        </w:tc>
        <w:tc>
          <w:tcPr>
            <w:tcW w:w="2648" w:type="dxa"/>
            <w:gridSpan w:val="3"/>
            <w:tcBorders>
              <w:top w:val="single" w:sz="4" w:space="0" w:color="000000"/>
              <w:left w:val="single" w:sz="4" w:space="0" w:color="000000"/>
              <w:right w:val="single" w:sz="4" w:space="0" w:color="000000"/>
            </w:tcBorders>
            <w:shd w:fill="D9D9D9" w:val="clear"/>
            <w:tcMar>
              <w:top w:w="30" w:type="dxa"/>
              <w:left w:w="200" w:type="dxa"/>
              <w:bottom w:w="0" w:type="dxa"/>
              <w:right w:w="20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Final Performance Period</w:t>
            </w:r>
          </w:p>
        </w:tc>
      </w:tr>
      <w:tr>
        <w:trPr/>
        <w:tc>
          <w:tcPr>
            <w:tcW w:w="2202"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Below First</w:t>
            </w:r>
          </w:p>
        </w:tc>
        <w:tc>
          <w:tcPr>
            <w:tcW w:w="2567"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2788"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2648" w:type="dxa"/>
            <w:gridSpan w:val="3"/>
            <w:tcBorders>
              <w:top w:val="single" w:sz="4" w:space="0" w:color="000000"/>
              <w:left w:val="single" w:sz="4" w:space="0" w:color="000000"/>
              <w:right w:val="single" w:sz="4" w:space="0" w:color="000000"/>
            </w:tcBorders>
            <w:tcMar>
              <w:top w:w="30" w:type="dxa"/>
              <w:left w:w="200" w:type="dxa"/>
              <w:bottom w:w="0" w:type="dxa"/>
              <w:right w:w="20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2202"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At First</w:t>
            </w:r>
          </w:p>
        </w:tc>
        <w:tc>
          <w:tcPr>
            <w:tcW w:w="2567"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26,667</w:t>
            </w:r>
          </w:p>
        </w:tc>
        <w:tc>
          <w:tcPr>
            <w:tcW w:w="2788"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53,333</w:t>
            </w:r>
          </w:p>
        </w:tc>
        <w:tc>
          <w:tcPr>
            <w:tcW w:w="2648" w:type="dxa"/>
            <w:gridSpan w:val="3"/>
            <w:tcBorders>
              <w:top w:val="single" w:sz="4" w:space="0" w:color="000000"/>
              <w:left w:val="single" w:sz="4" w:space="0" w:color="000000"/>
              <w:right w:val="single" w:sz="4" w:space="0" w:color="000000"/>
            </w:tcBorders>
            <w:tcMar>
              <w:top w:w="30" w:type="dxa"/>
              <w:left w:w="200" w:type="dxa"/>
              <w:bottom w:w="0" w:type="dxa"/>
              <w:right w:w="20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80,000</w:t>
            </w:r>
          </w:p>
        </w:tc>
      </w:tr>
      <w:tr>
        <w:trPr/>
        <w:tc>
          <w:tcPr>
            <w:tcW w:w="2202"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At Second</w:t>
            </w:r>
          </w:p>
        </w:tc>
        <w:tc>
          <w:tcPr>
            <w:tcW w:w="2567"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53,333</w:t>
            </w:r>
          </w:p>
        </w:tc>
        <w:tc>
          <w:tcPr>
            <w:tcW w:w="2788"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106,667</w:t>
            </w:r>
          </w:p>
        </w:tc>
        <w:tc>
          <w:tcPr>
            <w:tcW w:w="2648" w:type="dxa"/>
            <w:gridSpan w:val="3"/>
            <w:tcBorders>
              <w:top w:val="single" w:sz="4" w:space="0" w:color="000000"/>
              <w:left w:val="single" w:sz="4" w:space="0" w:color="000000"/>
              <w:right w:val="single" w:sz="4" w:space="0" w:color="000000"/>
            </w:tcBorders>
            <w:tcMar>
              <w:top w:w="30" w:type="dxa"/>
              <w:left w:w="200" w:type="dxa"/>
              <w:bottom w:w="0" w:type="dxa"/>
              <w:right w:w="20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160,000</w:t>
            </w:r>
          </w:p>
        </w:tc>
      </w:tr>
      <w:tr>
        <w:trPr/>
        <w:tc>
          <w:tcPr>
            <w:tcW w:w="2202"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At Third</w:t>
            </w:r>
          </w:p>
        </w:tc>
        <w:tc>
          <w:tcPr>
            <w:tcW w:w="2567"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80,000</w:t>
            </w:r>
          </w:p>
        </w:tc>
        <w:tc>
          <w:tcPr>
            <w:tcW w:w="2788"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160,000</w:t>
            </w:r>
          </w:p>
        </w:tc>
        <w:tc>
          <w:tcPr>
            <w:tcW w:w="2648" w:type="dxa"/>
            <w:gridSpan w:val="3"/>
            <w:tcBorders>
              <w:top w:val="single" w:sz="4" w:space="0" w:color="000000"/>
              <w:left w:val="single" w:sz="4" w:space="0" w:color="000000"/>
              <w:right w:val="single" w:sz="4" w:space="0" w:color="000000"/>
            </w:tcBorders>
            <w:tcMar>
              <w:top w:w="30" w:type="dxa"/>
              <w:left w:w="200" w:type="dxa"/>
              <w:bottom w:w="0" w:type="dxa"/>
              <w:right w:w="20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240,000</w:t>
            </w:r>
          </w:p>
        </w:tc>
      </w:tr>
      <w:tr>
        <w:trPr/>
        <w:tc>
          <w:tcPr>
            <w:tcW w:w="2202" w:type="dxa"/>
            <w:gridSpan w:val="3"/>
            <w:tcBorders>
              <w:top w:val="single" w:sz="4" w:space="0" w:color="000000"/>
              <w:left w:val="single" w:sz="4" w:space="0" w:color="000000"/>
              <w:bottom w:val="single" w:sz="4" w:space="0" w:color="000000"/>
            </w:tcBorders>
            <w:tcMar>
              <w:top w:w="30" w:type="dxa"/>
              <w:left w:w="200" w:type="dxa"/>
              <w:bottom w:w="3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Above Third</w:t>
            </w:r>
          </w:p>
        </w:tc>
        <w:tc>
          <w:tcPr>
            <w:tcW w:w="2567" w:type="dxa"/>
            <w:gridSpan w:val="3"/>
            <w:tcBorders>
              <w:top w:val="single" w:sz="4" w:space="0" w:color="000000"/>
              <w:left w:val="single" w:sz="4" w:space="0" w:color="000000"/>
              <w:bottom w:val="single" w:sz="4" w:space="0" w:color="000000"/>
            </w:tcBorders>
            <w:tcMar>
              <w:top w:w="30" w:type="dxa"/>
              <w:left w:w="200" w:type="dxa"/>
              <w:bottom w:w="3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80,000</w:t>
            </w:r>
          </w:p>
        </w:tc>
        <w:tc>
          <w:tcPr>
            <w:tcW w:w="2788" w:type="dxa"/>
            <w:gridSpan w:val="3"/>
            <w:tcBorders>
              <w:top w:val="single" w:sz="4" w:space="0" w:color="000000"/>
              <w:left w:val="single" w:sz="4" w:space="0" w:color="000000"/>
              <w:bottom w:val="single" w:sz="4" w:space="0" w:color="000000"/>
            </w:tcBorders>
            <w:tcMar>
              <w:top w:w="30" w:type="dxa"/>
              <w:left w:w="200" w:type="dxa"/>
              <w:bottom w:w="3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val="false"/>
                <w:color w:val="000000"/>
                <w:sz w:val="22"/>
              </w:rPr>
            </w:pPr>
            <w:r>
              <w:rPr>
                <w:rFonts w:ascii="Times New Roman;sans-serif" w:hAnsi="Times New Roman;sans-serif"/>
                <w:b w:val="false"/>
                <w:color w:val="000000"/>
                <w:sz w:val="22"/>
              </w:rPr>
              <w:t>160,000</w:t>
            </w:r>
          </w:p>
        </w:tc>
        <w:tc>
          <w:tcPr>
            <w:tcW w:w="2648" w:type="dxa"/>
            <w:gridSpan w:val="3"/>
            <w:tcBorders>
              <w:top w:val="single" w:sz="4" w:space="0" w:color="000000"/>
              <w:left w:val="single" w:sz="4" w:space="0" w:color="000000"/>
              <w:bottom w:val="single" w:sz="4" w:space="0" w:color="000000"/>
              <w:right w:val="single" w:sz="4" w:space="0" w:color="000000"/>
            </w:tcBorders>
            <w:tcMar>
              <w:top w:w="30" w:type="dxa"/>
              <w:left w:w="200" w:type="dxa"/>
              <w:bottom w:w="30" w:type="dxa"/>
              <w:right w:w="20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240,000</w:t>
            </w:r>
          </w:p>
        </w:tc>
      </w:tr>
    </w:tbl>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Provided that the Participant has not undergone a Termination, any Performance Stock Units that become earned Performance Stock Units in accordance with this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shall become vested on the last day of the applicable Performance Period, and shall settle in accordance with Section 3 of the Performance Stock Unit Agreement.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 Performance Stock Units which do not become vested based on actual performance during the applicable Performance Period shall be forfeited for no consideration therefor as of the Determination Date in respect of the Final Performance Period.</w:t>
      </w:r>
    </w:p>
    <w:p>
      <w:pPr>
        <w:pStyle w:val="TextBody"/>
        <w:bidi w:val="0"/>
        <w:spacing w:lineRule="auto" w:line="288" w:before="0" w:after="240"/>
        <w:jc w:val="both"/>
        <w:rPr/>
      </w:pPr>
      <w:r>
        <w:rPr>
          <w:rFonts w:ascii="Times New Roman;sans-serif" w:hAnsi="Times New Roman;sans-serif"/>
          <w:b w:val="false"/>
          <w:color w:val="000000"/>
          <w:sz w:val="22"/>
        </w:rPr>
        <w:t>4.    </w:t>
      </w:r>
      <w:r>
        <w:rPr>
          <w:rFonts w:ascii="Times New Roman;sans-serif" w:hAnsi="Times New Roman;sans-serif"/>
          <w:b w:val="false"/>
          <w:i/>
          <w:color w:val="000000"/>
          <w:sz w:val="22"/>
          <w:u w:val="single"/>
        </w:rPr>
        <w:t>Treatment of Performance Stock Units on a Change in Control</w:t>
      </w:r>
      <w:r>
        <w:rPr>
          <w:rFonts w:ascii="Times New Roman;sans-serif" w:hAnsi="Times New Roman;sans-serif"/>
          <w:b w:val="false"/>
          <w:color w:val="000000"/>
          <w:sz w:val="22"/>
        </w:rPr>
        <w:t xml:space="preserve">. Notwithstanding the foregoing or anything in this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 xml:space="preserve">to the contrary: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2"/>
        </w:rPr>
        <w:t>In the event of a Qualifying Change in Control prior to the Participant’s Termination:</w:t>
      </w:r>
    </w:p>
    <w:p>
      <w:pPr>
        <w:pStyle w:val="TextBody"/>
        <w:bidi w:val="0"/>
        <w:spacing w:lineRule="auto" w:line="288" w:before="0" w:after="240"/>
        <w:ind w:left="0" w:right="0" w:hanging="360"/>
        <w:jc w:val="both"/>
        <w:rPr/>
      </w:pPr>
      <w:r>
        <w:rPr>
          <w:rFonts w:ascii="Courier New;monospace" w:hAnsi="Courier New;monospace"/>
          <w:b w:val="false"/>
          <w:color w:val="000000"/>
          <w:sz w:val="22"/>
        </w:rPr>
        <w:t>o</w:t>
      </w:r>
      <w:r>
        <w:rPr>
          <w:rFonts w:ascii="Times New Roman;sans-serif" w:hAnsi="Times New Roman;sans-serif"/>
          <w:b w:val="false"/>
          <w:color w:val="000000"/>
          <w:sz w:val="22"/>
        </w:rPr>
        <w:t>In the event that the applicable Performance Period has been completed as of such Qualifying Change in Control but which the Determination Date has not yet occurred in respect of such completed Performance Period, then the Committee shall determine the “Cumulative Number of PSUs Earned” with respect to the applicable Performance Period based on the level of achievement specified above based on actual performance for the applicable Performance Period and vest as of the date of the Qualifying Change in Control; and</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Courier New;monospace" w:hAnsi="Courier New;monospace"/>
          <w:b w:val="false"/>
          <w:color w:val="000000"/>
          <w:sz w:val="22"/>
        </w:rPr>
        <w:t>o</w:t>
      </w:r>
      <w:r>
        <w:rPr>
          <w:rFonts w:ascii="Times New Roman;sans-serif" w:hAnsi="Times New Roman;sans-serif"/>
          <w:b w:val="false"/>
          <w:color w:val="000000"/>
          <w:sz w:val="22"/>
        </w:rPr>
        <w:t>The Committee shall determine, in its sole discretion, the achievement with respect to the Performance Condition and calculate the “Cumulative Number of PSUs Earned” as of the date of the Qualifying Change in Control (the “</w:t>
      </w:r>
      <w:r>
        <w:rPr>
          <w:rFonts w:ascii="Times New Roman;sans-serif" w:hAnsi="Times New Roman;sans-serif"/>
          <w:b w:val="false"/>
          <w:color w:val="000000"/>
          <w:sz w:val="22"/>
          <w:u w:val="single"/>
        </w:rPr>
        <w:t>CIC Determination Date</w:t>
      </w:r>
      <w:r>
        <w:rPr>
          <w:color w:val="000000"/>
        </w:rPr>
        <w:t>”</w:t>
      </w:r>
      <w:r>
        <w:rPr>
          <w:rFonts w:ascii="Times New Roman;sans-serif" w:hAnsi="Times New Roman;sans-serif"/>
          <w:b w:val="false"/>
          <w:color w:val="000000"/>
          <w:sz w:val="22"/>
        </w:rPr>
        <w:t xml:space="preserve">) based on the actual price paid per share of Common Stock in connection with such Qualifying Change in Control, as follows: </w:t>
      </w:r>
    </w:p>
    <w:p>
      <w:pPr>
        <w:pStyle w:val="TextBody"/>
        <w:bidi w:val="0"/>
        <w:spacing w:lineRule="auto" w:line="288" w:before="0" w:after="240"/>
        <w:ind w:left="0" w:right="0" w:hanging="360"/>
        <w:jc w:val="both"/>
        <w:rPr/>
      </w:pPr>
      <w:r>
        <w:rPr>
          <w:rFonts w:ascii="Times New Roman;sans-serif" w:hAnsi="Times New Roman;sans-serif"/>
          <w:b w:val="false"/>
          <w:color w:val="000000"/>
          <w:sz w:val="22"/>
        </w:rPr>
        <w:t>If the Qualifying Change in Control is consummated prior to the end of the Second Performance Period, the number of Performance Stock Units that shall vest will be determined based on the highest level of achievement with respect to the Performance Condition for the Second Performance Period calculated as of the last day of the Second Performance Period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calculating Stock Price CAGR considering n=2);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the number of Performance Stock Units that shall vest shall be based on the “Cumulative Number of PSUs Earned” in the table above for the abovementioned Level of Achievement with respect to the Performance Condition for the Final Performance Period; and</w:t>
      </w:r>
    </w:p>
    <w:p>
      <w:pPr>
        <w:pStyle w:val="TextBody"/>
        <w:bidi w:val="0"/>
        <w:spacing w:lineRule="auto" w:line="288" w:before="0" w:after="240"/>
        <w:ind w:left="0" w:right="0" w:hanging="360"/>
        <w:jc w:val="both"/>
        <w:rPr/>
      </w:pPr>
      <w:r>
        <w:rPr>
          <w:rFonts w:ascii="Times New Roman;sans-serif" w:hAnsi="Times New Roman;sans-serif"/>
          <w:b w:val="false"/>
          <w:color w:val="000000"/>
          <w:sz w:val="22"/>
        </w:rPr>
        <w:t>If the Qualifying Change in Control is consummated following the end of the Second Performance Period but prior to the end of the Final Performance Period, the number of Performance Stock Units that shall vest will be determined based on the highest level of achievement with respect to the Performance Condition for the Final Performance Period calculated as of the last day of the Final Performance Period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calculating Stock Price CAGR considering n=3).</w:t>
      </w:r>
    </w:p>
    <w:p>
      <w:pPr>
        <w:pStyle w:val="TextBody"/>
        <w:bidi w:val="0"/>
        <w:spacing w:lineRule="auto" w:line="288" w:before="0" w:after="240"/>
        <w:ind w:left="0" w:right="0" w:hanging="360"/>
        <w:jc w:val="both"/>
        <w:rPr/>
      </w:pPr>
      <w:r>
        <w:rPr>
          <w:rFonts w:ascii="Courier New;monospace" w:hAnsi="Courier New;monospace"/>
          <w:b w:val="false"/>
          <w:color w:val="000000"/>
          <w:sz w:val="22"/>
        </w:rPr>
        <w:t>o</w:t>
      </w:r>
      <w:r>
        <w:rPr>
          <w:rFonts w:ascii="Times New Roman;sans-serif" w:hAnsi="Times New Roman;sans-serif"/>
          <w:b w:val="false"/>
          <w:color w:val="000000"/>
          <w:sz w:val="22"/>
        </w:rPr>
        <w:t>Notwithstanding anything herein to the contrary, any Performance Stock Units that vest pursuant to this Section 4 shall not be settled until the earliest of (i) the first anniversary of the consummation of such Qualifying Change in Control, subject to the Participant’s continued employment with the Service Recipient through such date, (ii) the last day of the next Performance Period that would have ended following such Qualifying Change in Control, and (iii) the date of the Participant’s Termination by the Service Recipient without Cause, by the Participant for Good Reason or due to the Participant’s death or Disability (a “</w:t>
      </w:r>
      <w:r>
        <w:rPr>
          <w:rFonts w:ascii="Times New Roman;sans-serif" w:hAnsi="Times New Roman;sans-serif"/>
          <w:b w:val="false"/>
          <w:color w:val="000000"/>
          <w:sz w:val="22"/>
          <w:u w:val="single"/>
        </w:rPr>
        <w:t>Qualifying Termination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upon the Participant’s Termination (other than a Qualifying Termination) prior to the first anniversary of the consummation of such Qualifying Change in Control, at the election of the Board by written notice to the Participant within 15 days following such Termination, the Participant shall be required to forfeit to the Company, for no consideration therefor, any Performance Stock Units that are settled pursuant to clause (ii) above (or, as applicable, shall repay to the Company all proceeds received in respect of any such Performance Stock Units). For the avoidance of doubt, in the event of the Participant’s Termination (other than a Qualifying Termination) prior to the first anniversary of the consummation of such Qualifying Change in Control or, if earlier, the last day of the next Performance Period that would have ended following such Qualifying Change in Control, all such Performance Stock Units shall be forfeited for no consideration.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i/>
          <w:color w:val="000000"/>
          <w:sz w:val="22"/>
          <w:u w:val="single"/>
        </w:rPr>
        <w:t>Treatment of Performance Stock Units on the Participant’s Termination</w:t>
      </w:r>
      <w:r>
        <w:rPr>
          <w:rFonts w:ascii="Times New Roman;sans-serif" w:hAnsi="Times New Roman;sans-serif"/>
          <w:b w:val="false"/>
          <w:color w:val="000000"/>
          <w:sz w:val="22"/>
        </w:rPr>
        <w:t xml:space="preserve">. Upon the Participant’s Termination for any reason, any Performance Stock Units which have not become vested based on actual performance during the applicable Performance Period shall be forfeited for no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consideration therefor as of the date of such Termination;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that, in the event of a Qualifying Termination following a Change in Control:</w:t>
      </w:r>
    </w:p>
    <w:p>
      <w:pPr>
        <w:pStyle w:val="TextBody"/>
        <w:bidi w:val="0"/>
        <w:spacing w:lineRule="auto" w:line="288" w:before="0" w:after="240"/>
        <w:ind w:left="0" w:right="0" w:hanging="360"/>
        <w:jc w:val="both"/>
        <w:rPr/>
      </w:pPr>
      <w:r>
        <w:rPr>
          <w:rFonts w:ascii="Courier New;monospace" w:hAnsi="Courier New;monospace"/>
          <w:b w:val="false"/>
          <w:color w:val="000000"/>
          <w:sz w:val="22"/>
        </w:rPr>
        <w:t>o</w:t>
      </w:r>
      <w:r>
        <w:rPr>
          <w:rFonts w:ascii="Times New Roman;sans-serif" w:hAnsi="Times New Roman;sans-serif"/>
          <w:b w:val="false"/>
          <w:color w:val="000000"/>
          <w:sz w:val="22"/>
        </w:rPr>
        <w:t xml:space="preserve">The Committee shall determine, in its sole discretion, the achievement with respect to the Performance Condition and calculate the “Cumulative Number of PSUs Earned” as of the date of the Change in Control based on the actual price paid per share of Common Stock in connection with such Change in Control, as follows: </w:t>
      </w:r>
    </w:p>
    <w:p>
      <w:pPr>
        <w:pStyle w:val="TextBody"/>
        <w:bidi w:val="0"/>
        <w:spacing w:lineRule="auto" w:line="288" w:before="0" w:after="240"/>
        <w:ind w:left="0" w:right="0" w:hanging="360"/>
        <w:jc w:val="both"/>
        <w:rPr/>
      </w:pPr>
      <w:r>
        <w:rPr>
          <w:rFonts w:ascii="Times New Roman;sans-serif" w:hAnsi="Times New Roman;sans-serif"/>
          <w:b w:val="false"/>
          <w:color w:val="000000"/>
          <w:sz w:val="22"/>
        </w:rPr>
        <w:t>If the Change in Control was consummated prior to the end of the Second Performance Period, the number of Performance Stock Units that shall vest will be determined based on the highest level of achievement with respect to the Performance Condition for the Second Performance Period calculated as of the last day of the Second Performance Period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calculating Stock Price CAGR considering n=2);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the number of Performance Stock Units that shall vest shall be based on the “Cumulative Number of PSUs Earned” in the table above for the abovementioned Level of Achievement for the Final Performance Period; and</w:t>
      </w:r>
    </w:p>
    <w:p>
      <w:pPr>
        <w:pStyle w:val="TextBody"/>
        <w:bidi w:val="0"/>
        <w:spacing w:lineRule="auto" w:line="288" w:before="0" w:after="240"/>
        <w:ind w:left="0" w:right="0" w:hanging="360"/>
        <w:jc w:val="both"/>
        <w:rPr/>
      </w:pPr>
      <w:r>
        <w:rPr>
          <w:rFonts w:ascii="Times New Roman;sans-serif" w:hAnsi="Times New Roman;sans-serif"/>
          <w:b w:val="false"/>
          <w:color w:val="000000"/>
          <w:sz w:val="22"/>
        </w:rPr>
        <w:t>If the Change in Control was consummated following the end of the Second Performance Period but prior to the end of the Final Performance Period, the number of Performance Stock Units that shall vest will be determined based on the highest level of achievement with respect to the Performance Condition for the Final Performance Period calculated as of the last day of the Final Performance Period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calculating Stock Price CAGR considering n=3).</w:t>
      </w:r>
    </w:p>
    <w:p>
      <w:pPr>
        <w:pStyle w:val="TextBody"/>
        <w:bidi w:val="0"/>
        <w:spacing w:lineRule="auto" w:line="288" w:before="0" w:after="240"/>
        <w:ind w:left="0" w:right="0" w:hanging="360"/>
        <w:jc w:val="both"/>
        <w:rPr/>
      </w:pPr>
      <w:r>
        <w:rPr>
          <w:rFonts w:ascii="Courier New;monospace" w:hAnsi="Courier New;monospace"/>
          <w:b w:val="false"/>
          <w:color w:val="000000"/>
          <w:sz w:val="22"/>
        </w:rPr>
        <w:t>o</w:t>
      </w:r>
      <w:r>
        <w:rPr>
          <w:rFonts w:ascii="Times New Roman;sans-serif" w:hAnsi="Times New Roman;sans-serif"/>
          <w:b w:val="false"/>
          <w:color w:val="000000"/>
          <w:sz w:val="22"/>
        </w:rPr>
        <w:t>Any Performance Stock Units that vest pursuant to this Section 5 shall be settled as soon as reasonably practicable following such Qualifying Termination in accordance with Section 3 of the Performance Stock Unit Agreement.</w:t>
      </w:r>
    </w:p>
    <w:p>
      <w:pPr>
        <w:pStyle w:val="TextBody"/>
        <w:bidi w:val="0"/>
        <w:spacing w:lineRule="auto" w:line="288" w:before="0" w:after="240"/>
        <w:jc w:val="both"/>
        <w:rPr/>
      </w:pPr>
      <w:r>
        <w:rPr>
          <w:rFonts w:ascii="Times New Roman;sans-serif" w:hAnsi="Times New Roman;sans-serif"/>
          <w:b w:val="false"/>
          <w:color w:val="000000"/>
          <w:sz w:val="22"/>
        </w:rPr>
        <w:t>6.    </w:t>
      </w:r>
      <w:r>
        <w:rPr>
          <w:rFonts w:ascii="Times New Roman;sans-serif" w:hAnsi="Times New Roman;sans-serif"/>
          <w:b w:val="false"/>
          <w:i/>
          <w:color w:val="000000"/>
          <w:sz w:val="22"/>
          <w:u w:val="single"/>
        </w:rPr>
        <w:t>Defined Terms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Beginning Stock Price</w:t>
      </w:r>
      <w:r>
        <w:rPr>
          <w:color w:val="000000"/>
        </w:rPr>
        <w:t xml:space="preserve">” </w:t>
      </w:r>
      <w:r>
        <w:rPr>
          <w:rFonts w:ascii="Times New Roman;sans-serif" w:hAnsi="Times New Roman;sans-serif"/>
          <w:b w:val="false"/>
          <w:color w:val="000000"/>
          <w:sz w:val="22"/>
        </w:rPr>
        <w:t>shall mean $13.18.</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Ending Stock Price</w:t>
      </w:r>
      <w:r>
        <w:rPr>
          <w:color w:val="000000"/>
        </w:rPr>
        <w:t xml:space="preserve">” </w:t>
      </w:r>
      <w:r>
        <w:rPr>
          <w:rFonts w:ascii="Times New Roman;sans-serif" w:hAnsi="Times New Roman;sans-serif"/>
          <w:b w:val="false"/>
          <w:color w:val="000000"/>
          <w:sz w:val="22"/>
        </w:rPr>
        <w:t>shall mean the 30-day volume-weighted average price for one share of Class A Common Stock ending on and including the last day of the applicable Performance Period (or, if applicable, the actual price paid per share of Common Stock in connection with a Change in Control).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Good Reason</w:t>
      </w:r>
      <w:r>
        <w:rPr>
          <w:color w:val="000000"/>
        </w:rPr>
        <w:t xml:space="preserve">” </w:t>
      </w:r>
      <w:r>
        <w:rPr>
          <w:rFonts w:ascii="Times New Roman;sans-serif" w:hAnsi="Times New Roman;sans-serif"/>
          <w:b w:val="false"/>
          <w:color w:val="000000"/>
          <w:sz w:val="22"/>
        </w:rPr>
        <w:t xml:space="preserve">shall be deemed to exist upon the occurrence of (i) a material reduction in the Participant’s total target cash compensation or (ii) a material diminution in the Participant’s position, function, responsibility, or reporting level, in each case, without the Participant’s prior written consent;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none of the foregoing events shall constitute Good Reason unless the Company fails to cure such event within 30 days after receipt from the Participant of written notice of the event which constitutes Good Reason;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further</w:t>
      </w:r>
      <w:r>
        <w:rPr>
          <w:rFonts w:ascii="Times New Roman;sans-serif" w:hAnsi="Times New Roman;sans-serif"/>
          <w:b w:val="false"/>
          <w:color w:val="000000"/>
          <w:sz w:val="22"/>
        </w:rPr>
        <w:t>, that “Good Reason” shall cease to exist for an event on the 60th day following the later of its occurrence or the Participant’s knowledge thereof, unless the Participant has given the Company written notice thereof prior to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Qualifying Change in Control</w:t>
      </w:r>
      <w:r>
        <w:rPr>
          <w:color w:val="000000"/>
        </w:rPr>
        <w:t xml:space="preserve">” </w:t>
      </w:r>
      <w:r>
        <w:rPr>
          <w:rFonts w:ascii="Times New Roman;sans-serif" w:hAnsi="Times New Roman;sans-serif"/>
          <w:b w:val="false"/>
          <w:color w:val="000000"/>
          <w:sz w:val="22"/>
        </w:rPr>
        <w:t>shall mean a Change in Control following which the Common Stock is no longer listed for trading on NASDAQ or another U.S. national securities trading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Stock Price CAGR</w:t>
      </w:r>
      <w:r>
        <w:rPr>
          <w:color w:val="000000"/>
        </w:rPr>
        <w:t xml:space="preserve">” </w:t>
      </w:r>
      <w:r>
        <w:rPr>
          <w:rFonts w:ascii="Times New Roman;sans-serif" w:hAnsi="Times New Roman;sans-serif"/>
          <w:b w:val="false"/>
          <w:color w:val="000000"/>
          <w:sz w:val="22"/>
        </w:rPr>
        <w:t>shall mean compounded annual growth rate with respect to one share of Class A Common Stock, which shall be expressed as a percentage (rounded to the nearest tenth of a percent) and calculated for the applicable Performance Period using the following formula:</w:t>
      </w:r>
    </w:p>
    <w:p>
      <w:pPr>
        <w:pStyle w:val="TextBody"/>
        <w:bidi w:val="0"/>
        <w:spacing w:before="0" w:after="240"/>
        <w:jc w:val="center"/>
        <w:rPr/>
      </w:pPr>
      <w:r>
        <w:rPr/>
        <w:drawing>
          <wp:inline distT="0" distB="0" distL="0" distR="0">
            <wp:extent cx="3629025" cy="438150"/>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5"/>
                    <a:stretch>
                      <a:fillRect/>
                    </a:stretch>
                  </pic:blipFill>
                  <pic:spPr bwMode="auto">
                    <a:xfrm>
                      <a:off x="0" y="0"/>
                      <a:ext cx="3629025" cy="438150"/>
                    </a:xfrm>
                    <a:prstGeom prst="rect">
                      <a:avLst/>
                    </a:prstGeom>
                  </pic:spPr>
                </pic:pic>
              </a:graphicData>
            </a:graphic>
          </wp:inline>
        </w:drawing>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Where “n” equals the period of time (in years) elapsed from the Date of Grant to the last day of the applicable Performance Period.</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Bryce Maddock,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June 30, 2024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723"/>
        <w:gridCol w:w="723"/>
        <w:gridCol w:w="10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Balaji Sekar,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June 30, 2024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59" w:type="dxa"/>
        <w:jc w:val="right"/>
        <w:tblInd w:w="0" w:type="dxa"/>
        <w:tblLayout w:type="fixed"/>
        <w:tblCellMar>
          <w:top w:w="28" w:type="dxa"/>
          <w:left w:w="28" w:type="dxa"/>
          <w:bottom w:w="28" w:type="dxa"/>
          <w:right w:w="28" w:type="dxa"/>
        </w:tblCellMar>
      </w:tblPr>
      <w:tblGrid>
        <w:gridCol w:w="667"/>
        <w:gridCol w:w="587"/>
        <w:gridCol w:w="590"/>
        <w:gridCol w:w="707"/>
        <w:gridCol w:w="707"/>
        <w:gridCol w:w="10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June 30, 2024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June 30, 2024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Balaji Sekar,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13(r) Disclosure</w:t>
      </w:r>
    </w:p>
    <w:p>
      <w:pPr>
        <w:pStyle w:val="TextBody"/>
        <w:bidi w:val="0"/>
        <w:spacing w:before="0" w:after="0"/>
        <w:ind w:left="0" w:right="0" w:firstLine="49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The disclosure reproduced below was initially included in the Quarterly Report on Form 10-Q filed with the Securities and Exchange Commission by Blackstone Inc. (“Blackstone”) with respect to its fiscal quarter ended June 30, 2024, in accordance with Section 13(r) of the Securities Exchange Act of 1934, as amended, in regard to Mundys S.p.A. (formerly, Atlantia S.PA.).</w:t>
      </w:r>
      <w:r>
        <w:rPr>
          <w:color w:val="000000"/>
        </w:rPr>
        <w:t xml:space="preserve"> </w:t>
      </w:r>
      <w:r>
        <w:rPr>
          <w:rFonts w:ascii="Times New Roman;sans-serif" w:hAnsi="Times New Roman;sans-serif"/>
          <w:b w:val="false"/>
          <w:i/>
          <w:color w:val="000000"/>
          <w:sz w:val="20"/>
        </w:rPr>
        <w:t>Mundys S.p.A. may be, or may have been at the time considered to be, an affiliate of Blackstone, and therefore an affiliate of TaskUs, Inc. (“TaskUs”).</w:t>
      </w:r>
      <w:r>
        <w:rPr>
          <w:color w:val="000000"/>
        </w:rPr>
        <w:t xml:space="preserve"> </w:t>
      </w:r>
      <w:r>
        <w:rPr>
          <w:rFonts w:ascii="Times New Roman;sans-serif" w:hAnsi="Times New Roman;sans-serif"/>
          <w:b w:val="false"/>
          <w:i/>
          <w:color w:val="000000"/>
          <w:sz w:val="20"/>
        </w:rPr>
        <w:t>TaskUs did not independently verify or participate in the preparation of the disclosure reproduced below.</w:t>
      </w:r>
    </w:p>
    <w:p>
      <w:pPr>
        <w:pStyle w:val="TextBody"/>
        <w:bidi w:val="0"/>
        <w:spacing w:lineRule="auto" w:line="26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Blackstone included the following disclosure in its Quarterly Report on Form 10-Q for the quarter ended June 30, 2024:</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Mundys S.p.A. (formerly “Atlantia S.p.A.”) provided the disclosure reproduced below in connection with activities during the quarter ended June 30, 2024. We have not independently verified or participated in the preparation of this disclosure.</w:t>
      </w:r>
    </w:p>
    <w:p>
      <w:pPr>
        <w:pStyle w:val="TextBody"/>
        <w:bidi w:val="0"/>
        <w:spacing w:lineRule="auto" w:line="268" w:before="120" w:after="283"/>
        <w:ind w:left="0" w:right="0" w:firstLine="540"/>
        <w:jc w:val="both"/>
        <w:rPr>
          <w:color w:val="000000"/>
        </w:rPr>
      </w:pPr>
      <w:r>
        <w:rPr>
          <w:color w:val="000000"/>
        </w:rPr>
        <w:t>“</w:t>
      </w:r>
      <w:r>
        <w:rPr>
          <w:rFonts w:ascii="Times New Roman;sans-serif" w:hAnsi="Times New Roman;sans-serif"/>
          <w:b w:val="false"/>
          <w:color w:val="000000"/>
          <w:sz w:val="20"/>
        </w:rPr>
        <w:t>Disclosure pursuant to Section 13(r) of the Securities Exchange Act of 1934. Funds affiliated with Blackstone first invested in Mundys S.p.A. on November 18, 2022 in connection with the voluntary public tender offer by Schema Alfa S.p.A. for all of the shares of Mundys S.p.A., pursuant to which such funds obtained a minority non-controlling interest in Mundys S.p.A. Mundys S.p.A. owns and controls Aeroporti di Roma S.p.A. (“ADR”), an operator of airports in Italy including Leonardo da Vinci-Fiumicino Airport. Iran Air has historically operated periodic flights to and from Leonardo da Vinci-Fiumicino Airport as authorized, from time to time, by an aviation-related bilateral agreement between Italy and Iran, scheduled in compliance with European Regulation 95/93, and approved by the Italian Civil Aviation Authority. ADR, as airport operator, is under a mandatory obligation to provide airport services to all air carriers (including Iran Air) authorized by the applicable Italian authority. The relevant turnover attributable to these activities (whose consideration is calculated on the basis of general tariffs determined by such independent Italian authority) in the quarter ended June 30, 2024 was less than €50,000. Mundys S.p.A. does not track profits specifically attributable to these activities.”</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4000011/exhibit322023.htm" TargetMode="External"/><Relationship Id="rId4" Type="http://schemas.openxmlformats.org/officeDocument/2006/relationships/hyperlink" Target="https://www.sec.gov/Archives/edgar/data/1829864/000182986423000026/exhibit31thirdamendedandre.htm" TargetMode="Externa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22937</Words>
  <Characters>126690</Characters>
  <CharactersWithSpaces>147949</CharactersWithSpaces>
  <Paragraphs>3044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