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18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TaskUs,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5"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700" w:type="dxa"/>
            <w:vAlign w:val="bottom"/>
          </w:tcPr>
          <w:p>
            <w:pPr>
              <w:spacing w:after="0"/>
              <w:rPr>
                <w:sz w:val="20"/>
                <w:szCs w:val="20"/>
                <w:color w:val="auto"/>
              </w:rPr>
            </w:pPr>
          </w:p>
        </w:tc>
      </w:tr>
      <w:tr>
        <w:trPr>
          <w:trHeight w:val="432"/>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001-40482</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83-1586636</w:t>
            </w:r>
          </w:p>
        </w:tc>
      </w:tr>
      <w:tr>
        <w:trPr>
          <w:trHeight w:val="178"/>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1650 Independence Drive, Suite 100</w:t>
            </w:r>
          </w:p>
        </w:tc>
        <w:tc>
          <w:tcPr>
            <w:tcW w:w="170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New Braunfels, Texas 78132</w:t>
            </w:r>
          </w:p>
        </w:tc>
        <w:tc>
          <w:tcPr>
            <w:tcW w:w="1700" w:type="dxa"/>
            <w:vAlign w:val="bottom"/>
          </w:tcPr>
          <w:p>
            <w:pPr>
              <w:spacing w:after="0"/>
              <w:rPr>
                <w:sz w:val="18"/>
                <w:szCs w:val="18"/>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6"/>
                <w:szCs w:val="16"/>
                <w:color w:val="auto"/>
              </w:rPr>
            </w:pPr>
          </w:p>
        </w:tc>
      </w:tr>
      <w:tr>
        <w:trPr>
          <w:trHeight w:val="390"/>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(888) 400-8275</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77"/>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82"/>
        </w:trPr>
        <w:tc>
          <w:tcPr>
            <w:tcW w:w="2140" w:type="dxa"/>
            <w:vAlign w:val="bottom"/>
          </w:tcPr>
          <w:p>
            <w:pPr>
              <w:spacing w:after="0"/>
              <w:rPr>
                <w:sz w:val="15"/>
                <w:szCs w:val="15"/>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5"/>
                <w:szCs w:val="15"/>
                <w:color w:val="auto"/>
              </w:rPr>
            </w:pPr>
          </w:p>
        </w:tc>
      </w:tr>
      <w:tr>
        <w:trPr>
          <w:trHeight w:val="234"/>
        </w:trPr>
        <w:tc>
          <w:tcPr>
            <w:tcW w:w="2140" w:type="dxa"/>
            <w:vAlign w:val="bottom"/>
          </w:tcPr>
          <w:p>
            <w:pPr>
              <w:spacing w:after="0"/>
              <w:rPr>
                <w:sz w:val="20"/>
                <w:szCs w:val="20"/>
                <w:color w:val="auto"/>
              </w:rPr>
            </w:pPr>
          </w:p>
        </w:tc>
        <w:tc>
          <w:tcPr>
            <w:tcW w:w="506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700" w:type="dxa"/>
            <w:vAlign w:val="bottom"/>
          </w:tcPr>
          <w:p>
            <w:pPr>
              <w:spacing w:after="0"/>
              <w:rPr>
                <w:sz w:val="20"/>
                <w:szCs w:val="20"/>
                <w:color w:val="auto"/>
              </w:rPr>
            </w:pPr>
          </w:p>
        </w:tc>
      </w:tr>
    </w:tbl>
    <w:p>
      <w:pPr>
        <w:spacing w:after="0" w:line="387" w:lineRule="exact"/>
        <w:rPr>
          <w:sz w:val="24"/>
          <w:szCs w:val="24"/>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69"/>
        </w:trPr>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100" w:type="dxa"/>
            <w:vAlign w:val="bottom"/>
          </w:tcPr>
          <w:p>
            <w:pPr>
              <w:spacing w:after="0"/>
              <w:rPr>
                <w:sz w:val="14"/>
                <w:szCs w:val="14"/>
                <w:color w:val="auto"/>
              </w:rPr>
            </w:pPr>
          </w:p>
        </w:tc>
        <w:tc>
          <w:tcPr>
            <w:tcW w:w="3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TASK</w:t>
            </w:r>
          </w:p>
        </w:tc>
        <w:tc>
          <w:tcPr>
            <w:tcW w:w="80" w:type="dxa"/>
            <w:vAlign w:val="bottom"/>
          </w:tcPr>
          <w:p>
            <w:pPr>
              <w:spacing w:after="0"/>
              <w:rPr>
                <w:sz w:val="14"/>
                <w:szCs w:val="14"/>
                <w:color w:val="auto"/>
              </w:rPr>
            </w:pPr>
          </w:p>
        </w:tc>
        <w:tc>
          <w:tcPr>
            <w:tcW w:w="3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5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May 21, 2026, the Company held its 2026 Annual Meeting of Stockholders (the “Annual Meeting”) for the purposes of (i) electing the Class II directors named in the definitive proxy statement for the Annual Meeting filed with the Securities and Exchange Commission on April 10, 2026 (the “Proxy Statement”); and (ii) ratifying the appointment of KPMG LLP as the Company’s independent registered public accounting firm for the fiscal year ending December 31, 2026. As of the record date of March 27, 2026, there were 36,514,165 shares of the Company’s Class A common stock, par value $0.01 per share (“Class A Common Stock”), and 55,032,694 shares of the Company’s Class B common stock, par value $0.01 per share (“Class B Common Stock”), outstanding. Stockholders were entitled to one vote per share of Class A Common Stock held and ten votes per share of Class B Common Stock held on the matters presented at the Annual Meeting. The Class A Common Stock and Class B Common Stock voted as a single class on all matters presented at the Annual Meeting. Of the total 586,841,105 votes eligible to be cast at the Annual Meeting, shares entitled to cast 580,354,438 votes or 98.89% of the Company’s voting power were represented. The final results of the stockholder vote are set forth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Election of Directors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each of the Class II nominees for director named in the Proxy Statement, each to serve for a three-year term and until his or her successor has been duly elected and qualified, or until his or her earlier death, resignation, removal, retirement or disqualification. The following three Class II directors were elected by the votes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8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37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Jaspar Weir</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574,749,347</w:t>
            </w:r>
          </w:p>
        </w:tc>
        <w:tc>
          <w:tcPr>
            <w:tcW w:w="5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942,204</w:t>
            </w:r>
          </w:p>
        </w:tc>
        <w:tc>
          <w:tcPr>
            <w:tcW w:w="5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4,662,887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Gonzalez</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575,621,993</w:t>
            </w:r>
          </w:p>
        </w:tc>
        <w:tc>
          <w:tcPr>
            <w:tcW w:w="5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69,558</w:t>
            </w:r>
          </w:p>
        </w:tc>
        <w:tc>
          <w:tcPr>
            <w:tcW w:w="5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4,662,887</w:t>
            </w:r>
          </w:p>
        </w:tc>
        <w:tc>
          <w:tcPr>
            <w:tcW w:w="200" w:type="dxa"/>
            <w:vAlign w:val="bottom"/>
          </w:tcPr>
          <w:p>
            <w:pPr>
              <w:spacing w:after="0"/>
              <w:rPr>
                <w:sz w:val="20"/>
                <w:szCs w:val="20"/>
                <w:color w:val="auto"/>
              </w:rPr>
            </w:pPr>
          </w:p>
        </w:tc>
      </w:tr>
      <w:tr>
        <w:trPr>
          <w:trHeight w:val="22"/>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Amit Dalmia</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574,737,643</w:t>
            </w:r>
          </w:p>
        </w:tc>
        <w:tc>
          <w:tcPr>
            <w:tcW w:w="54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953,908</w:t>
            </w:r>
          </w:p>
        </w:tc>
        <w:tc>
          <w:tcPr>
            <w:tcW w:w="54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4,662,887</w:t>
            </w:r>
          </w:p>
        </w:tc>
        <w:tc>
          <w:tcPr>
            <w:tcW w:w="200" w:type="dxa"/>
            <w:vAlign w:val="bottom"/>
            <w:shd w:val="clear" w:color="auto" w:fill="CCEEFF"/>
          </w:tcPr>
          <w:p>
            <w:pPr>
              <w:spacing w:after="0"/>
              <w:rPr>
                <w:sz w:val="20"/>
                <w:szCs w:val="20"/>
                <w:color w:val="auto"/>
              </w:rPr>
            </w:pPr>
          </w:p>
        </w:tc>
      </w:tr>
      <w:tr>
        <w:trPr>
          <w:trHeight w:val="22"/>
        </w:trPr>
        <w:tc>
          <w:tcPr>
            <w:tcW w:w="37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Ratification of Appointment of Independent Registered Public Accounting Firm</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2026. The appointment was ratified by the votes indicated.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For</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0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08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8"/>
        </w:trPr>
        <w:tc>
          <w:tcPr>
            <w:tcW w:w="20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580,193,071</w:t>
            </w:r>
          </w:p>
        </w:tc>
        <w:tc>
          <w:tcPr>
            <w:tcW w:w="94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143,134</w:t>
            </w:r>
          </w:p>
        </w:tc>
        <w:tc>
          <w:tcPr>
            <w:tcW w:w="960" w:type="dxa"/>
            <w:vAlign w:val="bottom"/>
            <w:shd w:val="clear" w:color="auto" w:fill="CCEEFF"/>
          </w:tcPr>
          <w:p>
            <w:pPr>
              <w:spacing w:after="0"/>
              <w:rPr>
                <w:sz w:val="19"/>
                <w:szCs w:val="19"/>
                <w:color w:val="auto"/>
              </w:rPr>
            </w:pPr>
          </w:p>
        </w:tc>
        <w:tc>
          <w:tcPr>
            <w:tcW w:w="2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18,233</w:t>
            </w:r>
          </w:p>
        </w:tc>
        <w:tc>
          <w:tcPr>
            <w:tcW w:w="96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20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60" w:type="dxa"/>
            <w:vAlign w:val="bottom"/>
          </w:tcPr>
          <w:p>
            <w:pPr>
              <w:ind w:left="4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046"/>
        </w:trPr>
        <w:tc>
          <w:tcPr>
            <w:tcW w:w="1080" w:type="dxa"/>
            <w:vAlign w:val="bottom"/>
            <w:tcBorders>
              <w:bottom w:val="single" w:sz="8" w:color="9A9A9A"/>
            </w:tcBorders>
          </w:tcPr>
          <w:p>
            <w:pPr>
              <w:spacing w:after="0"/>
              <w:rPr>
                <w:sz w:val="24"/>
                <w:szCs w:val="24"/>
                <w:color w:val="auto"/>
              </w:rPr>
            </w:pPr>
          </w:p>
        </w:tc>
        <w:tc>
          <w:tcPr>
            <w:tcW w:w="10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TASKUS, INC.</w:t>
      </w:r>
    </w:p>
    <w:p>
      <w:pPr>
        <w:spacing w:after="0" w:line="279"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By:</w:t>
        <w:tab/>
        <w:t>/s/ Claudia F.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3025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Claudia F. Walsh</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Title: General Counsel and Corporate Secretary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26, 2026</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2026-05-26T16:24:22Z</dcterms:created>
  <dcterms:modified xsi:type="dcterms:W3CDTF">2026-05-26T16:24:22Z</dcterms:modified>
</cp:coreProperties>
</file>