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558800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583565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90"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1"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41" w:lineRule="exact"/>
        <w:rPr>
          <w:sz w:val="24"/>
          <w:szCs w:val="24"/>
          <w:color w:val="auto"/>
        </w:rPr>
      </w:pPr>
    </w:p>
    <w:p>
      <w:pPr>
        <w:ind w:left="480" w:hanging="460"/>
        <w:spacing w:after="0"/>
        <w:tabs>
          <w:tab w:leader="none" w:pos="48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47" w:lineRule="exact"/>
        <w:rPr>
          <w:sz w:val="24"/>
          <w:szCs w:val="24"/>
          <w:color w:val="auto"/>
        </w:rPr>
      </w:pPr>
    </w:p>
    <w:p>
      <w:pPr>
        <w:ind w:left="480" w:hanging="46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20" w:lineRule="exact"/>
        <w:rPr>
          <w:sz w:val="24"/>
          <w:szCs w:val="24"/>
          <w:color w:val="auto"/>
        </w:rPr>
      </w:pPr>
    </w:p>
    <w:p>
      <w:pPr>
        <w:ind w:left="3280"/>
        <w:spacing w:after="0"/>
        <w:rPr>
          <w:sz w:val="20"/>
          <w:szCs w:val="20"/>
          <w:color w:val="auto"/>
        </w:rPr>
      </w:pPr>
      <w:r>
        <w:rPr>
          <w:rFonts w:ascii="Arial" w:cs="Arial" w:eastAsia="Arial" w:hAnsi="Arial"/>
          <w:sz w:val="17"/>
          <w:szCs w:val="17"/>
          <w:b w:val="1"/>
          <w:bCs w:val="1"/>
          <w:color w:val="auto"/>
        </w:rPr>
        <w:t>For the transition period from_____________to______________</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001-40482</w:t>
      </w:r>
    </w:p>
    <w:p>
      <w:pPr>
        <w:spacing w:after="0" w:line="118"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TaskUs, Inc.</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244" w:lineRule="exact"/>
        <w:rPr>
          <w:sz w:val="24"/>
          <w:szCs w:val="24"/>
          <w:color w:val="auto"/>
        </w:rPr>
      </w:pPr>
    </w:p>
    <w:tbl>
      <w:tblPr>
        <w:tblLayout w:type="fixed"/>
        <w:tblInd w:w="1040" w:type="dxa"/>
        <w:tblCellMar>
          <w:top w:w="0" w:type="dxa"/>
          <w:left w:w="0" w:type="dxa"/>
          <w:bottom w:w="0" w:type="dxa"/>
          <w:right w:w="0" w:type="dxa"/>
        </w:tblCellMar>
      </w:tblPr>
      <w:tr>
        <w:trPr>
          <w:trHeight w:val="215"/>
        </w:trPr>
        <w:tc>
          <w:tcPr>
            <w:tcW w:w="6240" w:type="dxa"/>
            <w:vAlign w:val="bottom"/>
          </w:tcPr>
          <w:p>
            <w:pPr>
              <w:jc w:val="center"/>
              <w:ind w:right="2621"/>
              <w:spacing w:after="0"/>
              <w:rPr>
                <w:sz w:val="20"/>
                <w:szCs w:val="20"/>
                <w:color w:val="auto"/>
              </w:rPr>
            </w:pPr>
            <w:r>
              <w:rPr>
                <w:rFonts w:ascii="Arial" w:cs="Arial" w:eastAsia="Arial" w:hAnsi="Arial"/>
                <w:sz w:val="17"/>
                <w:szCs w:val="17"/>
                <w:b w:val="1"/>
                <w:bCs w:val="1"/>
                <w:color w:val="auto"/>
                <w:w w:val="93"/>
              </w:rPr>
              <w:t>Delaware</w:t>
            </w:r>
          </w:p>
        </w:tc>
        <w:tc>
          <w:tcPr>
            <w:tcW w:w="2200" w:type="dxa"/>
            <w:vAlign w:val="bottom"/>
          </w:tcPr>
          <w:p>
            <w:pPr>
              <w:jc w:val="right"/>
              <w:ind w:right="563"/>
              <w:spacing w:after="0"/>
              <w:rPr>
                <w:sz w:val="20"/>
                <w:szCs w:val="20"/>
                <w:color w:val="auto"/>
              </w:rPr>
            </w:pPr>
            <w:r>
              <w:rPr>
                <w:rFonts w:ascii="Arial" w:cs="Arial" w:eastAsia="Arial" w:hAnsi="Arial"/>
                <w:sz w:val="17"/>
                <w:szCs w:val="17"/>
                <w:b w:val="1"/>
                <w:bCs w:val="1"/>
                <w:color w:val="auto"/>
              </w:rPr>
              <w:t>83-1586636</w:t>
            </w:r>
          </w:p>
        </w:tc>
      </w:tr>
      <w:tr>
        <w:trPr>
          <w:trHeight w:val="178"/>
        </w:trPr>
        <w:tc>
          <w:tcPr>
            <w:tcW w:w="6240" w:type="dxa"/>
            <w:vAlign w:val="bottom"/>
          </w:tcPr>
          <w:p>
            <w:pPr>
              <w:jc w:val="center"/>
              <w:ind w:right="2621"/>
              <w:spacing w:after="0"/>
              <w:rPr>
                <w:sz w:val="20"/>
                <w:szCs w:val="20"/>
                <w:color w:val="auto"/>
              </w:rPr>
            </w:pPr>
            <w:r>
              <w:rPr>
                <w:rFonts w:ascii="Arial" w:cs="Arial" w:eastAsia="Arial" w:hAnsi="Arial"/>
                <w:sz w:val="14"/>
                <w:szCs w:val="14"/>
                <w:b w:val="1"/>
                <w:bCs w:val="1"/>
                <w:color w:val="auto"/>
                <w:w w:val="89"/>
              </w:rPr>
              <w:t>(State or other jurisdiction of incorporation or organization)</w:t>
            </w:r>
          </w:p>
        </w:tc>
        <w:tc>
          <w:tcPr>
            <w:tcW w:w="2200" w:type="dxa"/>
            <w:vAlign w:val="bottom"/>
          </w:tcPr>
          <w:p>
            <w:pPr>
              <w:jc w:val="center"/>
              <w:ind w:left="23"/>
              <w:spacing w:after="0"/>
              <w:rPr>
                <w:sz w:val="20"/>
                <w:szCs w:val="20"/>
                <w:color w:val="auto"/>
              </w:rPr>
            </w:pPr>
            <w:r>
              <w:rPr>
                <w:rFonts w:ascii="Arial" w:cs="Arial" w:eastAsia="Arial" w:hAnsi="Arial"/>
                <w:sz w:val="14"/>
                <w:szCs w:val="14"/>
                <w:b w:val="1"/>
                <w:bCs w:val="1"/>
                <w:color w:val="auto"/>
                <w:w w:val="91"/>
              </w:rPr>
              <w:t>(I.R.S. Employer Identification No.)</w:t>
            </w:r>
          </w:p>
        </w:tc>
      </w:tr>
      <w:tr>
        <w:trPr>
          <w:trHeight w:val="282"/>
        </w:trPr>
        <w:tc>
          <w:tcPr>
            <w:tcW w:w="6240" w:type="dxa"/>
            <w:vAlign w:val="bottom"/>
          </w:tcPr>
          <w:p>
            <w:pPr>
              <w:jc w:val="center"/>
              <w:ind w:right="2621"/>
              <w:spacing w:after="0"/>
              <w:rPr>
                <w:sz w:val="20"/>
                <w:szCs w:val="20"/>
                <w:color w:val="auto"/>
              </w:rPr>
            </w:pPr>
            <w:r>
              <w:rPr>
                <w:rFonts w:ascii="Arial" w:cs="Arial" w:eastAsia="Arial" w:hAnsi="Arial"/>
                <w:sz w:val="17"/>
                <w:szCs w:val="17"/>
                <w:b w:val="1"/>
                <w:bCs w:val="1"/>
                <w:color w:val="auto"/>
                <w:w w:val="90"/>
              </w:rPr>
              <w:t>1650 Independence Drive, Suite 100</w:t>
            </w:r>
          </w:p>
        </w:tc>
        <w:tc>
          <w:tcPr>
            <w:tcW w:w="2200" w:type="dxa"/>
            <w:vAlign w:val="bottom"/>
          </w:tcPr>
          <w:p>
            <w:pPr>
              <w:spacing w:after="0"/>
              <w:rPr>
                <w:sz w:val="24"/>
                <w:szCs w:val="24"/>
                <w:color w:val="auto"/>
              </w:rPr>
            </w:pPr>
          </w:p>
        </w:tc>
      </w:tr>
      <w:tr>
        <w:trPr>
          <w:trHeight w:val="223"/>
        </w:trPr>
        <w:tc>
          <w:tcPr>
            <w:tcW w:w="6240" w:type="dxa"/>
            <w:vAlign w:val="bottom"/>
          </w:tcPr>
          <w:p>
            <w:pPr>
              <w:jc w:val="center"/>
              <w:ind w:right="2621"/>
              <w:spacing w:after="0"/>
              <w:rPr>
                <w:sz w:val="20"/>
                <w:szCs w:val="20"/>
                <w:color w:val="auto"/>
              </w:rPr>
            </w:pPr>
            <w:r>
              <w:rPr>
                <w:rFonts w:ascii="Arial" w:cs="Arial" w:eastAsia="Arial" w:hAnsi="Arial"/>
                <w:sz w:val="17"/>
                <w:szCs w:val="17"/>
                <w:b w:val="1"/>
                <w:bCs w:val="1"/>
                <w:color w:val="auto"/>
                <w:w w:val="89"/>
              </w:rPr>
              <w:t>New Braunfels, Texas</w:t>
            </w:r>
          </w:p>
        </w:tc>
        <w:tc>
          <w:tcPr>
            <w:tcW w:w="2200" w:type="dxa"/>
            <w:vAlign w:val="bottom"/>
          </w:tcPr>
          <w:p>
            <w:pPr>
              <w:jc w:val="right"/>
              <w:ind w:right="763"/>
              <w:spacing w:after="0"/>
              <w:rPr>
                <w:sz w:val="20"/>
                <w:szCs w:val="20"/>
                <w:color w:val="auto"/>
              </w:rPr>
            </w:pPr>
            <w:r>
              <w:rPr>
                <w:rFonts w:ascii="Arial" w:cs="Arial" w:eastAsia="Arial" w:hAnsi="Arial"/>
                <w:sz w:val="17"/>
                <w:szCs w:val="17"/>
                <w:b w:val="1"/>
                <w:bCs w:val="1"/>
                <w:color w:val="auto"/>
              </w:rPr>
              <w:t>78132</w:t>
            </w:r>
          </w:p>
        </w:tc>
      </w:tr>
      <w:tr>
        <w:trPr>
          <w:trHeight w:val="178"/>
        </w:trPr>
        <w:tc>
          <w:tcPr>
            <w:tcW w:w="6240" w:type="dxa"/>
            <w:vAlign w:val="bottom"/>
          </w:tcPr>
          <w:p>
            <w:pPr>
              <w:jc w:val="center"/>
              <w:ind w:right="262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00" w:type="dxa"/>
            <w:vAlign w:val="bottom"/>
          </w:tcPr>
          <w:p>
            <w:pPr>
              <w:jc w:val="center"/>
              <w:ind w:left="43"/>
              <w:spacing w:after="0"/>
              <w:rPr>
                <w:sz w:val="20"/>
                <w:szCs w:val="20"/>
                <w:color w:val="auto"/>
              </w:rPr>
            </w:pPr>
            <w:r>
              <w:rPr>
                <w:rFonts w:ascii="Arial" w:cs="Arial" w:eastAsia="Arial" w:hAnsi="Arial"/>
                <w:sz w:val="14"/>
                <w:szCs w:val="14"/>
                <w:b w:val="1"/>
                <w:bCs w:val="1"/>
                <w:color w:val="auto"/>
                <w:w w:val="92"/>
              </w:rPr>
              <w:t>(Zip Code)</w:t>
            </w:r>
          </w:p>
        </w:tc>
      </w:tr>
      <w:tr>
        <w:trPr>
          <w:trHeight w:val="492"/>
        </w:trPr>
        <w:tc>
          <w:tcPr>
            <w:tcW w:w="6240" w:type="dxa"/>
            <w:vAlign w:val="bottom"/>
          </w:tcPr>
          <w:p>
            <w:pPr>
              <w:jc w:val="right"/>
              <w:ind w:right="1041"/>
              <w:spacing w:after="0"/>
              <w:rPr>
                <w:sz w:val="20"/>
                <w:szCs w:val="20"/>
                <w:color w:val="auto"/>
              </w:rPr>
            </w:pPr>
            <w:r>
              <w:rPr>
                <w:rFonts w:ascii="Arial" w:cs="Arial" w:eastAsia="Arial" w:hAnsi="Arial"/>
                <w:sz w:val="17"/>
                <w:szCs w:val="17"/>
                <w:b w:val="1"/>
                <w:bCs w:val="1"/>
                <w:color w:val="auto"/>
              </w:rPr>
              <w:t>(888) 400-8275</w:t>
            </w:r>
          </w:p>
        </w:tc>
        <w:tc>
          <w:tcPr>
            <w:tcW w:w="2200" w:type="dxa"/>
            <w:vAlign w:val="bottom"/>
          </w:tcPr>
          <w:p>
            <w:pPr>
              <w:spacing w:after="0"/>
              <w:rPr>
                <w:sz w:val="24"/>
                <w:szCs w:val="24"/>
                <w:color w:val="auto"/>
              </w:rPr>
            </w:pPr>
          </w:p>
        </w:tc>
      </w:tr>
      <w:tr>
        <w:trPr>
          <w:trHeight w:val="178"/>
        </w:trPr>
        <w:tc>
          <w:tcPr>
            <w:tcW w:w="6240" w:type="dxa"/>
            <w:vAlign w:val="bottom"/>
          </w:tcPr>
          <w:p>
            <w:pPr>
              <w:jc w:val="center"/>
              <w:ind w:left="2861"/>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00" w:type="dxa"/>
            <w:vAlign w:val="bottom"/>
          </w:tcPr>
          <w:p>
            <w:pPr>
              <w:spacing w:after="0"/>
              <w:rPr>
                <w:sz w:val="15"/>
                <w:szCs w:val="15"/>
                <w:color w:val="auto"/>
              </w:rPr>
            </w:pPr>
          </w:p>
        </w:tc>
      </w:tr>
    </w:tbl>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2"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Title of each class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Trading 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60"/>
        </w:trPr>
        <w:tc>
          <w:tcPr>
            <w:tcW w:w="366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0"/>
              </w:rPr>
              <w:t>Class A Common Stock, par value $0.01 per</w:t>
            </w:r>
          </w:p>
        </w:tc>
        <w:tc>
          <w:tcPr>
            <w:tcW w:w="100" w:type="dxa"/>
            <w:vAlign w:val="bottom"/>
          </w:tcPr>
          <w:p>
            <w:pPr>
              <w:spacing w:after="0"/>
              <w:rPr>
                <w:sz w:val="13"/>
                <w:szCs w:val="13"/>
                <w:color w:val="auto"/>
              </w:rPr>
            </w:pPr>
          </w:p>
        </w:tc>
        <w:tc>
          <w:tcPr>
            <w:tcW w:w="368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4"/>
              </w:rPr>
              <w:t>TASK</w:t>
            </w:r>
          </w:p>
        </w:tc>
        <w:tc>
          <w:tcPr>
            <w:tcW w:w="100" w:type="dxa"/>
            <w:vAlign w:val="bottom"/>
          </w:tcPr>
          <w:p>
            <w:pPr>
              <w:spacing w:after="0"/>
              <w:rPr>
                <w:sz w:val="13"/>
                <w:szCs w:val="13"/>
                <w:color w:val="auto"/>
              </w:rPr>
            </w:pPr>
          </w:p>
        </w:tc>
        <w:tc>
          <w:tcPr>
            <w:tcW w:w="368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4"/>
              </w:rPr>
              <w:t>The Nasdaq Stock Market LLC</w:t>
            </w:r>
          </w:p>
        </w:tc>
      </w:tr>
      <w:tr>
        <w:trPr>
          <w:trHeight w:val="223"/>
        </w:trPr>
        <w:tc>
          <w:tcPr>
            <w:tcW w:w="37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293" w:lineRule="exact"/>
        <w:rPr>
          <w:sz w:val="24"/>
          <w:szCs w:val="24"/>
          <w:color w:val="auto"/>
        </w:rPr>
      </w:pPr>
    </w:p>
    <w:p>
      <w:pPr>
        <w:jc w:val="both"/>
        <w:ind w:firstLine="464"/>
        <w:spacing w:after="0" w:line="26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5" w:lineRule="exact"/>
        <w:rPr>
          <w:sz w:val="24"/>
          <w:szCs w:val="24"/>
          <w:color w:val="auto"/>
        </w:rPr>
      </w:pPr>
    </w:p>
    <w:p>
      <w:pPr>
        <w:jc w:val="both"/>
        <w:ind w:firstLine="464"/>
        <w:spacing w:after="0" w:line="266"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75" w:lineRule="exact"/>
        <w:rPr>
          <w:sz w:val="24"/>
          <w:szCs w:val="24"/>
          <w:color w:val="auto"/>
        </w:rPr>
      </w:pPr>
    </w:p>
    <w:p>
      <w:pPr>
        <w:jc w:val="both"/>
        <w:ind w:firstLine="464"/>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18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80" w:type="dxa"/>
            <w:vAlign w:val="bottom"/>
          </w:tcPr>
          <w:p>
            <w:pPr>
              <w:ind w:left="280"/>
              <w:spacing w:after="0"/>
              <w:rPr>
                <w:sz w:val="20"/>
                <w:szCs w:val="20"/>
                <w:color w:val="auto"/>
              </w:rPr>
            </w:pPr>
            <w:r>
              <w:rPr>
                <w:rFonts w:ascii="Arial" w:cs="Arial" w:eastAsia="Arial" w:hAnsi="Arial"/>
                <w:sz w:val="17"/>
                <w:szCs w:val="17"/>
                <w:color w:val="auto"/>
              </w:rPr>
              <w:t>o</w:t>
            </w:r>
          </w:p>
        </w:tc>
        <w:tc>
          <w:tcPr>
            <w:tcW w:w="5300" w:type="dxa"/>
            <w:vAlign w:val="bottom"/>
          </w:tcPr>
          <w:p>
            <w:pPr>
              <w:ind w:left="310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o</w:t>
            </w:r>
          </w:p>
        </w:tc>
      </w:tr>
      <w:tr>
        <w:trPr>
          <w:trHeight w:val="284"/>
        </w:trPr>
        <w:tc>
          <w:tcPr>
            <w:tcW w:w="1800" w:type="dxa"/>
            <w:vAlign w:val="bottom"/>
          </w:tcPr>
          <w:p>
            <w:pPr>
              <w:spacing w:after="0"/>
              <w:rPr>
                <w:sz w:val="20"/>
                <w:szCs w:val="20"/>
                <w:color w:val="auto"/>
              </w:rPr>
            </w:pPr>
            <w:r>
              <w:rPr>
                <w:rFonts w:ascii="Arial" w:cs="Arial" w:eastAsia="Arial" w:hAnsi="Arial"/>
                <w:sz w:val="17"/>
                <w:szCs w:val="17"/>
                <w:color w:val="auto"/>
              </w:rPr>
              <w:t>Non-accelerated filer</w:t>
            </w:r>
          </w:p>
        </w:tc>
        <w:tc>
          <w:tcPr>
            <w:tcW w:w="3480" w:type="dxa"/>
            <w:vAlign w:val="bottom"/>
          </w:tcPr>
          <w:p>
            <w:pPr>
              <w:ind w:left="280"/>
              <w:spacing w:after="0"/>
              <w:rPr>
                <w:sz w:val="20"/>
                <w:szCs w:val="20"/>
                <w:color w:val="auto"/>
              </w:rPr>
            </w:pPr>
            <w:r>
              <w:rPr>
                <w:rFonts w:ascii="Arial" w:cs="Arial" w:eastAsia="Arial" w:hAnsi="Arial"/>
                <w:sz w:val="17"/>
                <w:szCs w:val="17"/>
                <w:color w:val="auto"/>
              </w:rPr>
              <w:t>x</w:t>
            </w:r>
          </w:p>
        </w:tc>
        <w:tc>
          <w:tcPr>
            <w:tcW w:w="5300" w:type="dxa"/>
            <w:vAlign w:val="bottom"/>
          </w:tcPr>
          <w:p>
            <w:pPr>
              <w:ind w:left="310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o</w:t>
            </w:r>
          </w:p>
        </w:tc>
      </w:tr>
      <w:tr>
        <w:trPr>
          <w:trHeight w:val="284"/>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320"/>
              <w:spacing w:after="0"/>
              <w:rPr>
                <w:sz w:val="20"/>
                <w:szCs w:val="20"/>
                <w:color w:val="auto"/>
              </w:rPr>
            </w:pPr>
            <w:r>
              <w:rPr>
                <w:rFonts w:ascii="Arial" w:cs="Arial" w:eastAsia="Arial" w:hAnsi="Arial"/>
                <w:sz w:val="17"/>
                <w:szCs w:val="17"/>
                <w:color w:val="auto"/>
                <w:w w:val="70"/>
              </w:rPr>
              <w:t>x</w:t>
            </w:r>
          </w:p>
        </w:tc>
      </w:tr>
    </w:tbl>
    <w:p>
      <w:pPr>
        <w:sectPr>
          <w:pgSz w:w="11900" w:h="16838" w:orient="portrait"/>
          <w:cols w:equalWidth="0" w:num="1">
            <w:col w:w="11240"/>
          </w:cols>
          <w:pgMar w:left="320" w:top="224" w:right="339" w:bottom="150" w:gutter="0" w:footer="0" w:header="0"/>
        </w:sectPr>
      </w:pPr>
    </w:p>
    <w:bookmarkStart w:id="1" w:name="page2"/>
    <w:bookmarkEnd w:id="1"/>
    <w:p>
      <w:pPr>
        <w:ind w:firstLine="464"/>
        <w:spacing w:after="0" w:line="27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November 2, 2022, the number of shares outstanding of the registrant’s common stock was as follows: Class A common stock, par value $0.01 per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share: 27,542,032; Class B convertible common stock, par value $0.01 per share: 70,032,694.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805815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196215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Quarterly Period Ended September 30,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20" w:type="dxa"/>
            <w:vAlign w:val="bottom"/>
          </w:tcPr>
          <w:p>
            <w:pPr>
              <w:ind w:left="1640"/>
              <w:spacing w:after="0"/>
              <w:rPr>
                <w:sz w:val="20"/>
                <w:szCs w:val="20"/>
                <w:color w:val="auto"/>
              </w:rPr>
            </w:pPr>
            <w:r>
              <w:rPr>
                <w:rFonts w:ascii="Arial" w:cs="Arial" w:eastAsia="Arial" w:hAnsi="Arial"/>
                <w:sz w:val="14"/>
                <w:szCs w:val="14"/>
                <w:b w:val="1"/>
                <w:bCs w:val="1"/>
                <w:color w:val="auto"/>
              </w:rPr>
              <w:t>Page No.</w:t>
            </w:r>
          </w:p>
        </w:tc>
      </w:tr>
      <w:tr>
        <w:trPr>
          <w:trHeight w:val="257"/>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54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w w:val="97"/>
              </w:rPr>
              <w:t>CAUTIONARY NOTE REGARDING FORWARD-LOOKING STATEMENTS</w:t>
            </w:r>
          </w:p>
        </w:tc>
        <w:tc>
          <w:tcPr>
            <w:tcW w:w="2260" w:type="dxa"/>
            <w:vAlign w:val="bottom"/>
            <w:gridSpan w:val="3"/>
          </w:tcPr>
          <w:p>
            <w:pPr>
              <w:spacing w:after="0"/>
              <w:rPr>
                <w:sz w:val="22"/>
                <w:szCs w:val="22"/>
                <w:color w:val="auto"/>
              </w:rPr>
            </w:pP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1</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Arial" w:cs="Arial" w:eastAsia="Arial" w:hAnsi="Arial"/>
                <w:sz w:val="17"/>
                <w:szCs w:val="17"/>
                <w:color w:val="0000FF"/>
              </w:rPr>
              <w:t>WEBSITE AND SOCIAL MEDIA DISCLOSURE</w:t>
            </w: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2</w:t>
            </w:r>
          </w:p>
        </w:tc>
      </w:tr>
      <w:tr>
        <w:trPr>
          <w:trHeight w:val="405"/>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5"/>
              </w:rPr>
              <w:t>PART I.</w:t>
            </w:r>
          </w:p>
        </w:tc>
        <w:tc>
          <w:tcPr>
            <w:tcW w:w="500" w:type="dxa"/>
            <w:vAlign w:val="bottom"/>
          </w:tcPr>
          <w:p>
            <w:pPr>
              <w:spacing w:after="0"/>
              <w:rPr>
                <w:sz w:val="24"/>
                <w:szCs w:val="24"/>
                <w:color w:val="auto"/>
              </w:rPr>
            </w:pPr>
          </w:p>
        </w:tc>
        <w:tc>
          <w:tcPr>
            <w:tcW w:w="23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7"/>
                <w:szCs w:val="17"/>
                <w:b w:val="1"/>
                <w:bCs w:val="1"/>
                <w:color w:val="0000FF"/>
              </w:rPr>
              <w:t>FINANCIAL INFORMATION</w:t>
            </w:r>
          </w:p>
        </w:tc>
        <w:tc>
          <w:tcPr>
            <w:tcW w:w="1240" w:type="dxa"/>
            <w:vAlign w:val="bottom"/>
            <w:tcBorders>
              <w:top w:val="single" w:sz="8" w:color="0000FF"/>
            </w:tcBorders>
          </w:tcPr>
          <w:p>
            <w:pPr>
              <w:spacing w:after="0"/>
              <w:rPr>
                <w:sz w:val="24"/>
                <w:szCs w:val="24"/>
                <w:color w:val="auto"/>
              </w:rPr>
            </w:pPr>
          </w:p>
        </w:tc>
        <w:tc>
          <w:tcPr>
            <w:tcW w:w="4260" w:type="dxa"/>
            <w:vAlign w:val="bottom"/>
            <w:gridSpan w:val="11"/>
          </w:tcPr>
          <w:p>
            <w:pPr>
              <w:spacing w:after="0"/>
              <w:rPr>
                <w:sz w:val="24"/>
                <w:szCs w:val="24"/>
                <w:color w:val="auto"/>
              </w:rPr>
            </w:pP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3</w:t>
            </w:r>
          </w:p>
        </w:tc>
      </w:tr>
      <w:tr>
        <w:trPr>
          <w:trHeight w:val="40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7800" w:type="dxa"/>
            <w:vAlign w:val="bottom"/>
            <w:gridSpan w:val="22"/>
          </w:tcPr>
          <w:p>
            <w:pPr>
              <w:spacing w:after="0"/>
              <w:rPr>
                <w:sz w:val="20"/>
                <w:szCs w:val="20"/>
                <w:color w:val="auto"/>
              </w:rPr>
            </w:pPr>
            <w:r>
              <w:rPr>
                <w:rFonts w:ascii="Arial" w:cs="Arial" w:eastAsia="Arial" w:hAnsi="Arial"/>
                <w:sz w:val="17"/>
                <w:szCs w:val="17"/>
                <w:color w:val="0000FF"/>
              </w:rPr>
              <w:t>Financial Statements</w:t>
            </w: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Arial" w:cs="Arial" w:eastAsia="Arial" w:hAnsi="Arial"/>
                <w:sz w:val="17"/>
                <w:szCs w:val="17"/>
                <w:color w:val="0000FF"/>
              </w:rPr>
              <w:t>Unaudited Condensed Consolidated Balance Sheets</w:t>
            </w: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Arial" w:cs="Arial" w:eastAsia="Arial" w:hAnsi="Arial"/>
                <w:sz w:val="17"/>
                <w:szCs w:val="17"/>
                <w:color w:val="0000FF"/>
              </w:rPr>
              <w:t>Unaudited Condensed Consolidated Statements of Operations</w:t>
            </w: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4</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Arial" w:cs="Arial" w:eastAsia="Arial" w:hAnsi="Arial"/>
                <w:sz w:val="17"/>
                <w:szCs w:val="17"/>
                <w:color w:val="0000FF"/>
              </w:rPr>
              <w:t>Unaudited Condensed Consolidated Statements of Comprehensive Income (Loss)</w:t>
            </w: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5</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20" w:type="dxa"/>
            <w:vAlign w:val="bottom"/>
            <w:tcBorders>
              <w:top w:val="single" w:sz="8" w:color="0000FF"/>
            </w:tcBorders>
            <w:gridSpan w:val="20"/>
          </w:tcPr>
          <w:p>
            <w:pPr>
              <w:spacing w:after="0"/>
              <w:rPr>
                <w:sz w:val="20"/>
                <w:szCs w:val="20"/>
                <w:color w:val="auto"/>
              </w:rPr>
            </w:pPr>
            <w:r>
              <w:rPr>
                <w:rFonts w:ascii="Arial" w:cs="Arial" w:eastAsia="Arial" w:hAnsi="Arial"/>
                <w:sz w:val="17"/>
                <w:szCs w:val="17"/>
                <w:color w:val="0000FF"/>
              </w:rPr>
              <w:t>Unaudited Condensed Consolidated Statements of Shareholders’ Equity</w:t>
            </w:r>
          </w:p>
        </w:tc>
        <w:tc>
          <w:tcPr>
            <w:tcW w:w="2180" w:type="dxa"/>
            <w:vAlign w:val="bottom"/>
            <w:gridSpan w:val="2"/>
          </w:tcPr>
          <w:p>
            <w:pPr>
              <w:spacing w:after="0"/>
              <w:rPr>
                <w:sz w:val="21"/>
                <w:szCs w:val="21"/>
                <w:color w:val="auto"/>
              </w:rPr>
            </w:pP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6</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2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7"/>
                <w:szCs w:val="17"/>
                <w:color w:val="0000FF"/>
                <w:w w:val="90"/>
              </w:rPr>
              <w:t>Unaudited Condensed Consolidated Statements of Cash Flows</w:t>
            </w:r>
          </w:p>
        </w:tc>
        <w:tc>
          <w:tcPr>
            <w:tcW w:w="640" w:type="dxa"/>
            <w:vAlign w:val="bottom"/>
            <w:tcBorders>
              <w:top w:val="single" w:sz="8" w:color="0000FF"/>
            </w:tcBorders>
            <w:gridSpan w:val="2"/>
          </w:tcPr>
          <w:p>
            <w:pPr>
              <w:spacing w:after="0"/>
              <w:rPr>
                <w:sz w:val="21"/>
                <w:szCs w:val="21"/>
                <w:color w:val="auto"/>
              </w:rPr>
            </w:pPr>
          </w:p>
        </w:tc>
        <w:tc>
          <w:tcPr>
            <w:tcW w:w="2840" w:type="dxa"/>
            <w:vAlign w:val="bottom"/>
            <w:gridSpan w:val="4"/>
          </w:tcPr>
          <w:p>
            <w:pPr>
              <w:spacing w:after="0"/>
              <w:rPr>
                <w:sz w:val="21"/>
                <w:szCs w:val="21"/>
                <w:color w:val="auto"/>
              </w:rPr>
            </w:pP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8</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Arial" w:cs="Arial" w:eastAsia="Arial" w:hAnsi="Arial"/>
                <w:sz w:val="17"/>
                <w:szCs w:val="17"/>
                <w:color w:val="0000FF"/>
              </w:rPr>
              <w:t>Notes to Unaudited Condensed Consolidated Financial Statements</w:t>
            </w:r>
          </w:p>
        </w:tc>
        <w:tc>
          <w:tcPr>
            <w:tcW w:w="2320" w:type="dxa"/>
            <w:vAlign w:val="bottom"/>
          </w:tcPr>
          <w:p>
            <w:pPr>
              <w:jc w:val="center"/>
              <w:ind w:left="1395"/>
              <w:spacing w:after="0"/>
              <w:rPr>
                <w:sz w:val="20"/>
                <w:szCs w:val="20"/>
                <w:color w:val="auto"/>
              </w:rPr>
            </w:pPr>
            <w:r>
              <w:rPr>
                <w:rFonts w:ascii="Arial" w:cs="Arial" w:eastAsia="Arial" w:hAnsi="Arial"/>
                <w:sz w:val="17"/>
                <w:szCs w:val="17"/>
                <w:color w:val="auto"/>
                <w:w w:val="84"/>
              </w:rPr>
              <w:t>9</w:t>
            </w:r>
          </w:p>
        </w:tc>
      </w:tr>
      <w:tr>
        <w:trPr>
          <w:trHeight w:val="20"/>
        </w:trPr>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80" w:type="dxa"/>
            <w:vAlign w:val="bottom"/>
            <w:tcBorders>
              <w:bottom w:val="single" w:sz="8" w:color="0000FF"/>
            </w:tcBorders>
            <w:gridSpan w:val="21"/>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1620" w:type="dxa"/>
            <w:vAlign w:val="bottom"/>
          </w:tcPr>
          <w:p>
            <w:pPr>
              <w:spacing w:after="0"/>
              <w:rPr>
                <w:sz w:val="24"/>
                <w:szCs w:val="24"/>
                <w:color w:val="auto"/>
              </w:rPr>
            </w:pP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20</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8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3620" w:type="dxa"/>
            <w:vAlign w:val="bottom"/>
            <w:gridSpan w:val="8"/>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33</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89"/>
              </w:rPr>
              <w:t>Controls and Procedures</w:t>
            </w:r>
          </w:p>
        </w:tc>
        <w:tc>
          <w:tcPr>
            <w:tcW w:w="6100" w:type="dxa"/>
            <w:vAlign w:val="bottom"/>
            <w:gridSpan w:val="15"/>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34</w:t>
            </w:r>
          </w:p>
        </w:tc>
      </w:tr>
      <w:tr>
        <w:trPr>
          <w:trHeight w:val="40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7"/>
                <w:szCs w:val="17"/>
                <w:b w:val="1"/>
                <w:bCs w:val="1"/>
                <w:color w:val="auto"/>
              </w:rPr>
              <w:t>PART II.</w:t>
            </w:r>
          </w:p>
        </w:tc>
        <w:tc>
          <w:tcPr>
            <w:tcW w:w="19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b w:val="1"/>
                <w:bCs w:val="1"/>
                <w:color w:val="0000FF"/>
              </w:rPr>
              <w:t>OTHER INFORMATION</w:t>
            </w:r>
          </w:p>
        </w:tc>
        <w:tc>
          <w:tcPr>
            <w:tcW w:w="5860" w:type="dxa"/>
            <w:vAlign w:val="bottom"/>
            <w:gridSpan w:val="14"/>
          </w:tcPr>
          <w:p>
            <w:pPr>
              <w:spacing w:after="0"/>
              <w:rPr>
                <w:sz w:val="24"/>
                <w:szCs w:val="24"/>
                <w:color w:val="auto"/>
              </w:rPr>
            </w:pP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35</w:t>
            </w:r>
          </w:p>
        </w:tc>
      </w:tr>
      <w:tr>
        <w:trPr>
          <w:trHeight w:val="40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7800" w:type="dxa"/>
            <w:vAlign w:val="bottom"/>
            <w:gridSpan w:val="22"/>
          </w:tcPr>
          <w:p>
            <w:pPr>
              <w:spacing w:after="0"/>
              <w:rPr>
                <w:sz w:val="20"/>
                <w:szCs w:val="20"/>
                <w:color w:val="auto"/>
              </w:rPr>
            </w:pPr>
            <w:r>
              <w:rPr>
                <w:rFonts w:ascii="Arial" w:cs="Arial" w:eastAsia="Arial" w:hAnsi="Arial"/>
                <w:sz w:val="17"/>
                <w:szCs w:val="17"/>
                <w:color w:val="0000FF"/>
              </w:rPr>
              <w:t>Legal Proceedings</w:t>
            </w: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35</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0"/>
              </w:rPr>
              <w:t>Risk Factors</w:t>
            </w:r>
          </w:p>
        </w:tc>
        <w:tc>
          <w:tcPr>
            <w:tcW w:w="400" w:type="dxa"/>
            <w:vAlign w:val="bottom"/>
            <w:tcBorders>
              <w:top w:val="single" w:sz="8" w:color="0000FF"/>
            </w:tcBorders>
            <w:gridSpan w:val="2"/>
          </w:tcPr>
          <w:p>
            <w:pPr>
              <w:spacing w:after="0"/>
              <w:rPr>
                <w:sz w:val="21"/>
                <w:szCs w:val="21"/>
                <w:color w:val="auto"/>
              </w:rPr>
            </w:pPr>
          </w:p>
        </w:tc>
        <w:tc>
          <w:tcPr>
            <w:tcW w:w="6520" w:type="dxa"/>
            <w:vAlign w:val="bottom"/>
            <w:gridSpan w:val="17"/>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35</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7800" w:type="dxa"/>
            <w:vAlign w:val="bottom"/>
            <w:gridSpan w:val="22"/>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35</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rPr>
              <w:t>Defaults Upon Senior Securities</w:t>
            </w:r>
          </w:p>
        </w:tc>
        <w:tc>
          <w:tcPr>
            <w:tcW w:w="3640" w:type="dxa"/>
            <w:vAlign w:val="bottom"/>
            <w:gridSpan w:val="9"/>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35</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7"/>
                <w:szCs w:val="17"/>
                <w:color w:val="0000FF"/>
                <w:w w:val="92"/>
              </w:rPr>
              <w:t>Mine Safety Disclosures</w:t>
            </w:r>
          </w:p>
        </w:tc>
        <w:tc>
          <w:tcPr>
            <w:tcW w:w="520" w:type="dxa"/>
            <w:vAlign w:val="bottom"/>
            <w:tcBorders>
              <w:top w:val="single" w:sz="8" w:color="0000FF"/>
            </w:tcBorders>
            <w:gridSpan w:val="2"/>
          </w:tcPr>
          <w:p>
            <w:pPr>
              <w:spacing w:after="0"/>
              <w:rPr>
                <w:sz w:val="21"/>
                <w:szCs w:val="21"/>
                <w:color w:val="auto"/>
              </w:rPr>
            </w:pPr>
          </w:p>
        </w:tc>
        <w:tc>
          <w:tcPr>
            <w:tcW w:w="5580" w:type="dxa"/>
            <w:vAlign w:val="bottom"/>
            <w:gridSpan w:val="13"/>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35</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5.</w:t>
            </w:r>
          </w:p>
        </w:tc>
        <w:tc>
          <w:tcPr>
            <w:tcW w:w="7800" w:type="dxa"/>
            <w:vAlign w:val="bottom"/>
            <w:gridSpan w:val="22"/>
          </w:tcPr>
          <w:p>
            <w:pPr>
              <w:spacing w:after="0"/>
              <w:rPr>
                <w:sz w:val="20"/>
                <w:szCs w:val="20"/>
                <w:color w:val="auto"/>
              </w:rPr>
            </w:pPr>
            <w:r>
              <w:rPr>
                <w:rFonts w:ascii="Arial" w:cs="Arial" w:eastAsia="Arial" w:hAnsi="Arial"/>
                <w:sz w:val="17"/>
                <w:szCs w:val="17"/>
                <w:color w:val="0000FF"/>
              </w:rPr>
              <w:t>Other Information</w:t>
            </w: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36</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Exhibits</w:t>
            </w:r>
          </w:p>
        </w:tc>
        <w:tc>
          <w:tcPr>
            <w:tcW w:w="6540" w:type="dxa"/>
            <w:vAlign w:val="bottom"/>
            <w:gridSpan w:val="18"/>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60" w:type="dxa"/>
            <w:vAlign w:val="bottom"/>
            <w:gridSpan w:val="2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Arial" w:cs="Arial" w:eastAsia="Arial" w:hAnsi="Arial"/>
                <w:sz w:val="17"/>
                <w:szCs w:val="17"/>
                <w:color w:val="0000FF"/>
              </w:rPr>
              <w:t>Signatures</w:t>
            </w:r>
          </w:p>
        </w:tc>
        <w:tc>
          <w:tcPr>
            <w:tcW w:w="2320" w:type="dxa"/>
            <w:vAlign w:val="bottom"/>
          </w:tcPr>
          <w:p>
            <w:pPr>
              <w:jc w:val="center"/>
              <w:ind w:left="1375"/>
              <w:spacing w:after="0"/>
              <w:rPr>
                <w:sz w:val="20"/>
                <w:szCs w:val="20"/>
                <w:color w:val="auto"/>
              </w:rPr>
            </w:pPr>
            <w:r>
              <w:rPr>
                <w:rFonts w:ascii="Arial" w:cs="Arial" w:eastAsia="Arial" w:hAnsi="Arial"/>
                <w:sz w:val="17"/>
                <w:szCs w:val="17"/>
                <w:color w:val="auto"/>
                <w:w w:val="94"/>
              </w:rPr>
              <w:t>37</w:t>
            </w:r>
          </w:p>
        </w:tc>
      </w:tr>
      <w:tr>
        <w:trPr>
          <w:trHeight w:val="991"/>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20"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5"/>
          <w:szCs w:val="15"/>
          <w:color w:val="auto"/>
        </w:rPr>
        <w:t>This Quarterly Report on Form 10-Q (this “Quarterly Report”) contains forward-looking statements within the meaning of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Our actual results or outcomes may differ materially from those anticipated.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spacing w:after="0" w:line="6"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under Part I, Item 1A, “Risk Factors” in our Annual Report on Form 10-K for the year ended December 31, 2021 (our “Annual Report”) as filed with the Securities and Exchange Commission (the “SEC”), as such risk factors may be updated from time to time in our periodic filings with the SEC, which are accessible on the SEC’s website at www.sec.gov. Such risks and uncertainties include, but are not limited to, the following:</w:t>
      </w:r>
    </w:p>
    <w:p>
      <w:pPr>
        <w:spacing w:after="0" w:line="82" w:lineRule="exact"/>
        <w:rPr>
          <w:sz w:val="20"/>
          <w:szCs w:val="20"/>
          <w:color w:val="auto"/>
        </w:rPr>
      </w:pPr>
    </w:p>
    <w:p>
      <w:pPr>
        <w:ind w:left="460" w:hanging="45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dependent on key clients, and the loss of a key client could have an adverse effect on our business and results of operations;</w:t>
      </w:r>
    </w:p>
    <w:p>
      <w:pPr>
        <w:spacing w:after="0" w:line="113" w:lineRule="exact"/>
        <w:rPr>
          <w:rFonts w:ascii="Arial" w:cs="Arial" w:eastAsia="Arial" w:hAnsi="Arial"/>
          <w:sz w:val="17"/>
          <w:szCs w:val="17"/>
          <w:color w:val="auto"/>
        </w:rPr>
      </w:pPr>
    </w:p>
    <w:p>
      <w:pPr>
        <w:jc w:val="both"/>
        <w:ind w:left="460" w:hanging="457"/>
        <w:spacing w:after="0" w:line="262" w:lineRule="auto"/>
        <w:tabs>
          <w:tab w:leader="none" w:pos="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contracts are typically one to three years in length with automatic renewal provisions, but certain contracts may provide for termination at the client's convenience with advance notice and may or may not include penalties or required payments in the event the termination right is exercised. Our clients may terminate contracts before completion or choose not to renew contracts, and our clients may be unable or unwilling to pay for services we performed. A loss of business or non-payment from significant clients could materially affect our results of operations;</w:t>
      </w:r>
    </w:p>
    <w:p>
      <w:pPr>
        <w:spacing w:after="0" w:line="74" w:lineRule="exact"/>
        <w:rPr>
          <w:rFonts w:ascii="Arial" w:cs="Arial" w:eastAsia="Arial" w:hAnsi="Arial"/>
          <w:sz w:val="17"/>
          <w:szCs w:val="17"/>
          <w:color w:val="auto"/>
        </w:rPr>
      </w:pPr>
    </w:p>
    <w:p>
      <w:pPr>
        <w:ind w:left="460" w:hanging="45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fail to cost-effectively acquire new, high-growth clients, which would adversely affect our business, financial condition and results of operations;</w:t>
      </w:r>
    </w:p>
    <w:p>
      <w:pPr>
        <w:spacing w:after="0" w:line="125" w:lineRule="exact"/>
        <w:rPr>
          <w:rFonts w:ascii="Arial" w:cs="Arial" w:eastAsia="Arial" w:hAnsi="Arial"/>
          <w:sz w:val="16"/>
          <w:szCs w:val="16"/>
          <w:color w:val="auto"/>
        </w:rPr>
      </w:pPr>
    </w:p>
    <w:p>
      <w:pPr>
        <w:ind w:left="460" w:hanging="457"/>
        <w:spacing w:after="0" w:line="279" w:lineRule="auto"/>
        <w:tabs>
          <w:tab w:leader="none" w:pos="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61" w:lineRule="exact"/>
        <w:rPr>
          <w:rFonts w:ascii="Arial" w:cs="Arial" w:eastAsia="Arial" w:hAnsi="Arial"/>
          <w:sz w:val="17"/>
          <w:szCs w:val="17"/>
          <w:color w:val="auto"/>
        </w:rPr>
      </w:pPr>
    </w:p>
    <w:p>
      <w:pPr>
        <w:ind w:left="460" w:hanging="457"/>
        <w:spacing w:after="0" w:line="279" w:lineRule="auto"/>
        <w:tabs>
          <w:tab w:leader="none" w:pos="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global economic and political conditions, especially in the social media and meal delivery and transport industries from which we generate significant revenue, could adversely affect our business, results of operations, financial condition and prospects;</w:t>
      </w:r>
    </w:p>
    <w:p>
      <w:pPr>
        <w:spacing w:after="0" w:line="61" w:lineRule="exact"/>
        <w:rPr>
          <w:rFonts w:ascii="Arial" w:cs="Arial" w:eastAsia="Arial" w:hAnsi="Arial"/>
          <w:sz w:val="17"/>
          <w:szCs w:val="17"/>
          <w:color w:val="auto"/>
        </w:rPr>
      </w:pPr>
    </w:p>
    <w:p>
      <w:pPr>
        <w:jc w:val="both"/>
        <w:ind w:left="460" w:hanging="457"/>
        <w:spacing w:after="0" w:line="266" w:lineRule="auto"/>
        <w:tabs>
          <w:tab w:leader="none" w:pos="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71" w:lineRule="exact"/>
        <w:rPr>
          <w:rFonts w:ascii="Arial" w:cs="Arial" w:eastAsia="Arial" w:hAnsi="Arial"/>
          <w:sz w:val="17"/>
          <w:szCs w:val="17"/>
          <w:color w:val="auto"/>
        </w:rPr>
      </w:pPr>
    </w:p>
    <w:p>
      <w:pPr>
        <w:jc w:val="both"/>
        <w:ind w:left="460" w:hanging="457"/>
        <w:spacing w:after="0" w:line="283" w:lineRule="auto"/>
        <w:tabs>
          <w:tab w:leader="none" w:pos="456"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content security, including content monitoring and moderation services, is a large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retaining and recruiting employees, any of which could have an adverse effect on our reputation, business, financial condition and results of operations;</w:t>
      </w:r>
    </w:p>
    <w:p>
      <w:pPr>
        <w:spacing w:after="0" w:line="60" w:lineRule="exact"/>
        <w:rPr>
          <w:rFonts w:ascii="Arial" w:cs="Arial" w:eastAsia="Arial" w:hAnsi="Arial"/>
          <w:sz w:val="16"/>
          <w:szCs w:val="16"/>
          <w:color w:val="auto"/>
        </w:rPr>
      </w:pPr>
    </w:p>
    <w:p>
      <w:pPr>
        <w:jc w:val="both"/>
        <w:ind w:left="460" w:hanging="457"/>
        <w:spacing w:after="0" w:line="266" w:lineRule="auto"/>
        <w:tabs>
          <w:tab w:leader="none" w:pos="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spacing w:after="0" w:line="71" w:lineRule="exact"/>
        <w:rPr>
          <w:rFonts w:ascii="Arial" w:cs="Arial" w:eastAsia="Arial" w:hAnsi="Arial"/>
          <w:sz w:val="17"/>
          <w:szCs w:val="17"/>
          <w:color w:val="auto"/>
        </w:rPr>
      </w:pPr>
    </w:p>
    <w:p>
      <w:pPr>
        <w:ind w:left="460" w:hanging="457"/>
        <w:spacing w:after="0" w:line="279" w:lineRule="auto"/>
        <w:tabs>
          <w:tab w:leader="none" w:pos="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heavily dependent upon our international operations, particularly in the Philippines and India, and any disruption to those operations would adversely affect us;</w:t>
      </w:r>
    </w:p>
    <w:p>
      <w:pPr>
        <w:spacing w:after="0" w:line="61" w:lineRule="exact"/>
        <w:rPr>
          <w:rFonts w:ascii="Arial" w:cs="Arial" w:eastAsia="Arial" w:hAnsi="Arial"/>
          <w:sz w:val="17"/>
          <w:szCs w:val="17"/>
          <w:color w:val="auto"/>
        </w:rPr>
      </w:pPr>
    </w:p>
    <w:p>
      <w:pPr>
        <w:ind w:left="460" w:hanging="457"/>
        <w:spacing w:after="0" w:line="279" w:lineRule="auto"/>
        <w:tabs>
          <w:tab w:leader="none" w:pos="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subject to a variety of U.S. federal and state, as well as international laws and regulations, including those regarding privacy and data security, and we or our clients may be subject to regulations related to the processing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certain types of sensitive and confidential information; any failure to comply with applicable privacy and data security laws and regulations could harm our business, results of operations and financial condition;</w:t>
      </w:r>
    </w:p>
    <w:p>
      <w:pPr>
        <w:spacing w:after="0" w:line="61" w:lineRule="exact"/>
        <w:rPr>
          <w:sz w:val="20"/>
          <w:szCs w:val="20"/>
          <w:color w:val="auto"/>
        </w:rPr>
      </w:pPr>
    </w:p>
    <w:p>
      <w:pPr>
        <w:jc w:val="both"/>
        <w:ind w:left="460" w:hanging="457"/>
        <w:spacing w:after="0" w:line="266" w:lineRule="auto"/>
        <w:tabs>
          <w:tab w:leader="none" w:pos="45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pacing w:after="0" w:line="71" w:lineRule="exact"/>
        <w:rPr>
          <w:rFonts w:ascii="Arial" w:cs="Arial" w:eastAsia="Arial" w:hAnsi="Arial"/>
          <w:sz w:val="17"/>
          <w:szCs w:val="17"/>
          <w:color w:val="auto"/>
        </w:rPr>
      </w:pPr>
    </w:p>
    <w:p>
      <w:pPr>
        <w:ind w:left="460" w:hanging="457"/>
        <w:spacing w:after="0" w:line="279" w:lineRule="auto"/>
        <w:tabs>
          <w:tab w:leader="none" w:pos="45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results of operations and ability to grow could be materially affected if we cannot adapt our services and solutions to changes in technology and client expectations;</w:t>
      </w:r>
    </w:p>
    <w:p>
      <w:pPr>
        <w:spacing w:after="0" w:line="61" w:lineRule="exact"/>
        <w:rPr>
          <w:rFonts w:ascii="Arial" w:cs="Arial" w:eastAsia="Arial" w:hAnsi="Arial"/>
          <w:sz w:val="17"/>
          <w:szCs w:val="17"/>
          <w:color w:val="auto"/>
        </w:rPr>
      </w:pPr>
    </w:p>
    <w:p>
      <w:pPr>
        <w:ind w:left="460" w:hanging="457"/>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against the U.S. dollar in the local currencies in the countries in which we operate could have a material effect on our results of operations;</w:t>
      </w:r>
    </w:p>
    <w:p>
      <w:pPr>
        <w:spacing w:after="0" w:line="125" w:lineRule="exact"/>
        <w:rPr>
          <w:rFonts w:ascii="Arial" w:cs="Arial" w:eastAsia="Arial" w:hAnsi="Arial"/>
          <w:sz w:val="16"/>
          <w:szCs w:val="16"/>
          <w:color w:val="auto"/>
        </w:rPr>
      </w:pPr>
    </w:p>
    <w:p>
      <w:pPr>
        <w:ind w:left="460" w:hanging="457"/>
        <w:spacing w:after="0" w:line="279" w:lineRule="auto"/>
        <w:tabs>
          <w:tab w:leader="none" w:pos="45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61" w:lineRule="exact"/>
        <w:rPr>
          <w:rFonts w:ascii="Arial" w:cs="Arial" w:eastAsia="Arial" w:hAnsi="Arial"/>
          <w:sz w:val="17"/>
          <w:szCs w:val="17"/>
          <w:color w:val="auto"/>
        </w:rPr>
      </w:pPr>
    </w:p>
    <w:p>
      <w:pPr>
        <w:ind w:left="460" w:hanging="457"/>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competitive pricing pressure may reduce our revenue or gross profits and adversely affect our financial results;</w:t>
      </w:r>
    </w:p>
    <w:p>
      <w:pPr>
        <w:spacing w:after="0" w:line="113" w:lineRule="exact"/>
        <w:rPr>
          <w:rFonts w:ascii="Arial" w:cs="Arial" w:eastAsia="Arial" w:hAnsi="Arial"/>
          <w:sz w:val="17"/>
          <w:szCs w:val="17"/>
          <w:color w:val="auto"/>
        </w:rPr>
      </w:pPr>
    </w:p>
    <w:p>
      <w:pPr>
        <w:ind w:left="460" w:hanging="457"/>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our business depends on our senior management and key employees;</w:t>
      </w:r>
    </w:p>
    <w:p>
      <w:pPr>
        <w:spacing w:after="0" w:line="113" w:lineRule="exact"/>
        <w:rPr>
          <w:rFonts w:ascii="Arial" w:cs="Arial" w:eastAsia="Arial" w:hAnsi="Arial"/>
          <w:sz w:val="17"/>
          <w:szCs w:val="17"/>
          <w:color w:val="auto"/>
        </w:rPr>
      </w:pPr>
    </w:p>
    <w:p>
      <w:pPr>
        <w:ind w:left="460" w:hanging="457"/>
        <w:spacing w:after="0" w:line="279" w:lineRule="auto"/>
        <w:tabs>
          <w:tab w:leader="none" w:pos="45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ongoing COVID-19 pandemic, including the resulting global economic uncertainty and measures taken in response to the pandemic, has adversely impacted our business, financial condition and results of operations;</w:t>
      </w:r>
    </w:p>
    <w:p>
      <w:pPr>
        <w:spacing w:after="0" w:line="61" w:lineRule="exact"/>
        <w:rPr>
          <w:rFonts w:ascii="Arial" w:cs="Arial" w:eastAsia="Arial" w:hAnsi="Arial"/>
          <w:sz w:val="17"/>
          <w:szCs w:val="17"/>
          <w:color w:val="auto"/>
        </w:rPr>
      </w:pPr>
    </w:p>
    <w:p>
      <w:pPr>
        <w:ind w:left="460" w:hanging="457"/>
        <w:spacing w:after="0" w:line="279" w:lineRule="auto"/>
        <w:tabs>
          <w:tab w:leader="none" w:pos="456" w:val="left"/>
        </w:tabs>
        <w:numPr>
          <w:ilvl w:val="0"/>
          <w:numId w:val="4"/>
        </w:numPr>
        <w:rPr>
          <w:rFonts w:ascii="Arial" w:cs="Arial" w:eastAsia="Arial" w:hAnsi="Arial"/>
          <w:sz w:val="17"/>
          <w:szCs w:val="17"/>
          <w:color w:val="auto"/>
        </w:rPr>
      </w:pPr>
      <w:r>
        <w:rPr>
          <w:rFonts w:ascii="Arial" w:cs="Arial" w:eastAsia="Arial" w:hAnsi="Arial"/>
          <w:sz w:val="17"/>
          <w:szCs w:val="17"/>
          <w:color w:val="auto"/>
        </w:rPr>
        <w:t>affiliates of Blackstone Inc. and our Co-Founders Bryce Maddock and Jaspar Weir control us and their interests may conflict with ours or yours in the future;</w:t>
      </w:r>
    </w:p>
    <w:p>
      <w:pPr>
        <w:spacing w:after="0" w:line="61" w:lineRule="exact"/>
        <w:rPr>
          <w:rFonts w:ascii="Arial" w:cs="Arial" w:eastAsia="Arial" w:hAnsi="Arial"/>
          <w:sz w:val="17"/>
          <w:szCs w:val="17"/>
          <w:color w:val="auto"/>
        </w:rPr>
      </w:pPr>
    </w:p>
    <w:p>
      <w:pPr>
        <w:ind w:left="460" w:hanging="457"/>
        <w:spacing w:after="0" w:line="279" w:lineRule="auto"/>
        <w:tabs>
          <w:tab w:leader="none" w:pos="45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 and</w:t>
      </w:r>
    </w:p>
    <w:p>
      <w:pPr>
        <w:spacing w:after="0" w:line="61" w:lineRule="exact"/>
        <w:rPr>
          <w:rFonts w:ascii="Arial" w:cs="Arial" w:eastAsia="Arial" w:hAnsi="Arial"/>
          <w:sz w:val="17"/>
          <w:szCs w:val="17"/>
          <w:color w:val="auto"/>
        </w:rPr>
      </w:pPr>
    </w:p>
    <w:p>
      <w:pPr>
        <w:ind w:left="460" w:hanging="457"/>
        <w:spacing w:after="0" w:line="279" w:lineRule="auto"/>
        <w:tabs>
          <w:tab w:leader="none" w:pos="45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market price of shares of our Class A common stock has been, and may continue to be, volatile and may decline regardless of our operating performance, which could cause the value of your investment to decline.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urge you to carefully consider the foregoing summary together with the risks discussed under “Risk Factors” in the Annual Report and in Part I, Item 2.</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Management’s Discussion and Analysis of Financial Condition and Results of Operations in this Quarterly Report.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WEBSITE AND SOCIAL MEDIA DISCLOSURE</w:t>
      </w:r>
    </w:p>
    <w:p>
      <w:pPr>
        <w:spacing w:after="0" w:line="12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We use our website and our social media outlets, such as Facebook, Instagram, LinkedIn, TikTok, YouTube, and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TikTok page at tiktok.com/@taskusinc, its YouTube account at youtube.com/c/Taskus/, and its Twitter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Quarterly Report.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ind w:left="3940"/>
              <w:spacing w:after="0"/>
              <w:rPr>
                <w:sz w:val="20"/>
                <w:szCs w:val="20"/>
                <w:color w:val="auto"/>
              </w:rPr>
            </w:pPr>
            <w:r>
              <w:rPr>
                <w:rFonts w:ascii="Arial" w:cs="Arial" w:eastAsia="Arial" w:hAnsi="Arial"/>
                <w:sz w:val="15"/>
                <w:szCs w:val="15"/>
                <w:b w:val="1"/>
                <w:bCs w:val="1"/>
                <w:color w:val="auto"/>
              </w:rPr>
              <w:t>Assets</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122,491</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63,584</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w w:val="94"/>
              </w:rPr>
              <w:t>Accounts receivable, net of allowance for doubtful accounts of $3,148 and $1,819, as of September 30, 2022 and December 31,</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170,616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162,895</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2021, respectively</w:t>
            </w:r>
          </w:p>
        </w:tc>
        <w:tc>
          <w:tcPr>
            <w:tcW w:w="1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Other receivables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Prepaid expenses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10,939</w:t>
            </w: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Income tax receivable</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19,441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3,863</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4,428</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current assets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334,734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246,306</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Property and equipment, net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75,063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80,046</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lease right-of-use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Deferred tax assets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1,441</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Intangibles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221,448</w:t>
            </w: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215,282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195,735</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6,086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5,022</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noncurrent assets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552,679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503,692</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887,413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749,998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940"/>
              <w:spacing w:after="0"/>
              <w:rPr>
                <w:sz w:val="20"/>
                <w:szCs w:val="20"/>
                <w:color w:val="auto"/>
              </w:rPr>
            </w:pPr>
            <w:r>
              <w:rPr>
                <w:rFonts w:ascii="Arial" w:cs="Arial" w:eastAsia="Arial" w:hAnsi="Arial"/>
                <w:sz w:val="15"/>
                <w:szCs w:val="15"/>
                <w:b w:val="1"/>
                <w:bCs w:val="1"/>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payable and accrued liabilities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40,890</w:t>
            </w:r>
          </w:p>
        </w:tc>
        <w:tc>
          <w:tcPr>
            <w:tcW w:w="0" w:type="dxa"/>
            <w:vAlign w:val="bottom"/>
          </w:tcPr>
          <w:p>
            <w:pPr>
              <w:spacing w:after="0"/>
              <w:rPr>
                <w:sz w:val="1"/>
                <w:szCs w:val="1"/>
                <w:color w:val="auto"/>
              </w:rPr>
            </w:pPr>
          </w:p>
        </w:tc>
      </w:tr>
      <w:tr>
        <w:trPr>
          <w:trHeight w:val="203"/>
        </w:trPr>
        <w:tc>
          <w:tcPr>
            <w:tcW w:w="8300" w:type="dxa"/>
            <w:vAlign w:val="bottom"/>
          </w:tcPr>
          <w:p>
            <w:pPr>
              <w:ind w:left="440"/>
              <w:spacing w:after="0"/>
              <w:rPr>
                <w:sz w:val="20"/>
                <w:szCs w:val="20"/>
                <w:color w:val="auto"/>
              </w:rPr>
            </w:pPr>
            <w:r>
              <w:rPr>
                <w:rFonts w:ascii="Arial" w:cs="Arial" w:eastAsia="Arial" w:hAnsi="Arial"/>
                <w:sz w:val="15"/>
                <w:szCs w:val="15"/>
                <w:color w:val="auto"/>
              </w:rPr>
              <w:t>Accrued payroll and employee-related liabilities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44,129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36,670</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Current portion of debt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51,135</w:t>
            </w:r>
          </w:p>
        </w:tc>
        <w:tc>
          <w:tcPr>
            <w:tcW w:w="0" w:type="dxa"/>
            <w:vAlign w:val="bottom"/>
          </w:tcPr>
          <w:p>
            <w:pPr>
              <w:spacing w:after="0"/>
              <w:rPr>
                <w:sz w:val="1"/>
                <w:szCs w:val="1"/>
                <w:color w:val="auto"/>
              </w:rPr>
            </w:pPr>
          </w:p>
        </w:tc>
      </w:tr>
      <w:tr>
        <w:trPr>
          <w:trHeight w:val="203"/>
        </w:trPr>
        <w:tc>
          <w:tcPr>
            <w:tcW w:w="8300" w:type="dxa"/>
            <w:vAlign w:val="bottom"/>
          </w:tcPr>
          <w:p>
            <w:pPr>
              <w:ind w:left="440"/>
              <w:spacing w:after="0"/>
              <w:rPr>
                <w:sz w:val="20"/>
                <w:szCs w:val="20"/>
                <w:color w:val="auto"/>
              </w:rPr>
            </w:pPr>
            <w:r>
              <w:rPr>
                <w:rFonts w:ascii="Arial" w:cs="Arial" w:eastAsia="Arial" w:hAnsi="Arial"/>
                <w:sz w:val="15"/>
                <w:szCs w:val="15"/>
                <w:color w:val="auto"/>
              </w:rPr>
              <w:t>Current portion of operating lease liabilities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11,312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Current portion of income tax payable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2,416</w:t>
            </w:r>
          </w:p>
        </w:tc>
        <w:tc>
          <w:tcPr>
            <w:tcW w:w="0" w:type="dxa"/>
            <w:vAlign w:val="bottom"/>
          </w:tcPr>
          <w:p>
            <w:pPr>
              <w:spacing w:after="0"/>
              <w:rPr>
                <w:sz w:val="1"/>
                <w:szCs w:val="1"/>
                <w:color w:val="auto"/>
              </w:rPr>
            </w:pPr>
          </w:p>
        </w:tc>
      </w:tr>
      <w:tr>
        <w:trPr>
          <w:trHeight w:val="203"/>
        </w:trPr>
        <w:tc>
          <w:tcPr>
            <w:tcW w:w="8300" w:type="dxa"/>
            <w:vAlign w:val="bottom"/>
          </w:tcPr>
          <w:p>
            <w:pPr>
              <w:ind w:left="440"/>
              <w:spacing w:after="0"/>
              <w:rPr>
                <w:sz w:val="20"/>
                <w:szCs w:val="20"/>
                <w:color w:val="auto"/>
              </w:rPr>
            </w:pPr>
            <w:r>
              <w:rPr>
                <w:rFonts w:ascii="Arial" w:cs="Arial" w:eastAsia="Arial" w:hAnsi="Arial"/>
                <w:sz w:val="15"/>
                <w:szCs w:val="15"/>
                <w:color w:val="auto"/>
              </w:rPr>
              <w:t>Deferred revenue</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3,350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4,095</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rent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108,954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135,941</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Noncurrent liabilities: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440"/>
              <w:spacing w:after="0"/>
              <w:rPr>
                <w:sz w:val="20"/>
                <w:szCs w:val="20"/>
                <w:color w:val="auto"/>
              </w:rPr>
            </w:pPr>
            <w:r>
              <w:rPr>
                <w:rFonts w:ascii="Arial" w:cs="Arial" w:eastAsia="Arial" w:hAnsi="Arial"/>
                <w:sz w:val="15"/>
                <w:szCs w:val="15"/>
                <w:color w:val="auto"/>
              </w:rPr>
              <w:t>Income tax payable</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2,886</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Long-term debt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265,818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187,240</w:t>
            </w:r>
          </w:p>
        </w:tc>
        <w:tc>
          <w:tcPr>
            <w:tcW w:w="0" w:type="dxa"/>
            <w:vAlign w:val="bottom"/>
          </w:tcPr>
          <w:p>
            <w:pPr>
              <w:spacing w:after="0"/>
              <w:rPr>
                <w:sz w:val="1"/>
                <w:szCs w:val="1"/>
                <w:color w:val="auto"/>
              </w:rPr>
            </w:pPr>
          </w:p>
        </w:tc>
      </w:tr>
      <w:tr>
        <w:trPr>
          <w:trHeight w:val="203"/>
        </w:trPr>
        <w:tc>
          <w:tcPr>
            <w:tcW w:w="8300" w:type="dxa"/>
            <w:vAlign w:val="bottom"/>
          </w:tcPr>
          <w:p>
            <w:pPr>
              <w:ind w:left="440"/>
              <w:spacing w:after="0"/>
              <w:rPr>
                <w:sz w:val="20"/>
                <w:szCs w:val="20"/>
                <w:color w:val="auto"/>
              </w:rPr>
            </w:pPr>
            <w:r>
              <w:rPr>
                <w:rFonts w:ascii="Arial" w:cs="Arial" w:eastAsia="Arial" w:hAnsi="Arial"/>
                <w:sz w:val="15"/>
                <w:szCs w:val="15"/>
                <w:color w:val="auto"/>
              </w:rPr>
              <w:t>Operating lease liabilities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29,192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rent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2,749</w:t>
            </w:r>
          </w:p>
        </w:tc>
        <w:tc>
          <w:tcPr>
            <w:tcW w:w="0" w:type="dxa"/>
            <w:vAlign w:val="bottom"/>
          </w:tcPr>
          <w:p>
            <w:pPr>
              <w:spacing w:after="0"/>
              <w:rPr>
                <w:sz w:val="1"/>
                <w:szCs w:val="1"/>
                <w:color w:val="auto"/>
              </w:rPr>
            </w:pPr>
          </w:p>
        </w:tc>
      </w:tr>
      <w:tr>
        <w:trPr>
          <w:trHeight w:val="203"/>
        </w:trPr>
        <w:tc>
          <w:tcPr>
            <w:tcW w:w="8300" w:type="dxa"/>
            <w:vAlign w:val="bottom"/>
          </w:tcPr>
          <w:p>
            <w:pPr>
              <w:ind w:left="440"/>
              <w:spacing w:after="0"/>
              <w:rPr>
                <w:sz w:val="20"/>
                <w:szCs w:val="20"/>
                <w:color w:val="auto"/>
              </w:rPr>
            </w:pPr>
            <w:r>
              <w:rPr>
                <w:rFonts w:ascii="Arial" w:cs="Arial" w:eastAsia="Arial" w:hAnsi="Arial"/>
                <w:sz w:val="15"/>
                <w:szCs w:val="15"/>
                <w:color w:val="auto"/>
              </w:rPr>
              <w:t>Accrued payroll and employee-related liabilities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1,813</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tax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40,235</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Other noncurrent liabilities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noncurrent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343,532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234,923</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820"/>
              <w:spacing w:after="0"/>
              <w:rPr>
                <w:sz w:val="20"/>
                <w:szCs w:val="20"/>
                <w:color w:val="auto"/>
              </w:rPr>
            </w:pPr>
            <w:r>
              <w:rPr>
                <w:rFonts w:ascii="Arial" w:cs="Arial" w:eastAsia="Arial" w:hAnsi="Arial"/>
                <w:sz w:val="15"/>
                <w:szCs w:val="15"/>
                <w:color w:val="auto"/>
              </w:rPr>
              <w:t>Total liabilities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452,486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370,864</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 (See Note 10)</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5"/>
                <w:szCs w:val="15"/>
                <w:color w:val="auto"/>
              </w:rPr>
              <w:t>Shareholders’ equity:</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w w:val="93"/>
              </w:rPr>
              <w:t>Class A common stock, $0.01 par value. Authorized 2,500,000,000; 28,811,232 and 27,431,264 shares issued and outstanding as</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of September 30, 2022 and December 31, 2021, respectively</w:t>
            </w:r>
          </w:p>
        </w:tc>
        <w:tc>
          <w:tcPr>
            <w:tcW w:w="1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0" w:lineRule="exact"/>
              <w:rPr>
                <w:sz w:val="20"/>
                <w:szCs w:val="20"/>
                <w:color w:val="auto"/>
              </w:rPr>
            </w:pPr>
            <w:r>
              <w:rPr>
                <w:rFonts w:ascii="Arial" w:cs="Arial" w:eastAsia="Arial" w:hAnsi="Arial"/>
                <w:sz w:val="15"/>
                <w:szCs w:val="15"/>
                <w:color w:val="auto"/>
              </w:rPr>
              <w:t>Class B convertible common stock, $0.01 par value. Authorized 250,000,000; 70,032,694 and 70,032,694 shares issued</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700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199"/>
        </w:trPr>
        <w:tc>
          <w:tcPr>
            <w:tcW w:w="8300" w:type="dxa"/>
            <w:vAlign w:val="bottom"/>
          </w:tcPr>
          <w:p>
            <w:pPr>
              <w:ind w:left="380"/>
              <w:spacing w:after="0"/>
              <w:rPr>
                <w:sz w:val="20"/>
                <w:szCs w:val="20"/>
                <w:color w:val="auto"/>
              </w:rPr>
            </w:pPr>
            <w:r>
              <w:rPr>
                <w:rFonts w:ascii="Arial" w:cs="Arial" w:eastAsia="Arial" w:hAnsi="Arial"/>
                <w:sz w:val="15"/>
                <w:szCs w:val="15"/>
                <w:color w:val="auto"/>
              </w:rPr>
              <w:t>and outstanding as of September 30, 2022 and December 31, 2021, respectively</w:t>
            </w: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Additional paid-in capital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556,418</w:t>
            </w: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Accumulated deficit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(151,416)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(176,096)</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(2,163)</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Treasury Stock</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820"/>
              <w:spacing w:after="0"/>
              <w:rPr>
                <w:sz w:val="20"/>
                <w:szCs w:val="20"/>
                <w:color w:val="auto"/>
              </w:rPr>
            </w:pPr>
            <w:r>
              <w:rPr>
                <w:rFonts w:ascii="Arial" w:cs="Arial" w:eastAsia="Arial" w:hAnsi="Arial"/>
                <w:sz w:val="15"/>
                <w:szCs w:val="15"/>
                <w:color w:val="auto"/>
              </w:rPr>
              <w:t>Total shareholders’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434,927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379,134</w:t>
            </w:r>
          </w:p>
        </w:tc>
        <w:tc>
          <w:tcPr>
            <w:tcW w:w="0" w:type="dxa"/>
            <w:vAlign w:val="bottom"/>
          </w:tcPr>
          <w:p>
            <w:pPr>
              <w:spacing w:after="0"/>
              <w:rPr>
                <w:sz w:val="1"/>
                <w:szCs w:val="1"/>
                <w:color w:val="auto"/>
              </w:rPr>
            </w:pPr>
          </w:p>
        </w:tc>
      </w:tr>
      <w:tr>
        <w:trPr>
          <w:trHeight w:val="196"/>
        </w:trPr>
        <w:tc>
          <w:tcPr>
            <w:tcW w:w="8300" w:type="dxa"/>
            <w:vAlign w:val="bottom"/>
          </w:tcPr>
          <w:p>
            <w:pPr>
              <w:ind w:left="1020"/>
              <w:spacing w:after="0"/>
              <w:rPr>
                <w:sz w:val="20"/>
                <w:szCs w:val="20"/>
                <w:color w:val="auto"/>
              </w:rPr>
            </w:pPr>
            <w:r>
              <w:rPr>
                <w:rFonts w:ascii="Arial" w:cs="Arial" w:eastAsia="Arial" w:hAnsi="Arial"/>
                <w:sz w:val="15"/>
                <w:szCs w:val="15"/>
                <w:color w:val="auto"/>
              </w:rPr>
              <w:t>Total liabilities and shareholders’ equity</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887,413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749,998</w:t>
            </w: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5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revenue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232,130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718,269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533,946</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Cost of services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134,544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419,364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304,251</w:t>
            </w: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62,348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60,342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195,514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269,650</w:t>
            </w: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20,354</w:t>
            </w: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4,711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14,765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14,135</w:t>
            </w: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(gain) on disposal of assets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r>
      <w:tr>
        <w:trPr>
          <w:trHeight w:val="196"/>
        </w:trPr>
        <w:tc>
          <w:tcPr>
            <w:tcW w:w="5260" w:type="dxa"/>
            <w:vAlign w:val="bottom"/>
          </w:tcPr>
          <w:p>
            <w:pPr>
              <w:ind w:left="440"/>
              <w:spacing w:after="0"/>
              <w:rPr>
                <w:sz w:val="20"/>
                <w:szCs w:val="20"/>
                <w:color w:val="auto"/>
              </w:rPr>
            </w:pPr>
            <w:r>
              <w:rPr>
                <w:rFonts w:ascii="Arial" w:cs="Arial" w:eastAsia="Arial" w:hAnsi="Arial"/>
                <w:sz w:val="15"/>
                <w:szCs w:val="15"/>
                <w:color w:val="auto"/>
              </w:rPr>
              <w:t>Total operating expenses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211,399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184,924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657,611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608,444</w:t>
            </w:r>
          </w:p>
        </w:tc>
      </w:tr>
      <w:tr>
        <w:trPr>
          <w:trHeight w:val="209"/>
        </w:trPr>
        <w:tc>
          <w:tcPr>
            <w:tcW w:w="5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Operating income (loss)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(74,498)</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Other expense</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7,612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16,042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299</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4,808</w:t>
            </w:r>
          </w:p>
        </w:tc>
      </w:tr>
      <w:tr>
        <w:trPr>
          <w:trHeight w:val="196"/>
        </w:trPr>
        <w:tc>
          <w:tcPr>
            <w:tcW w:w="5260" w:type="dxa"/>
            <w:vAlign w:val="bottom"/>
          </w:tcPr>
          <w:p>
            <w:pPr>
              <w:ind w:left="220"/>
              <w:spacing w:after="0"/>
              <w:rPr>
                <w:sz w:val="20"/>
                <w:szCs w:val="20"/>
                <w:color w:val="auto"/>
              </w:rPr>
            </w:pPr>
            <w:r>
              <w:rPr>
                <w:rFonts w:ascii="Arial" w:cs="Arial" w:eastAsia="Arial" w:hAnsi="Arial"/>
                <w:sz w:val="15"/>
                <w:szCs w:val="15"/>
                <w:color w:val="auto"/>
              </w:rPr>
              <w:t>Income (loss) before income taxes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9,260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13,292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36,951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(79,605)</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(1,805)</w:t>
            </w:r>
          </w:p>
        </w:tc>
      </w:tr>
      <w:tr>
        <w:trPr>
          <w:trHeight w:val="196"/>
        </w:trPr>
        <w:tc>
          <w:tcPr>
            <w:tcW w:w="5260" w:type="dxa"/>
            <w:vAlign w:val="bottom"/>
          </w:tcPr>
          <w:p>
            <w:pPr>
              <w:ind w:left="220"/>
              <w:spacing w:after="0"/>
              <w:rPr>
                <w:sz w:val="20"/>
                <w:szCs w:val="20"/>
                <w:color w:val="auto"/>
              </w:rPr>
            </w:pPr>
            <w:r>
              <w:rPr>
                <w:rFonts w:ascii="Arial" w:cs="Arial" w:eastAsia="Arial" w:hAnsi="Arial"/>
                <w:sz w:val="15"/>
                <w:szCs w:val="15"/>
                <w:color w:val="auto"/>
              </w:rPr>
              <w:t>Net income (loss)</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24,680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(77,800)</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5"/>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per common share:</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Basic</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0.05</w:t>
            </w:r>
          </w:p>
        </w:tc>
        <w:tc>
          <w:tcPr>
            <w:tcW w:w="1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0.12</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(0.83)</w:t>
            </w: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Diluted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(0.83)</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Weighted-average number of common shares outstanding:</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Basic</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98,299,612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97,290,174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97,854,944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93,994,896</w:t>
            </w:r>
          </w:p>
        </w:tc>
      </w:tr>
      <w:tr>
        <w:trPr>
          <w:trHeight w:val="201"/>
        </w:trPr>
        <w:tc>
          <w:tcPr>
            <w:tcW w:w="5260" w:type="dxa"/>
            <w:vAlign w:val="bottom"/>
          </w:tcPr>
          <w:p>
            <w:pPr>
              <w:ind w:left="220"/>
              <w:spacing w:after="0"/>
              <w:rPr>
                <w:sz w:val="20"/>
                <w:szCs w:val="20"/>
                <w:color w:val="auto"/>
              </w:rPr>
            </w:pPr>
            <w:r>
              <w:rPr>
                <w:rFonts w:ascii="Arial" w:cs="Arial" w:eastAsia="Arial" w:hAnsi="Arial"/>
                <w:sz w:val="15"/>
                <w:szCs w:val="15"/>
                <w:color w:val="auto"/>
              </w:rPr>
              <w:t>Diluted</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101,920,413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109,426,011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103,073,208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93,994,896</w:t>
            </w: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30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5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90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(77,800)</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Retirement benefit reserves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(5,296)</w:t>
            </w:r>
          </w:p>
        </w:tc>
      </w:tr>
      <w:tr>
        <w:trPr>
          <w:trHeight w:val="196"/>
        </w:trPr>
        <w:tc>
          <w:tcPr>
            <w:tcW w:w="5260" w:type="dxa"/>
            <w:vAlign w:val="bottom"/>
          </w:tcPr>
          <w:p>
            <w:pPr>
              <w:ind w:left="220"/>
              <w:spacing w:after="0"/>
              <w:rPr>
                <w:sz w:val="20"/>
                <w:szCs w:val="20"/>
                <w:color w:val="auto"/>
              </w:rPr>
            </w:pPr>
            <w:r>
              <w:rPr>
                <w:rFonts w:ascii="Arial" w:cs="Arial" w:eastAsia="Arial" w:hAnsi="Arial"/>
                <w:sz w:val="15"/>
                <w:szCs w:val="15"/>
                <w:color w:val="auto"/>
              </w:rPr>
              <w:t>Comprehensive income (loss)</w:t>
            </w:r>
          </w:p>
        </w:tc>
        <w:tc>
          <w:tcPr>
            <w:tcW w:w="90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9,255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(83,067)</w:t>
            </w:r>
          </w:p>
        </w:tc>
      </w:tr>
      <w:tr>
        <w:trPr>
          <w:trHeight w:val="21"/>
        </w:trPr>
        <w:tc>
          <w:tcPr>
            <w:tcW w:w="5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3920" w:type="dxa"/>
            <w:vAlign w:val="bottom"/>
            <w:gridSpan w:val="13"/>
          </w:tcPr>
          <w:p>
            <w:pPr>
              <w:ind w:left="640"/>
              <w:spacing w:after="0"/>
              <w:rPr>
                <w:sz w:val="20"/>
                <w:szCs w:val="20"/>
                <w:color w:val="auto"/>
              </w:rPr>
            </w:pPr>
            <w:r>
              <w:rPr>
                <w:rFonts w:ascii="Arial" w:cs="Arial" w:eastAsia="Arial" w:hAnsi="Arial"/>
                <w:sz w:val="14"/>
                <w:szCs w:val="14"/>
                <w:b w:val="1"/>
                <w:bCs w:val="1"/>
                <w:color w:val="auto"/>
              </w:rPr>
              <w:t>Capital stock and additional paid-in capital</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5"/>
            <w:vMerge w:val="restart"/>
          </w:tcPr>
          <w:p>
            <w:pPr>
              <w:ind w:left="120"/>
              <w:spacing w:after="0" w:line="138" w:lineRule="exact"/>
              <w:rPr>
                <w:sz w:val="20"/>
                <w:szCs w:val="20"/>
                <w:color w:val="auto"/>
              </w:rPr>
            </w:pPr>
            <w:r>
              <w:rPr>
                <w:rFonts w:ascii="Arial" w:cs="Arial" w:eastAsia="Arial" w:hAnsi="Arial"/>
                <w:sz w:val="14"/>
                <w:szCs w:val="14"/>
                <w:b w:val="1"/>
                <w:bCs w:val="1"/>
                <w:color w:val="auto"/>
              </w:rPr>
              <w:t>Class B convertible</w:t>
            </w: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360" w:type="dxa"/>
            <w:vAlign w:val="bottom"/>
          </w:tcPr>
          <w:p>
            <w:pPr>
              <w:spacing w:after="0"/>
              <w:rPr>
                <w:sz w:val="6"/>
                <w:szCs w:val="6"/>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5"/>
              </w:rPr>
              <w:t>Class A common stock</w:t>
            </w:r>
          </w:p>
        </w:tc>
        <w:tc>
          <w:tcPr>
            <w:tcW w:w="80" w:type="dxa"/>
            <w:vAlign w:val="bottom"/>
            <w:vMerge w:val="restart"/>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2"/>
            <w:vMerge w:val="restart"/>
          </w:tcPr>
          <w:p>
            <w:pPr>
              <w:jc w:val="center"/>
              <w:ind w:right="160"/>
              <w:spacing w:after="0" w:line="139" w:lineRule="exact"/>
              <w:rPr>
                <w:sz w:val="20"/>
                <w:szCs w:val="20"/>
                <w:color w:val="auto"/>
              </w:rPr>
            </w:pPr>
            <w:r>
              <w:rPr>
                <w:rFonts w:ascii="Arial" w:cs="Arial" w:eastAsia="Arial" w:hAnsi="Arial"/>
                <w:sz w:val="14"/>
                <w:szCs w:val="14"/>
                <w:b w:val="1"/>
                <w:bCs w:val="1"/>
                <w:color w:val="auto"/>
                <w:w w:val="85"/>
              </w:rPr>
              <w:t>other</w:t>
            </w:r>
          </w:p>
        </w:tc>
        <w:tc>
          <w:tcPr>
            <w:tcW w:w="180" w:type="dxa"/>
            <w:vAlign w:val="bottom"/>
          </w:tcPr>
          <w:p>
            <w:pPr>
              <w:spacing w:after="0"/>
              <w:rPr>
                <w:sz w:val="6"/>
                <w:szCs w:val="6"/>
                <w:color w:val="auto"/>
              </w:rPr>
            </w:pPr>
          </w:p>
        </w:tc>
        <w:tc>
          <w:tcPr>
            <w:tcW w:w="740" w:type="dxa"/>
            <w:vAlign w:val="bottom"/>
            <w:vMerge w:val="restart"/>
          </w:tcPr>
          <w:p>
            <w:pPr>
              <w:jc w:val="center"/>
              <w:ind w:right="13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3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91"/>
              </w:rPr>
              <w:t>paid-in</w:t>
            </w:r>
          </w:p>
        </w:tc>
        <w:tc>
          <w:tcPr>
            <w:tcW w:w="1020" w:type="dxa"/>
            <w:vAlign w:val="bottom"/>
            <w:gridSpan w:val="3"/>
          </w:tcPr>
          <w:p>
            <w:pPr>
              <w:jc w:val="center"/>
              <w:ind w:right="80"/>
              <w:spacing w:after="0" w:line="122" w:lineRule="exact"/>
              <w:rPr>
                <w:sz w:val="20"/>
                <w:szCs w:val="20"/>
                <w:color w:val="auto"/>
              </w:rPr>
            </w:pPr>
            <w:r>
              <w:rPr>
                <w:rFonts w:ascii="Arial" w:cs="Arial" w:eastAsia="Arial" w:hAnsi="Arial"/>
                <w:sz w:val="14"/>
                <w:szCs w:val="14"/>
                <w:b w:val="1"/>
                <w:bCs w:val="1"/>
                <w:color w:val="auto"/>
                <w:w w:val="88"/>
              </w:rPr>
              <w:t>Accumulated</w:t>
            </w:r>
          </w:p>
        </w:tc>
        <w:tc>
          <w:tcPr>
            <w:tcW w:w="100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w w:val="93"/>
              </w:rPr>
              <w:t>comprehensive</w:t>
            </w:r>
          </w:p>
        </w:tc>
        <w:tc>
          <w:tcPr>
            <w:tcW w:w="92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deficit</w:t>
            </w:r>
          </w:p>
        </w:tc>
        <w:tc>
          <w:tcPr>
            <w:tcW w:w="6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80" w:type="dxa"/>
            <w:vAlign w:val="bottom"/>
          </w:tcPr>
          <w:p>
            <w:pPr>
              <w:spacing w:after="0"/>
              <w:rPr>
                <w:sz w:val="15"/>
                <w:szCs w:val="15"/>
                <w:color w:val="auto"/>
              </w:rPr>
            </w:pPr>
          </w:p>
        </w:tc>
        <w:tc>
          <w:tcPr>
            <w:tcW w:w="740" w:type="dxa"/>
            <w:vAlign w:val="bottom"/>
          </w:tcPr>
          <w:p>
            <w:pPr>
              <w:jc w:val="center"/>
              <w:ind w:right="111"/>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92"/>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December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91,737,020</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917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398,202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(67,398)</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335,137</w:t>
            </w:r>
          </w:p>
        </w:tc>
        <w:tc>
          <w:tcPr>
            <w:tcW w:w="0" w:type="dxa"/>
            <w:vAlign w:val="bottom"/>
          </w:tcPr>
          <w:p>
            <w:pPr>
              <w:spacing w:after="0"/>
              <w:rPr>
                <w:sz w:val="1"/>
                <w:szCs w:val="1"/>
                <w:color w:val="auto"/>
              </w:rPr>
            </w:pPr>
          </w:p>
        </w:tc>
      </w:tr>
      <w:tr>
        <w:trPr>
          <w:trHeight w:val="184"/>
        </w:trPr>
        <w:tc>
          <w:tcPr>
            <w:tcW w:w="436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16,507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16,507</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77"/>
        </w:trPr>
        <w:tc>
          <w:tcPr>
            <w:tcW w:w="4360" w:type="dxa"/>
            <w:vAlign w:val="bottom"/>
          </w:tcPr>
          <w:p>
            <w:pPr>
              <w:spacing w:after="0" w:line="155" w:lineRule="exact"/>
              <w:rPr>
                <w:sz w:val="20"/>
                <w:szCs w:val="20"/>
                <w:color w:val="auto"/>
              </w:rPr>
            </w:pPr>
            <w:r>
              <w:rPr>
                <w:rFonts w:ascii="Arial" w:cs="Arial" w:eastAsia="Arial" w:hAnsi="Arial"/>
                <w:sz w:val="14"/>
                <w:szCs w:val="14"/>
                <w:color w:val="auto"/>
              </w:rPr>
              <w:t>Balance as of March 31, 2021</w:t>
            </w:r>
          </w:p>
        </w:tc>
        <w:tc>
          <w:tcPr>
            <w:tcW w:w="74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91,737,020</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917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398,202</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(50,891)</w:t>
            </w: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2,561</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350,789</w:t>
            </w:r>
          </w:p>
        </w:tc>
        <w:tc>
          <w:tcPr>
            <w:tcW w:w="0" w:type="dxa"/>
            <w:vAlign w:val="bottom"/>
          </w:tcPr>
          <w:p>
            <w:pPr>
              <w:spacing w:after="0"/>
              <w:rPr>
                <w:sz w:val="1"/>
                <w:szCs w:val="1"/>
                <w:color w:val="auto"/>
              </w:rPr>
            </w:pPr>
          </w:p>
        </w:tc>
      </w:tr>
      <w:tr>
        <w:trPr>
          <w:trHeight w:val="146"/>
        </w:trPr>
        <w:tc>
          <w:tcPr>
            <w:tcW w:w="43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Issuance of Class A common stock in the initial public offering, net of</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5,553,154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115,844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115,900</w:t>
            </w: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underwriters' fees and offering costs</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20"/>
                <w:szCs w:val="20"/>
                <w:color w:val="auto"/>
              </w:rPr>
            </w:pPr>
            <w:r>
              <w:rPr>
                <w:rFonts w:ascii="Arial" w:cs="Arial" w:eastAsia="Arial" w:hAnsi="Arial"/>
                <w:sz w:val="14"/>
                <w:szCs w:val="14"/>
                <w:color w:val="auto"/>
              </w:rPr>
              <w:t>Conversion of Class B convertible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9,626,846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4"/>
              </w:rPr>
              <w:t>(9,626,846)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6"/>
              </w:rPr>
              <w:t>(96)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0" w:type="dxa"/>
            <w:vAlign w:val="bottom"/>
          </w:tcPr>
          <w:p>
            <w:pPr>
              <w:spacing w:after="0"/>
              <w:rPr>
                <w:sz w:val="1"/>
                <w:szCs w:val="1"/>
                <w:color w:val="auto"/>
              </w:rPr>
            </w:pPr>
          </w:p>
        </w:tc>
      </w:tr>
      <w:tr>
        <w:trPr>
          <w:trHeight w:val="184"/>
        </w:trPr>
        <w:tc>
          <w:tcPr>
            <w:tcW w:w="4360" w:type="dxa"/>
            <w:vAlign w:val="bottom"/>
          </w:tcPr>
          <w:p>
            <w:pPr>
              <w:spacing w:after="0"/>
              <w:rPr>
                <w:sz w:val="20"/>
                <w:szCs w:val="20"/>
                <w:color w:val="auto"/>
              </w:rPr>
            </w:pPr>
            <w:r>
              <w:rPr>
                <w:rFonts w:ascii="Arial" w:cs="Arial" w:eastAsia="Arial" w:hAnsi="Arial"/>
                <w:sz w:val="14"/>
                <w:szCs w:val="14"/>
                <w:color w:val="auto"/>
              </w:rPr>
              <w:t>Distribution of dividends ($0.55 per share)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(105,943)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(105,943)</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93"/>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June 30,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15,180,000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82,110,174</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821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519,817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(206,834)</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316,025</w:t>
            </w:r>
          </w:p>
        </w:tc>
        <w:tc>
          <w:tcPr>
            <w:tcW w:w="0" w:type="dxa"/>
            <w:vAlign w:val="bottom"/>
          </w:tcPr>
          <w:p>
            <w:pPr>
              <w:spacing w:after="0"/>
              <w:rPr>
                <w:sz w:val="1"/>
                <w:szCs w:val="1"/>
                <w:color w:val="auto"/>
              </w:rPr>
            </w:pPr>
          </w:p>
        </w:tc>
      </w:tr>
      <w:tr>
        <w:trPr>
          <w:trHeight w:val="184"/>
        </w:trPr>
        <w:tc>
          <w:tcPr>
            <w:tcW w:w="43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11,636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11,636</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September 30, 2021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15,180,000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82,110,174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821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539,060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342,984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380" w:type="dxa"/>
            <w:vAlign w:val="bottom"/>
          </w:tcPr>
          <w:p>
            <w:pPr>
              <w:spacing w:after="0"/>
              <w:rPr>
                <w:sz w:val="15"/>
                <w:szCs w:val="15"/>
                <w:color w:val="auto"/>
              </w:rPr>
            </w:pPr>
          </w:p>
        </w:tc>
        <w:tc>
          <w:tcPr>
            <w:tcW w:w="3900" w:type="dxa"/>
            <w:vAlign w:val="bottom"/>
            <w:gridSpan w:val="13"/>
          </w:tcPr>
          <w:p>
            <w:pPr>
              <w:ind w:left="620"/>
              <w:spacing w:after="0"/>
              <w:rPr>
                <w:sz w:val="20"/>
                <w:szCs w:val="20"/>
                <w:color w:val="auto"/>
              </w:rPr>
            </w:pPr>
            <w:r>
              <w:rPr>
                <w:rFonts w:ascii="Arial" w:cs="Arial" w:eastAsia="Arial" w:hAnsi="Arial"/>
                <w:sz w:val="14"/>
                <w:szCs w:val="14"/>
                <w:b w:val="1"/>
                <w:bCs w:val="1"/>
                <w:color w:val="auto"/>
              </w:rPr>
              <w:t>Capital stock and additional paid-in capital</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ind w:left="100"/>
              <w:spacing w:after="0" w:line="138" w:lineRule="exact"/>
              <w:rPr>
                <w:sz w:val="20"/>
                <w:szCs w:val="20"/>
                <w:color w:val="auto"/>
              </w:rPr>
            </w:pPr>
            <w:r>
              <w:rPr>
                <w:rFonts w:ascii="Arial" w:cs="Arial" w:eastAsia="Arial" w:hAnsi="Arial"/>
                <w:sz w:val="14"/>
                <w:szCs w:val="14"/>
                <w:b w:val="1"/>
                <w:bCs w:val="1"/>
                <w:color w:val="auto"/>
              </w:rPr>
              <w:t>Class B convertible</w:t>
            </w: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3380" w:type="dxa"/>
            <w:vAlign w:val="bottom"/>
          </w:tcPr>
          <w:p>
            <w:pPr>
              <w:spacing w:after="0"/>
              <w:rPr>
                <w:sz w:val="6"/>
                <w:szCs w:val="6"/>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5"/>
              </w:rPr>
              <w:t>Class A common stock</w:t>
            </w:r>
          </w:p>
        </w:tc>
        <w:tc>
          <w:tcPr>
            <w:tcW w:w="80" w:type="dxa"/>
            <w:vAlign w:val="bottom"/>
            <w:vMerge w:val="restart"/>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1"/>
              </w:rPr>
              <w:t>other</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Treasury stock</w:t>
            </w:r>
          </w:p>
        </w:tc>
        <w:tc>
          <w:tcPr>
            <w:tcW w:w="180" w:type="dxa"/>
            <w:vAlign w:val="bottom"/>
          </w:tcPr>
          <w:p>
            <w:pPr>
              <w:spacing w:after="0"/>
              <w:rPr>
                <w:sz w:val="6"/>
                <w:szCs w:val="6"/>
                <w:color w:val="auto"/>
              </w:rPr>
            </w:pPr>
          </w:p>
        </w:tc>
        <w:tc>
          <w:tcPr>
            <w:tcW w:w="740" w:type="dxa"/>
            <w:vAlign w:val="bottom"/>
            <w:vMerge w:val="restart"/>
          </w:tcPr>
          <w:p>
            <w:pPr>
              <w:jc w:val="center"/>
              <w:ind w:right="13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1"/>
        </w:trPr>
        <w:tc>
          <w:tcPr>
            <w:tcW w:w="33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13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91"/>
              </w:rPr>
              <w:t>paid-in</w:t>
            </w: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4"/>
                <w:szCs w:val="14"/>
                <w:b w:val="1"/>
                <w:bCs w:val="1"/>
                <w:color w:val="auto"/>
                <w:w w:val="88"/>
              </w:rPr>
              <w:t>Accumulated</w:t>
            </w:r>
          </w:p>
        </w:tc>
        <w:tc>
          <w:tcPr>
            <w:tcW w:w="102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w w:val="95"/>
              </w:rPr>
              <w:t>comprehensive</w:t>
            </w:r>
          </w:p>
        </w:tc>
        <w:tc>
          <w:tcPr>
            <w:tcW w:w="1000" w:type="dxa"/>
            <w:vAlign w:val="bottom"/>
            <w:gridSpan w:val="3"/>
            <w:vMerge w:val="continue"/>
          </w:tcPr>
          <w:p>
            <w:pPr>
              <w:spacing w:after="0"/>
              <w:rPr>
                <w:sz w:val="11"/>
                <w:szCs w:val="11"/>
                <w:color w:val="auto"/>
              </w:rPr>
            </w:pPr>
          </w:p>
        </w:tc>
        <w:tc>
          <w:tcPr>
            <w:tcW w:w="92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deficit</w:t>
            </w:r>
          </w:p>
        </w:tc>
        <w:tc>
          <w:tcPr>
            <w:tcW w:w="2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740" w:type="dxa"/>
            <w:vAlign w:val="bottom"/>
          </w:tcPr>
          <w:p>
            <w:pPr>
              <w:jc w:val="center"/>
              <w:ind w:right="111"/>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92"/>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December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27,431,264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275</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70,032,694</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700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556,418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(176,096)</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379,134</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20"/>
                <w:szCs w:val="20"/>
                <w:color w:val="auto"/>
              </w:rPr>
            </w:pPr>
            <w:r>
              <w:rPr>
                <w:rFonts w:ascii="Arial" w:cs="Arial" w:eastAsia="Arial" w:hAnsi="Arial"/>
                <w:sz w:val="14"/>
                <w:szCs w:val="14"/>
                <w:color w:val="auto"/>
              </w:rPr>
              <w:t>Issuance of common stock for settlement of RSUs</w:t>
            </w:r>
          </w:p>
        </w:tc>
        <w:tc>
          <w:tcPr>
            <w:tcW w:w="720" w:type="dxa"/>
            <w:vAlign w:val="bottom"/>
          </w:tcPr>
          <w:p>
            <w:pPr>
              <w:jc w:val="right"/>
              <w:spacing w:after="0"/>
              <w:rPr>
                <w:sz w:val="20"/>
                <w:szCs w:val="20"/>
                <w:color w:val="auto"/>
              </w:rPr>
            </w:pPr>
            <w:r>
              <w:rPr>
                <w:rFonts w:ascii="Arial" w:cs="Arial" w:eastAsia="Arial" w:hAnsi="Arial"/>
                <w:sz w:val="14"/>
                <w:szCs w:val="14"/>
                <w:color w:val="auto"/>
              </w:rPr>
              <w:t>137,794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Shares withheld related to net share settlement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19,605</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11,586</w:t>
            </w:r>
          </w:p>
        </w:tc>
        <w:tc>
          <w:tcPr>
            <w:tcW w:w="0" w:type="dxa"/>
            <w:vAlign w:val="bottom"/>
          </w:tcPr>
          <w:p>
            <w:pPr>
              <w:spacing w:after="0"/>
              <w:rPr>
                <w:sz w:val="1"/>
                <w:szCs w:val="1"/>
                <w:color w:val="auto"/>
              </w:rPr>
            </w:pPr>
          </w:p>
        </w:tc>
      </w:tr>
      <w:tr>
        <w:trPr>
          <w:trHeight w:val="186"/>
        </w:trPr>
        <w:tc>
          <w:tcPr>
            <w:tcW w:w="33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(1,756)</w:t>
            </w:r>
          </w:p>
        </w:tc>
        <w:tc>
          <w:tcPr>
            <w:tcW w:w="0" w:type="dxa"/>
            <w:vAlign w:val="bottom"/>
          </w:tcPr>
          <w:p>
            <w:pPr>
              <w:spacing w:after="0"/>
              <w:rPr>
                <w:sz w:val="1"/>
                <w:szCs w:val="1"/>
                <w:color w:val="auto"/>
              </w:rPr>
            </w:pPr>
          </w:p>
        </w:tc>
      </w:tr>
      <w:tr>
        <w:trPr>
          <w:trHeight w:val="193"/>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March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27,523,669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275</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70,032,694</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700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574,554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(164,510)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407,100</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20"/>
                <w:szCs w:val="20"/>
                <w:color w:val="auto"/>
              </w:rPr>
            </w:pPr>
            <w:r>
              <w:rPr>
                <w:rFonts w:ascii="Arial" w:cs="Arial" w:eastAsia="Arial" w:hAnsi="Arial"/>
                <w:sz w:val="14"/>
                <w:szCs w:val="14"/>
                <w:color w:val="auto"/>
                <w:w w:val="93"/>
              </w:rPr>
              <w:t>Issuance of common stock for settlement of equity awards</w:t>
            </w:r>
          </w:p>
        </w:tc>
        <w:tc>
          <w:tcPr>
            <w:tcW w:w="720" w:type="dxa"/>
            <w:vAlign w:val="bottom"/>
          </w:tcPr>
          <w:p>
            <w:pPr>
              <w:jc w:val="right"/>
              <w:spacing w:after="0"/>
              <w:rPr>
                <w:sz w:val="20"/>
                <w:szCs w:val="20"/>
                <w:color w:val="auto"/>
              </w:rPr>
            </w:pPr>
            <w:r>
              <w:rPr>
                <w:rFonts w:ascii="Arial" w:cs="Arial" w:eastAsia="Arial" w:hAnsi="Arial"/>
                <w:sz w:val="14"/>
                <w:szCs w:val="14"/>
                <w:color w:val="auto"/>
              </w:rPr>
              <w:t>450,304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Shares withheld related to net share settlement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20"/>
                <w:szCs w:val="20"/>
                <w:color w:val="auto"/>
              </w:rPr>
            </w:pPr>
            <w:r>
              <w:rPr>
                <w:rFonts w:ascii="Arial" w:cs="Arial" w:eastAsia="Arial" w:hAnsi="Arial"/>
                <w:sz w:val="14"/>
                <w:szCs w:val="14"/>
                <w:color w:val="auto"/>
              </w:rPr>
              <w:t>Shares issued in acquisition of heloo</w:t>
            </w:r>
          </w:p>
        </w:tc>
        <w:tc>
          <w:tcPr>
            <w:tcW w:w="720" w:type="dxa"/>
            <w:vAlign w:val="bottom"/>
          </w:tcPr>
          <w:p>
            <w:pPr>
              <w:jc w:val="right"/>
              <w:spacing w:after="0"/>
              <w:rPr>
                <w:sz w:val="20"/>
                <w:szCs w:val="20"/>
                <w:color w:val="auto"/>
              </w:rPr>
            </w:pPr>
            <w:r>
              <w:rPr>
                <w:rFonts w:ascii="Arial" w:cs="Arial" w:eastAsia="Arial" w:hAnsi="Arial"/>
                <w:sz w:val="14"/>
                <w:szCs w:val="14"/>
                <w:color w:val="auto"/>
              </w:rPr>
              <w:t>200,103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7,196</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18,933</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20"/>
                <w:szCs w:val="20"/>
                <w:color w:val="auto"/>
              </w:rPr>
            </w:pPr>
            <w:r>
              <w:rPr>
                <w:rFonts w:ascii="Arial" w:cs="Arial" w:eastAsia="Arial" w:hAnsi="Arial"/>
                <w:sz w:val="14"/>
                <w:szCs w:val="14"/>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7,729</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(6,084)</w:t>
            </w:r>
          </w:p>
        </w:tc>
        <w:tc>
          <w:tcPr>
            <w:tcW w:w="0" w:type="dxa"/>
            <w:vAlign w:val="bottom"/>
          </w:tcPr>
          <w:p>
            <w:pPr>
              <w:spacing w:after="0"/>
              <w:rPr>
                <w:sz w:val="1"/>
                <w:szCs w:val="1"/>
                <w:color w:val="auto"/>
              </w:rPr>
            </w:pPr>
          </w:p>
        </w:tc>
      </w:tr>
      <w:tr>
        <w:trPr>
          <w:trHeight w:val="177"/>
        </w:trPr>
        <w:tc>
          <w:tcPr>
            <w:tcW w:w="3380" w:type="dxa"/>
            <w:vAlign w:val="bottom"/>
          </w:tcPr>
          <w:p>
            <w:pPr>
              <w:spacing w:after="0" w:line="155" w:lineRule="exact"/>
              <w:rPr>
                <w:sz w:val="20"/>
                <w:szCs w:val="20"/>
                <w:color w:val="auto"/>
              </w:rPr>
            </w:pPr>
            <w:r>
              <w:rPr>
                <w:rFonts w:ascii="Arial" w:cs="Arial" w:eastAsia="Arial" w:hAnsi="Arial"/>
                <w:sz w:val="14"/>
                <w:szCs w:val="14"/>
                <w:color w:val="auto"/>
              </w:rPr>
              <w:t>Balance as of June 30, 2022</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28,097,168</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70,032,694</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700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600,289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(156,781)</w:t>
            </w:r>
          </w:p>
        </w:tc>
        <w:tc>
          <w:tcPr>
            <w:tcW w:w="8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434,486</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w w:val="93"/>
              </w:rPr>
              <w:t>Issuance of common stock for settlement of equity awards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774,758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20"/>
                <w:szCs w:val="20"/>
                <w:color w:val="auto"/>
              </w:rPr>
            </w:pPr>
            <w:r>
              <w:rPr>
                <w:rFonts w:ascii="Arial" w:cs="Arial" w:eastAsia="Arial" w:hAnsi="Arial"/>
                <w:sz w:val="14"/>
                <w:szCs w:val="14"/>
                <w:color w:val="auto"/>
              </w:rPr>
              <w:t>Shares withheld related to net share settlement</w:t>
            </w:r>
          </w:p>
        </w:tc>
        <w:tc>
          <w:tcPr>
            <w:tcW w:w="720" w:type="dxa"/>
            <w:vAlign w:val="bottom"/>
          </w:tcPr>
          <w:p>
            <w:pPr>
              <w:jc w:val="right"/>
              <w:spacing w:after="0"/>
              <w:rPr>
                <w:sz w:val="20"/>
                <w:szCs w:val="20"/>
                <w:color w:val="auto"/>
              </w:rPr>
            </w:pPr>
            <w:r>
              <w:rPr>
                <w:rFonts w:ascii="Arial" w:cs="Arial" w:eastAsia="Arial" w:hAnsi="Arial"/>
                <w:sz w:val="14"/>
                <w:szCs w:val="14"/>
                <w:color w:val="auto"/>
              </w:rPr>
              <w:t>(60,694)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1"/>
              </w:rPr>
              <w:t>(13,702)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(13,702)</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16,226</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5,365</w:t>
            </w:r>
          </w:p>
        </w:tc>
        <w:tc>
          <w:tcPr>
            <w:tcW w:w="0" w:type="dxa"/>
            <w:vAlign w:val="bottom"/>
          </w:tcPr>
          <w:p>
            <w:pPr>
              <w:spacing w:after="0"/>
              <w:rPr>
                <w:sz w:val="1"/>
                <w:szCs w:val="1"/>
                <w:color w:val="auto"/>
              </w:rPr>
            </w:pPr>
          </w:p>
        </w:tc>
      </w:tr>
      <w:tr>
        <w:trPr>
          <w:trHeight w:val="186"/>
        </w:trPr>
        <w:tc>
          <w:tcPr>
            <w:tcW w:w="33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(7,585)</w:t>
            </w:r>
          </w:p>
        </w:tc>
        <w:tc>
          <w:tcPr>
            <w:tcW w:w="0" w:type="dxa"/>
            <w:vAlign w:val="bottom"/>
          </w:tcPr>
          <w:p>
            <w:pPr>
              <w:spacing w:after="0"/>
              <w:rPr>
                <w:sz w:val="1"/>
                <w:szCs w:val="1"/>
                <w:color w:val="auto"/>
              </w:rPr>
            </w:pPr>
          </w:p>
        </w:tc>
      </w:tr>
      <w:tr>
        <w:trPr>
          <w:trHeight w:val="211"/>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September 30, 2022</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28,811,232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70,032,694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700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616,645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1"/>
              </w:rPr>
              <w:t>(13,702)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434,927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4"/>
          </w:tcPr>
          <w:p>
            <w:pPr>
              <w:jc w:val="right"/>
              <w:ind w:right="40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9"/>
        </w:trPr>
        <w:tc>
          <w:tcPr>
            <w:tcW w:w="8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r>
      <w:tr>
        <w:trPr>
          <w:trHeight w:val="193"/>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8260" w:type="dxa"/>
            <w:vAlign w:val="bottom"/>
          </w:tcPr>
          <w:p>
            <w:pPr>
              <w:ind w:left="320"/>
              <w:spacing w:after="0"/>
              <w:rPr>
                <w:sz w:val="20"/>
                <w:szCs w:val="20"/>
                <w:color w:val="auto"/>
              </w:rPr>
            </w:pPr>
            <w:r>
              <w:rPr>
                <w:rFonts w:ascii="Arial" w:cs="Arial" w:eastAsia="Arial" w:hAnsi="Arial"/>
                <w:sz w:val="15"/>
                <w:szCs w:val="15"/>
                <w:color w:val="auto"/>
              </w:rPr>
              <w:t>Net income (loss)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24,680</w:t>
            </w: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(77,800)</w:t>
            </w:r>
          </w:p>
        </w:tc>
      </w:tr>
      <w:tr>
        <w:trPr>
          <w:trHeight w:val="209"/>
        </w:trPr>
        <w:tc>
          <w:tcPr>
            <w:tcW w:w="8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8260" w:type="dxa"/>
            <w:vAlign w:val="bottom"/>
          </w:tcPr>
          <w:p>
            <w:pPr>
              <w:ind w:left="640"/>
              <w:spacing w:after="0"/>
              <w:rPr>
                <w:sz w:val="20"/>
                <w:szCs w:val="20"/>
                <w:color w:val="auto"/>
              </w:rPr>
            </w:pPr>
            <w:r>
              <w:rPr>
                <w:rFonts w:ascii="Arial" w:cs="Arial" w:eastAsia="Arial" w:hAnsi="Arial"/>
                <w:sz w:val="15"/>
                <w:szCs w:val="15"/>
                <w:color w:val="auto"/>
              </w:rPr>
              <w:t>Depreciation</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27,986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20,354</w:t>
            </w:r>
          </w:p>
        </w:tc>
      </w:tr>
      <w:tr>
        <w:trPr>
          <w:trHeight w:val="209"/>
        </w:trPr>
        <w:tc>
          <w:tcPr>
            <w:tcW w:w="8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Amortization of intangibles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14,765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14,135</w:t>
            </w:r>
          </w:p>
        </w:tc>
      </w:tr>
      <w:tr>
        <w:trPr>
          <w:trHeight w:val="203"/>
        </w:trPr>
        <w:tc>
          <w:tcPr>
            <w:tcW w:w="8260" w:type="dxa"/>
            <w:vAlign w:val="bottom"/>
          </w:tcPr>
          <w:p>
            <w:pPr>
              <w:ind w:left="640"/>
              <w:spacing w:after="0"/>
              <w:rPr>
                <w:sz w:val="20"/>
                <w:szCs w:val="20"/>
                <w:color w:val="auto"/>
              </w:rPr>
            </w:pPr>
            <w:r>
              <w:rPr>
                <w:rFonts w:ascii="Arial" w:cs="Arial" w:eastAsia="Arial" w:hAnsi="Arial"/>
                <w:sz w:val="15"/>
                <w:szCs w:val="15"/>
                <w:color w:val="auto"/>
              </w:rPr>
              <w:t>Amortization of debt financing fees</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420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387</w:t>
            </w:r>
          </w:p>
        </w:tc>
      </w:tr>
      <w:tr>
        <w:trPr>
          <w:trHeight w:val="209"/>
        </w:trPr>
        <w:tc>
          <w:tcPr>
            <w:tcW w:w="8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Loss (gain) on disposal of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w:t>
            </w:r>
          </w:p>
        </w:tc>
      </w:tr>
      <w:tr>
        <w:trPr>
          <w:trHeight w:val="203"/>
        </w:trPr>
        <w:tc>
          <w:tcPr>
            <w:tcW w:w="8260" w:type="dxa"/>
            <w:vAlign w:val="bottom"/>
          </w:tcPr>
          <w:p>
            <w:pPr>
              <w:ind w:left="640"/>
              <w:spacing w:after="0"/>
              <w:rPr>
                <w:sz w:val="20"/>
                <w:szCs w:val="20"/>
                <w:color w:val="auto"/>
              </w:rPr>
            </w:pPr>
            <w:r>
              <w:rPr>
                <w:rFonts w:ascii="Arial" w:cs="Arial" w:eastAsia="Arial" w:hAnsi="Arial"/>
                <w:sz w:val="15"/>
                <w:szCs w:val="15"/>
                <w:color w:val="auto"/>
              </w:rPr>
              <w:t>Provision for losses on accounts receivable</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1,329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705</w:t>
            </w:r>
          </w:p>
        </w:tc>
      </w:tr>
      <w:tr>
        <w:trPr>
          <w:trHeight w:val="209"/>
        </w:trPr>
        <w:tc>
          <w:tcPr>
            <w:tcW w:w="8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Unrealized foreign exchange losses on forward contracts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13,522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5,831</w:t>
            </w:r>
          </w:p>
        </w:tc>
      </w:tr>
      <w:tr>
        <w:trPr>
          <w:trHeight w:val="203"/>
        </w:trPr>
        <w:tc>
          <w:tcPr>
            <w:tcW w:w="8260" w:type="dxa"/>
            <w:vAlign w:val="bottom"/>
          </w:tcPr>
          <w:p>
            <w:pPr>
              <w:ind w:left="640"/>
              <w:spacing w:after="0"/>
              <w:rPr>
                <w:sz w:val="20"/>
                <w:szCs w:val="20"/>
                <w:color w:val="auto"/>
              </w:rPr>
            </w:pPr>
            <w:r>
              <w:rPr>
                <w:rFonts w:ascii="Arial" w:cs="Arial" w:eastAsia="Arial" w:hAnsi="Arial"/>
                <w:sz w:val="15"/>
                <w:szCs w:val="15"/>
                <w:color w:val="auto"/>
              </w:rPr>
              <w:t>Deferred taxes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(9,692)</w:t>
            </w:r>
          </w:p>
        </w:tc>
      </w:tr>
      <w:tr>
        <w:trPr>
          <w:trHeight w:val="209"/>
        </w:trPr>
        <w:tc>
          <w:tcPr>
            <w:tcW w:w="8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Stock-based compensation expense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54,764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25,014</w:t>
            </w:r>
          </w:p>
        </w:tc>
      </w:tr>
      <w:tr>
        <w:trPr>
          <w:trHeight w:val="203"/>
        </w:trPr>
        <w:tc>
          <w:tcPr>
            <w:tcW w:w="8260" w:type="dxa"/>
            <w:vAlign w:val="bottom"/>
          </w:tcPr>
          <w:p>
            <w:pPr>
              <w:ind w:left="64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26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Accounts receivable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(70,560)</w:t>
            </w:r>
          </w:p>
        </w:tc>
      </w:tr>
      <w:tr>
        <w:trPr>
          <w:trHeight w:val="203"/>
        </w:trPr>
        <w:tc>
          <w:tcPr>
            <w:tcW w:w="8260" w:type="dxa"/>
            <w:vAlign w:val="bottom"/>
          </w:tcPr>
          <w:p>
            <w:pPr>
              <w:ind w:left="1020"/>
              <w:spacing w:after="0"/>
              <w:rPr>
                <w:sz w:val="20"/>
                <w:szCs w:val="20"/>
                <w:color w:val="auto"/>
              </w:rPr>
            </w:pPr>
            <w:r>
              <w:rPr>
                <w:rFonts w:ascii="Arial" w:cs="Arial" w:eastAsia="Arial" w:hAnsi="Arial"/>
                <w:sz w:val="15"/>
                <w:szCs w:val="15"/>
                <w:color w:val="auto"/>
              </w:rPr>
              <w:t>Other receivables, prepaid expenses, and other current assets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(8,022)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(4,753)</w:t>
            </w:r>
          </w:p>
        </w:tc>
      </w:tr>
      <w:tr>
        <w:trPr>
          <w:trHeight w:val="209"/>
        </w:trPr>
        <w:tc>
          <w:tcPr>
            <w:tcW w:w="826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Operating lease right-of-use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9,762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8260" w:type="dxa"/>
            <w:vAlign w:val="bottom"/>
          </w:tcPr>
          <w:p>
            <w:pPr>
              <w:ind w:left="1020"/>
              <w:spacing w:after="0"/>
              <w:rPr>
                <w:sz w:val="20"/>
                <w:szCs w:val="20"/>
                <w:color w:val="auto"/>
              </w:rPr>
            </w:pPr>
            <w:r>
              <w:rPr>
                <w:rFonts w:ascii="Arial" w:cs="Arial" w:eastAsia="Arial" w:hAnsi="Arial"/>
                <w:sz w:val="15"/>
                <w:szCs w:val="15"/>
                <w:color w:val="auto"/>
              </w:rPr>
              <w:t>Other noncurrent assets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(1,211)</w:t>
            </w:r>
          </w:p>
        </w:tc>
      </w:tr>
      <w:tr>
        <w:trPr>
          <w:trHeight w:val="209"/>
        </w:trPr>
        <w:tc>
          <w:tcPr>
            <w:tcW w:w="826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Accounts payable and accrued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4,793</w:t>
            </w:r>
          </w:p>
        </w:tc>
      </w:tr>
      <w:tr>
        <w:trPr>
          <w:trHeight w:val="203"/>
        </w:trPr>
        <w:tc>
          <w:tcPr>
            <w:tcW w:w="8260" w:type="dxa"/>
            <w:vAlign w:val="bottom"/>
          </w:tcPr>
          <w:p>
            <w:pPr>
              <w:ind w:left="1020"/>
              <w:spacing w:after="0"/>
              <w:rPr>
                <w:sz w:val="20"/>
                <w:szCs w:val="20"/>
                <w:color w:val="auto"/>
              </w:rPr>
            </w:pPr>
            <w:r>
              <w:rPr>
                <w:rFonts w:ascii="Arial" w:cs="Arial" w:eastAsia="Arial" w:hAnsi="Arial"/>
                <w:sz w:val="15"/>
                <w:szCs w:val="15"/>
                <w:color w:val="auto"/>
              </w:rPr>
              <w:t>Accrued payroll and employee-related liabilities</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10,477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24,524</w:t>
            </w:r>
          </w:p>
        </w:tc>
      </w:tr>
      <w:tr>
        <w:trPr>
          <w:trHeight w:val="209"/>
        </w:trPr>
        <w:tc>
          <w:tcPr>
            <w:tcW w:w="826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Operating lease liabilities and deferred rent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834</w:t>
            </w:r>
          </w:p>
        </w:tc>
      </w:tr>
      <w:tr>
        <w:trPr>
          <w:trHeight w:val="203"/>
        </w:trPr>
        <w:tc>
          <w:tcPr>
            <w:tcW w:w="8260" w:type="dxa"/>
            <w:vAlign w:val="bottom"/>
          </w:tcPr>
          <w:p>
            <w:pPr>
              <w:ind w:left="1020"/>
              <w:spacing w:after="0"/>
              <w:rPr>
                <w:sz w:val="20"/>
                <w:szCs w:val="20"/>
                <w:color w:val="auto"/>
              </w:rPr>
            </w:pPr>
            <w:r>
              <w:rPr>
                <w:rFonts w:ascii="Arial" w:cs="Arial" w:eastAsia="Arial" w:hAnsi="Arial"/>
                <w:sz w:val="15"/>
                <w:szCs w:val="15"/>
                <w:color w:val="auto"/>
              </w:rPr>
              <w:t>Income tax payable</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(13,918)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1,820</w:t>
            </w:r>
          </w:p>
        </w:tc>
      </w:tr>
      <w:tr>
        <w:trPr>
          <w:trHeight w:val="209"/>
        </w:trPr>
        <w:tc>
          <w:tcPr>
            <w:tcW w:w="826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Deferred 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2,139</w:t>
            </w:r>
          </w:p>
        </w:tc>
      </w:tr>
      <w:tr>
        <w:trPr>
          <w:trHeight w:val="203"/>
        </w:trPr>
        <w:tc>
          <w:tcPr>
            <w:tcW w:w="8260" w:type="dxa"/>
            <w:vAlign w:val="bottom"/>
            <w:tcBorders>
              <w:bottom w:val="single" w:sz="8" w:color="CCEEFF"/>
            </w:tcBorders>
          </w:tcPr>
          <w:p>
            <w:pPr>
              <w:ind w:left="1000"/>
              <w:spacing w:after="0"/>
              <w:rPr>
                <w:sz w:val="20"/>
                <w:szCs w:val="20"/>
                <w:color w:val="auto"/>
              </w:rPr>
            </w:pPr>
            <w:r>
              <w:rPr>
                <w:rFonts w:ascii="Arial" w:cs="Arial" w:eastAsia="Arial" w:hAnsi="Arial"/>
                <w:sz w:val="15"/>
                <w:szCs w:val="15"/>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202"/>
        </w:trPr>
        <w:tc>
          <w:tcPr>
            <w:tcW w:w="8260" w:type="dxa"/>
            <w:vAlign w:val="bottom"/>
            <w:shd w:val="clear" w:color="auto" w:fill="CCEEFF"/>
          </w:tcPr>
          <w:p>
            <w:pPr>
              <w:ind w:left="1420"/>
              <w:spacing w:after="0"/>
              <w:rPr>
                <w:sz w:val="20"/>
                <w:szCs w:val="20"/>
                <w:color w:val="auto"/>
              </w:rPr>
            </w:pPr>
            <w:r>
              <w:rPr>
                <w:rFonts w:ascii="Arial" w:cs="Arial" w:eastAsia="Arial" w:hAnsi="Arial"/>
                <w:sz w:val="15"/>
                <w:szCs w:val="15"/>
                <w:color w:val="auto"/>
              </w:rPr>
              <w:t>Net cash provided by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114,464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(63,426)</w:t>
            </w:r>
          </w:p>
        </w:tc>
      </w:tr>
      <w:tr>
        <w:trPr>
          <w:trHeight w:val="183"/>
        </w:trPr>
        <w:tc>
          <w:tcPr>
            <w:tcW w:w="8260" w:type="dxa"/>
            <w:vAlign w:val="bottom"/>
          </w:tcPr>
          <w:p>
            <w:pPr>
              <w:ind w:left="20"/>
              <w:spacing w:after="0"/>
              <w:rPr>
                <w:sz w:val="20"/>
                <w:szCs w:val="20"/>
                <w:color w:val="auto"/>
              </w:rPr>
            </w:pPr>
            <w:r>
              <w:rPr>
                <w:rFonts w:ascii="Arial" w:cs="Arial" w:eastAsia="Arial" w:hAnsi="Arial"/>
                <w:sz w:val="15"/>
                <w:szCs w:val="15"/>
                <w:color w:val="auto"/>
              </w:rPr>
              <w:t>Cash flows from investing activities: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8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 of property and equipment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(38,603)</w:t>
            </w:r>
          </w:p>
        </w:tc>
      </w:tr>
      <w:tr>
        <w:trPr>
          <w:trHeight w:val="203"/>
        </w:trPr>
        <w:tc>
          <w:tcPr>
            <w:tcW w:w="82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Acquisition, net of cash acquired</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(23,235)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202"/>
        </w:trPr>
        <w:tc>
          <w:tcPr>
            <w:tcW w:w="8260" w:type="dxa"/>
            <w:vAlign w:val="bottom"/>
            <w:shd w:val="clear" w:color="auto" w:fill="CCEEFF"/>
          </w:tcPr>
          <w:p>
            <w:pPr>
              <w:ind w:left="142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(59,245)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(38,603)</w:t>
            </w:r>
          </w:p>
        </w:tc>
      </w:tr>
      <w:tr>
        <w:trPr>
          <w:trHeight w:val="183"/>
        </w:trPr>
        <w:tc>
          <w:tcPr>
            <w:tcW w:w="826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8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borrowings, Revolving credit facility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32,500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8260" w:type="dxa"/>
            <w:vAlign w:val="bottom"/>
          </w:tcPr>
          <w:p>
            <w:pPr>
              <w:ind w:left="320"/>
              <w:spacing w:after="0"/>
              <w:rPr>
                <w:sz w:val="20"/>
                <w:szCs w:val="20"/>
                <w:color w:val="auto"/>
              </w:rPr>
            </w:pPr>
            <w:r>
              <w:rPr>
                <w:rFonts w:ascii="Arial" w:cs="Arial" w:eastAsia="Arial" w:hAnsi="Arial"/>
                <w:sz w:val="15"/>
                <w:szCs w:val="15"/>
                <w:color w:val="auto"/>
              </w:rPr>
              <w:t>Proceeds from long-term debt</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270,000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9"/>
        </w:trPr>
        <w:tc>
          <w:tcPr>
            <w:tcW w:w="8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on long-term debt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(272,403)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(3,938)</w:t>
            </w:r>
          </w:p>
        </w:tc>
      </w:tr>
      <w:tr>
        <w:trPr>
          <w:trHeight w:val="203"/>
        </w:trPr>
        <w:tc>
          <w:tcPr>
            <w:tcW w:w="8260" w:type="dxa"/>
            <w:vAlign w:val="bottom"/>
          </w:tcPr>
          <w:p>
            <w:pPr>
              <w:ind w:left="320"/>
              <w:spacing w:after="0"/>
              <w:rPr>
                <w:sz w:val="20"/>
                <w:szCs w:val="20"/>
                <w:color w:val="auto"/>
              </w:rPr>
            </w:pPr>
            <w:r>
              <w:rPr>
                <w:rFonts w:ascii="Arial" w:cs="Arial" w:eastAsia="Arial" w:hAnsi="Arial"/>
                <w:sz w:val="15"/>
                <w:szCs w:val="15"/>
                <w:color w:val="auto"/>
              </w:rPr>
              <w:t>Payments for debt financing fees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(340)</w:t>
            </w:r>
          </w:p>
        </w:tc>
      </w:tr>
      <w:tr>
        <w:trPr>
          <w:trHeight w:val="209"/>
        </w:trPr>
        <w:tc>
          <w:tcPr>
            <w:tcW w:w="8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issuance of common stock, net of underwriters’ fees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120,698</w:t>
            </w:r>
          </w:p>
        </w:tc>
      </w:tr>
      <w:tr>
        <w:trPr>
          <w:trHeight w:val="203"/>
        </w:trPr>
        <w:tc>
          <w:tcPr>
            <w:tcW w:w="8260" w:type="dxa"/>
            <w:vAlign w:val="bottom"/>
          </w:tcPr>
          <w:p>
            <w:pPr>
              <w:ind w:left="320"/>
              <w:spacing w:after="0"/>
              <w:rPr>
                <w:sz w:val="20"/>
                <w:szCs w:val="20"/>
                <w:color w:val="auto"/>
              </w:rPr>
            </w:pPr>
            <w:r>
              <w:rPr>
                <w:rFonts w:ascii="Arial" w:cs="Arial" w:eastAsia="Arial" w:hAnsi="Arial"/>
                <w:sz w:val="15"/>
                <w:szCs w:val="15"/>
                <w:color w:val="auto"/>
              </w:rPr>
              <w:t>Proceeds from employee stock plans</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2,217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9"/>
        </w:trPr>
        <w:tc>
          <w:tcPr>
            <w:tcW w:w="8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for offering costs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(4,327)</w:t>
            </w:r>
          </w:p>
        </w:tc>
      </w:tr>
      <w:tr>
        <w:trPr>
          <w:trHeight w:val="203"/>
        </w:trPr>
        <w:tc>
          <w:tcPr>
            <w:tcW w:w="8260" w:type="dxa"/>
            <w:vAlign w:val="bottom"/>
          </w:tcPr>
          <w:p>
            <w:pPr>
              <w:ind w:left="320"/>
              <w:spacing w:after="0"/>
              <w:rPr>
                <w:sz w:val="20"/>
                <w:szCs w:val="20"/>
                <w:color w:val="auto"/>
              </w:rPr>
            </w:pPr>
            <w:r>
              <w:rPr>
                <w:rFonts w:ascii="Arial" w:cs="Arial" w:eastAsia="Arial" w:hAnsi="Arial"/>
                <w:sz w:val="15"/>
                <w:szCs w:val="15"/>
                <w:color w:val="auto"/>
              </w:rPr>
              <w:t>Payments for taxes related to net share settlement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(3,937)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9"/>
        </w:trPr>
        <w:tc>
          <w:tcPr>
            <w:tcW w:w="8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for stock repurchases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8260" w:type="dxa"/>
            <w:vAlign w:val="bottom"/>
          </w:tcPr>
          <w:p>
            <w:pPr>
              <w:ind w:left="320"/>
              <w:spacing w:after="0"/>
              <w:rPr>
                <w:sz w:val="20"/>
                <w:szCs w:val="20"/>
                <w:color w:val="auto"/>
              </w:rPr>
            </w:pPr>
            <w:r>
              <w:rPr>
                <w:rFonts w:ascii="Arial" w:cs="Arial" w:eastAsia="Arial" w:hAnsi="Arial"/>
                <w:sz w:val="15"/>
                <w:szCs w:val="15"/>
                <w:color w:val="auto"/>
              </w:rPr>
              <w:t>Distribution of dividends</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202"/>
        </w:trPr>
        <w:tc>
          <w:tcPr>
            <w:tcW w:w="8260" w:type="dxa"/>
            <w:vAlign w:val="bottom"/>
            <w:tcBorders>
              <w:top w:val="single" w:sz="8" w:color="CCEEFF"/>
            </w:tcBorders>
            <w:shd w:val="clear" w:color="auto" w:fill="CCEEFF"/>
          </w:tcPr>
          <w:p>
            <w:pPr>
              <w:ind w:left="1420"/>
              <w:spacing w:after="0"/>
              <w:rPr>
                <w:sz w:val="20"/>
                <w:szCs w:val="20"/>
                <w:color w:val="auto"/>
              </w:rPr>
            </w:pPr>
            <w:r>
              <w:rPr>
                <w:rFonts w:ascii="Arial" w:cs="Arial" w:eastAsia="Arial" w:hAnsi="Arial"/>
                <w:sz w:val="15"/>
                <w:szCs w:val="15"/>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12,854</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62,093</w:t>
            </w:r>
          </w:p>
        </w:tc>
      </w:tr>
      <w:tr>
        <w:trPr>
          <w:trHeight w:val="196"/>
        </w:trPr>
        <w:tc>
          <w:tcPr>
            <w:tcW w:w="8260" w:type="dxa"/>
            <w:vAlign w:val="bottom"/>
          </w:tcPr>
          <w:p>
            <w:pPr>
              <w:ind w:left="1420"/>
              <w:spacing w:after="0"/>
              <w:rPr>
                <w:sz w:val="20"/>
                <w:szCs w:val="20"/>
                <w:color w:val="auto"/>
              </w:rPr>
            </w:pPr>
            <w:r>
              <w:rPr>
                <w:rFonts w:ascii="Arial" w:cs="Arial" w:eastAsia="Arial" w:hAnsi="Arial"/>
                <w:sz w:val="15"/>
                <w:szCs w:val="15"/>
                <w:color w:val="auto"/>
              </w:rPr>
              <w:t>Increase (decrease) in cash and cash equivalents</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68,073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(39,936)</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(6,462)</w:t>
            </w:r>
          </w:p>
        </w:tc>
      </w:tr>
      <w:tr>
        <w:trPr>
          <w:trHeight w:val="20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63,584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107,728</w:t>
            </w:r>
          </w:p>
        </w:tc>
      </w:tr>
      <w:tr>
        <w:trPr>
          <w:trHeight w:val="22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122,491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61,330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3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 Description of Business and Organization</w:t>
      </w:r>
    </w:p>
    <w:p>
      <w:pPr>
        <w:spacing w:after="0" w:line="1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TaskUs, Inc. (“TaskUs” and,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Company is a provider of outsourced digital services and next-generation customer experience to fast-growing technology companies, helping its clients represent, protect and grow their brands. The Company's global, omni-channel delivery model is focused on providing its clients three key services - Digital Customer Experience, Content Security and Artificial Intelligence (“AI”) Services (formerly known as AI Operations). The Company has designed its platform to enable it to rapidly scale and benefit from its clients’ growth. Through its agile and responsive operational model, the Company delivers services from multiple delivery sites that span globally from the United States, Philippines, and other parts of the world.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major service offerings are described in more detail below:</w:t>
      </w:r>
    </w:p>
    <w:p>
      <w:pPr>
        <w:spacing w:after="0" w:line="114" w:lineRule="exact"/>
        <w:rPr>
          <w:sz w:val="20"/>
          <w:szCs w:val="20"/>
          <w:color w:val="auto"/>
        </w:rPr>
      </w:pPr>
    </w:p>
    <w:p>
      <w:pPr>
        <w:ind w:left="780" w:hanging="313"/>
        <w:spacing w:after="0"/>
        <w:tabs>
          <w:tab w:leader="none" w:pos="780" w:val="left"/>
        </w:tabs>
        <w:numPr>
          <w:ilvl w:val="2"/>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Digital Customer Experience</w:t>
      </w:r>
      <w:r>
        <w:rPr>
          <w:rFonts w:ascii="Arial" w:cs="Arial" w:eastAsia="Arial" w:hAnsi="Arial"/>
          <w:sz w:val="16"/>
          <w:szCs w:val="16"/>
          <w:color w:val="auto"/>
        </w:rPr>
        <w:t>: Principally consists of omni-channel customer care services primarily delivered through digital (non-voice) channels.</w:t>
      </w:r>
    </w:p>
    <w:p>
      <w:pPr>
        <w:spacing w:after="0" w:line="125" w:lineRule="exact"/>
        <w:rPr>
          <w:rFonts w:ascii="Arial" w:cs="Arial" w:eastAsia="Arial" w:hAnsi="Arial"/>
          <w:sz w:val="16"/>
          <w:szCs w:val="16"/>
          <w:i w:val="1"/>
          <w:iCs w:val="1"/>
          <w:color w:val="auto"/>
        </w:rPr>
      </w:pPr>
    </w:p>
    <w:p>
      <w:pPr>
        <w:ind w:left="780" w:hanging="313"/>
        <w:spacing w:after="0" w:line="279" w:lineRule="auto"/>
        <w:tabs>
          <w:tab w:leader="none" w:pos="776" w:val="left"/>
        </w:tabs>
        <w:numPr>
          <w:ilvl w:val="2"/>
          <w:numId w:val="5"/>
        </w:numPr>
        <w:rPr>
          <w:rFonts w:ascii="Arial" w:cs="Arial" w:eastAsia="Arial" w:hAnsi="Arial"/>
          <w:sz w:val="17"/>
          <w:szCs w:val="17"/>
          <w:color w:val="auto"/>
        </w:rPr>
      </w:pPr>
      <w:r>
        <w:rPr>
          <w:rFonts w:ascii="Arial" w:cs="Arial" w:eastAsia="Arial" w:hAnsi="Arial"/>
          <w:sz w:val="17"/>
          <w:szCs w:val="17"/>
          <w:i w:val="1"/>
          <w:iCs w:val="1"/>
          <w:color w:val="auto"/>
        </w:rPr>
        <w:t>Content Security</w:t>
      </w:r>
      <w:r>
        <w:rPr>
          <w:rFonts w:ascii="Arial" w:cs="Arial" w:eastAsia="Arial" w:hAnsi="Arial"/>
          <w:sz w:val="17"/>
          <w:szCs w:val="17"/>
          <w:color w:val="auto"/>
        </w:rPr>
        <w:t>: Principally consists of review and disposition of user and advertiser generated content for purposes which include removal or labeling</w:t>
      </w:r>
      <w:r>
        <w:rPr>
          <w:rFonts w:ascii="Arial" w:cs="Arial" w:eastAsia="Arial" w:hAnsi="Arial"/>
          <w:sz w:val="17"/>
          <w:szCs w:val="17"/>
          <w:i w:val="1"/>
          <w:iCs w:val="1"/>
          <w:color w:val="auto"/>
        </w:rPr>
        <w:t xml:space="preserve"> </w:t>
      </w:r>
      <w:r>
        <w:rPr>
          <w:rFonts w:ascii="Arial" w:cs="Arial" w:eastAsia="Arial" w:hAnsi="Arial"/>
          <w:sz w:val="17"/>
          <w:szCs w:val="17"/>
          <w:color w:val="auto"/>
        </w:rPr>
        <w:t>of policy violating, offensive or misleading content.</w:t>
      </w:r>
    </w:p>
    <w:p>
      <w:pPr>
        <w:spacing w:after="0" w:line="61" w:lineRule="exact"/>
        <w:rPr>
          <w:rFonts w:ascii="Arial" w:cs="Arial" w:eastAsia="Arial" w:hAnsi="Arial"/>
          <w:sz w:val="17"/>
          <w:szCs w:val="17"/>
          <w:color w:val="auto"/>
        </w:rPr>
      </w:pPr>
    </w:p>
    <w:p>
      <w:pPr>
        <w:ind w:left="780" w:hanging="313"/>
        <w:spacing w:after="0" w:line="279" w:lineRule="auto"/>
        <w:tabs>
          <w:tab w:leader="none" w:pos="776" w:val="left"/>
        </w:tabs>
        <w:numPr>
          <w:ilvl w:val="2"/>
          <w:numId w:val="5"/>
        </w:numPr>
        <w:rPr>
          <w:rFonts w:ascii="Arial" w:cs="Arial" w:eastAsia="Arial" w:hAnsi="Arial"/>
          <w:sz w:val="17"/>
          <w:szCs w:val="17"/>
          <w:color w:val="auto"/>
        </w:rPr>
      </w:pPr>
      <w:r>
        <w:rPr>
          <w:rFonts w:ascii="Arial" w:cs="Arial" w:eastAsia="Arial" w:hAnsi="Arial"/>
          <w:sz w:val="17"/>
          <w:szCs w:val="17"/>
          <w:i w:val="1"/>
          <w:iCs w:val="1"/>
          <w:color w:val="auto"/>
        </w:rPr>
        <w:t>AI Services</w:t>
      </w:r>
      <w:r>
        <w:rPr>
          <w:rFonts w:ascii="Arial" w:cs="Arial" w:eastAsia="Arial" w:hAnsi="Arial"/>
          <w:sz w:val="17"/>
          <w:szCs w:val="17"/>
          <w:color w:val="auto"/>
        </w:rPr>
        <w:t>: Principally consists of data labeling, annotation and transcription services performed for the purpose of training and tuning AI algorithms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process of machine learning.</w:t>
      </w:r>
    </w:p>
    <w:p>
      <w:pPr>
        <w:spacing w:after="0" w:line="261" w:lineRule="exact"/>
        <w:rPr>
          <w:rFonts w:ascii="Arial" w:cs="Arial" w:eastAsia="Arial" w:hAnsi="Arial"/>
          <w:sz w:val="17"/>
          <w:szCs w:val="17"/>
          <w:color w:val="auto"/>
        </w:rPr>
      </w:pPr>
    </w:p>
    <w:p>
      <w:pPr>
        <w:ind w:left="480" w:hanging="167"/>
        <w:spacing w:after="0"/>
        <w:tabs>
          <w:tab w:leader="none" w:pos="480"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19" w:lineRule="exact"/>
        <w:rPr>
          <w:rFonts w:ascii="Arial" w:cs="Arial" w:eastAsia="Arial" w:hAnsi="Arial"/>
          <w:sz w:val="17"/>
          <w:szCs w:val="17"/>
          <w:b w:val="1"/>
          <w:bCs w:val="1"/>
          <w:color w:val="auto"/>
        </w:rPr>
      </w:pPr>
    </w:p>
    <w:p>
      <w:pPr>
        <w:ind w:left="400" w:hanging="242"/>
        <w:spacing w:after="0"/>
        <w:tabs>
          <w:tab w:leader="none" w:pos="40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Basis of Presentation</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accounting and reporting policies of the Company are in accordance with accounting principles generally accepted in the United States of America (“US GAAP”). Our Annual Report on Form 10-K for the year ended December 31, 2021 (the “Annual Report”), as filed with the Securities and Exchange Commission (the “SEC”), includes a discussion of the significant accounting policies used in the preparation of our consolidated financial statements. Other than the adoption of the new lease accounting standard, and the business combination and treasury stock accounting policies, there have been no changes to the Company’s significant accounting policies described in the Annual Report that have had a material impact on the Company’s condensed consolidated financial statements and related notes.</w:t>
      </w:r>
    </w:p>
    <w:p>
      <w:pPr>
        <w:spacing w:after="0" w:line="80"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2021 included in the Annual Report. In the opinion of the Company, the accompanying unaudited condensed consolidated financial statements contain all adjustments, consisting of only normal recurring adjustments, necessary for a fair statement of its financial position as of September 30, 2022 and its results of operations, comprehensive income (loss) and shareholders’ equity for the three and nine months ended September 30, 2022 and 2021, and cash flows for the nine months ended September 30, 2022 and 2021. The condensed consolidated balance sheet as of December 31, 2021, was derived from audited annual financial statements but does not contain all of the footnote disclosures from the annual financial statements.</w:t>
      </w:r>
    </w:p>
    <w:p>
      <w:pPr>
        <w:spacing w:after="0" w:line="5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acquisition of Parsec d.o.o. and Q Experience d.o.o. (collectively, “heloo”) was completed on April 15, 2022; therefore, the Company’s consolidated financial statements only include heloo’s results since April 15, 2022.</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the measurement of lease liabilities and right-of-use assets; valuation of foreign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currency exchange rate forward contracts; valuation of stock-based compensation; valuation and impairment of intangibles and goodwill and reserves for income tax uncertainties and other contingencies.</w:t>
      </w:r>
    </w:p>
    <w:p>
      <w:pPr>
        <w:spacing w:after="0" w:line="61"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As of September 30, 2022, the impact of the novel coronavirus (“COVID-19”) pandemic, including as a result of new strains and variants of the virus and uncertainty regarding vaccines and treatments, continues to unfold. As a result, many of our estimates and assumptions required judgement and carry a higher degree of variability and volatility. We continue to closely monitor the outbreak and the impact on our operations and liquidity. As events continue to evolve and additional information becomes available, our estimates may change materially in the future.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 Principles of Consolidation</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significant intercompany balances and transactions have been eliminated in consolidation. The Company has no involvement with variable interest entities.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 Concentration Risk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Most of the Company’s clients are located in the United States. Clients outside of the United States are concentrated in Europe.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three and nine months ended September 30, 2022 and 2021, the following clients represented greater than 10% of the Company’s service revenue:</w:t>
      </w:r>
    </w:p>
    <w:p>
      <w:pPr>
        <w:spacing w:after="0" w:line="178" w:lineRule="exact"/>
        <w:rPr>
          <w:sz w:val="20"/>
          <w:szCs w:val="20"/>
          <w:color w:val="auto"/>
        </w:rPr>
      </w:pPr>
    </w:p>
    <w:tbl>
      <w:tblPr>
        <w:tblLayout w:type="fixed"/>
        <w:tblInd w:w="1560" w:type="dxa"/>
        <w:tblCellMar>
          <w:top w:w="0" w:type="dxa"/>
          <w:left w:w="0" w:type="dxa"/>
          <w:bottom w:w="0" w:type="dxa"/>
          <w:right w:w="0" w:type="dxa"/>
        </w:tblCellMar>
      </w:tblPr>
      <w:tr>
        <w:trPr>
          <w:trHeight w:val="178"/>
        </w:trPr>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5"/>
          </w:tcPr>
          <w:p>
            <w:pPr>
              <w:ind w:left="680"/>
              <w:spacing w:after="0"/>
              <w:rPr>
                <w:sz w:val="20"/>
                <w:szCs w:val="20"/>
                <w:color w:val="auto"/>
              </w:rPr>
            </w:pPr>
            <w:r>
              <w:rPr>
                <w:rFonts w:ascii="Arial" w:cs="Arial" w:eastAsia="Arial" w:hAnsi="Arial"/>
                <w:sz w:val="14"/>
                <w:szCs w:val="14"/>
                <w:b w:val="1"/>
                <w:bCs w:val="1"/>
                <w:color w:val="auto"/>
              </w:rPr>
              <w:t>Service revenue percentage</w:t>
            </w:r>
          </w:p>
        </w:tc>
        <w:tc>
          <w:tcPr>
            <w:tcW w:w="1460" w:type="dxa"/>
            <w:vAlign w:val="bottom"/>
          </w:tcPr>
          <w:p>
            <w:pPr>
              <w:spacing w:after="0"/>
              <w:rPr>
                <w:sz w:val="15"/>
                <w:szCs w:val="15"/>
                <w:color w:val="auto"/>
              </w:rPr>
            </w:pPr>
          </w:p>
        </w:tc>
      </w:tr>
      <w:tr>
        <w:trPr>
          <w:trHeight w:val="24"/>
        </w:trPr>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79"/>
        </w:trPr>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tcBorders>
              <w:bottom w:val="single" w:sz="8" w:color="auto"/>
            </w:tcBorders>
            <w:gridSpan w:val="3"/>
          </w:tcPr>
          <w:p>
            <w:pPr>
              <w:jc w:val="right"/>
              <w:ind w:right="446"/>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2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2021</w:t>
            </w:r>
          </w:p>
        </w:tc>
      </w:tr>
      <w:tr>
        <w:trPr>
          <w:trHeight w:val="206"/>
        </w:trPr>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A</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r>
      <w:tr>
        <w:trPr>
          <w:trHeight w:val="201"/>
        </w:trPr>
        <w:tc>
          <w:tcPr>
            <w:tcW w:w="208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B</w:t>
            </w:r>
          </w:p>
        </w:tc>
        <w:tc>
          <w:tcPr>
            <w:tcW w:w="1540" w:type="dxa"/>
            <w:vAlign w:val="bottom"/>
            <w:gridSpan w:val="2"/>
          </w:tcPr>
          <w:p>
            <w:pPr>
              <w:jc w:val="right"/>
              <w:ind w:right="120"/>
              <w:spacing w:after="0"/>
              <w:rPr>
                <w:sz w:val="20"/>
                <w:szCs w:val="20"/>
                <w:color w:val="auto"/>
              </w:rPr>
            </w:pPr>
            <w:r>
              <w:rPr>
                <w:rFonts w:ascii="Arial" w:cs="Arial" w:eastAsia="Arial" w:hAnsi="Arial"/>
                <w:sz w:val="15"/>
                <w:szCs w:val="15"/>
                <w:color w:val="auto"/>
              </w:rPr>
              <w:t>Less than 10%</w:t>
            </w: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11 %</w:t>
            </w:r>
          </w:p>
        </w:tc>
        <w:tc>
          <w:tcPr>
            <w:tcW w:w="8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Less than 10%</w:t>
            </w:r>
          </w:p>
        </w:tc>
        <w:tc>
          <w:tcPr>
            <w:tcW w:w="1460" w:type="dxa"/>
            <w:vAlign w:val="bottom"/>
          </w:tcPr>
          <w:p>
            <w:pPr>
              <w:jc w:val="right"/>
              <w:spacing w:after="0"/>
              <w:rPr>
                <w:sz w:val="20"/>
                <w:szCs w:val="20"/>
                <w:color w:val="auto"/>
              </w:rPr>
            </w:pPr>
            <w:r>
              <w:rPr>
                <w:rFonts w:ascii="Arial" w:cs="Arial" w:eastAsia="Arial" w:hAnsi="Arial"/>
                <w:sz w:val="15"/>
                <w:szCs w:val="15"/>
                <w:color w:val="auto"/>
              </w:rPr>
              <w:t>11 %</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2022 and December 31, 2021, the following clients represented greater than 10% of the Company’s accounts receivable:</w:t>
      </w:r>
    </w:p>
    <w:p>
      <w:pPr>
        <w:spacing w:after="0" w:line="143" w:lineRule="exact"/>
        <w:rPr>
          <w:sz w:val="20"/>
          <w:szCs w:val="20"/>
          <w:color w:val="auto"/>
        </w:rPr>
      </w:pPr>
    </w:p>
    <w:tbl>
      <w:tblPr>
        <w:tblLayout w:type="fixed"/>
        <w:tblInd w:w="3040" w:type="dxa"/>
        <w:tblCellMar>
          <w:top w:w="0" w:type="dxa"/>
          <w:left w:w="0" w:type="dxa"/>
          <w:bottom w:w="0" w:type="dxa"/>
          <w:right w:w="0" w:type="dxa"/>
        </w:tblCellMar>
      </w:tblPr>
      <w:tr>
        <w:trPr>
          <w:trHeight w:val="178"/>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3"/>
          </w:tcPr>
          <w:p>
            <w:pPr>
              <w:jc w:val="right"/>
              <w:ind w:right="586"/>
              <w:spacing w:after="0"/>
              <w:rPr>
                <w:sz w:val="20"/>
                <w:szCs w:val="20"/>
                <w:color w:val="auto"/>
              </w:rPr>
            </w:pPr>
            <w:r>
              <w:rPr>
                <w:rFonts w:ascii="Arial" w:cs="Arial" w:eastAsia="Arial" w:hAnsi="Arial"/>
                <w:sz w:val="14"/>
                <w:szCs w:val="14"/>
                <w:b w:val="1"/>
                <w:bCs w:val="1"/>
                <w:color w:val="auto"/>
              </w:rPr>
              <w:t>Accounts receivable percentage</w:t>
            </w:r>
          </w:p>
        </w:tc>
        <w:tc>
          <w:tcPr>
            <w:tcW w:w="0" w:type="dxa"/>
            <w:vAlign w:val="bottom"/>
          </w:tcPr>
          <w:p>
            <w:pPr>
              <w:spacing w:after="0"/>
              <w:rPr>
                <w:sz w:val="1"/>
                <w:szCs w:val="1"/>
                <w:color w:val="auto"/>
              </w:rPr>
            </w:pPr>
          </w:p>
        </w:tc>
      </w:tr>
      <w:tr>
        <w:trPr>
          <w:trHeight w:val="24"/>
        </w:trPr>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vMerge w:val="restart"/>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0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w w:val="99"/>
              </w:rPr>
              <w:t>September 30, 2022</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6"/>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9"/>
              </w:rPr>
              <w:t>A</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0" w:type="dxa"/>
            <w:vAlign w:val="bottom"/>
          </w:tcPr>
          <w:p>
            <w:pPr>
              <w:spacing w:after="0"/>
              <w:rPr>
                <w:sz w:val="1"/>
                <w:szCs w:val="1"/>
                <w:color w:val="auto"/>
              </w:rPr>
            </w:pPr>
          </w:p>
        </w:tc>
      </w:tr>
      <w:tr>
        <w:trPr>
          <w:trHeight w:val="201"/>
        </w:trPr>
        <w:tc>
          <w:tcPr>
            <w:tcW w:w="2060" w:type="dxa"/>
            <w:vAlign w:val="bottom"/>
            <w:gridSpan w:val="2"/>
          </w:tcPr>
          <w:p>
            <w:pPr>
              <w:jc w:val="center"/>
              <w:ind w:right="120"/>
              <w:spacing w:after="0"/>
              <w:rPr>
                <w:sz w:val="20"/>
                <w:szCs w:val="20"/>
                <w:color w:val="auto"/>
              </w:rPr>
            </w:pPr>
            <w:r>
              <w:rPr>
                <w:rFonts w:ascii="Arial" w:cs="Arial" w:eastAsia="Arial" w:hAnsi="Arial"/>
                <w:sz w:val="15"/>
                <w:szCs w:val="15"/>
                <w:color w:val="auto"/>
                <w:w w:val="99"/>
              </w:rPr>
              <w:t>B</w:t>
            </w:r>
          </w:p>
        </w:tc>
        <w:tc>
          <w:tcPr>
            <w:tcW w:w="1500" w:type="dxa"/>
            <w:vAlign w:val="bottom"/>
          </w:tcPr>
          <w:p>
            <w:pPr>
              <w:jc w:val="right"/>
              <w:spacing w:after="0"/>
              <w:rPr>
                <w:sz w:val="20"/>
                <w:szCs w:val="20"/>
                <w:color w:val="auto"/>
              </w:rPr>
            </w:pPr>
            <w:r>
              <w:rPr>
                <w:rFonts w:ascii="Arial" w:cs="Arial" w:eastAsia="Arial" w:hAnsi="Arial"/>
                <w:sz w:val="15"/>
                <w:szCs w:val="15"/>
                <w:color w:val="auto"/>
              </w:rPr>
              <w:t>17 %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12 %</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Company’s principal operations, including the majority of its employees and the fixed assets owned by its wholly owned subsidiaries, are located in the Philippines.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 Business Combinations</w:t>
      </w:r>
    </w:p>
    <w:p>
      <w:pPr>
        <w:spacing w:after="0" w:line="10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6"/>
          <w:szCs w:val="16"/>
          <w:color w:val="auto"/>
        </w:rPr>
        <w:t>The Company accounts for business combinations in accordance with Accounting Standards Codification (“ASC”) Topic 805, Business Combinations. The purchase price of the acquisition is allocated to the tangible and intangible assets acquired and liabilities assumed based on their estimated fair values at the acquisition date. The excess of the purchase price over those fair values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62"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6"/>
          <w:szCs w:val="16"/>
          <w:color w:val="auto"/>
        </w:rPr>
        <w:t>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consolidated statements of operations.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 Leases</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At inception of a contract, the Company determines whether an arrangement is, or contains, a lease based on the substance of the arrangement. In determining whether a contract contains a lease, we consider whether (1) we have the right to obtain substantially all of the economic benefits from the use of the asset throughout the term of the contract, (2) we have the right to direct how and for what purpose the asset is used throughout the term of the contract and (3) we have the right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operate the asset throughout the term of the contract without the lessor having the right to change the terms of the contract. If a lease is identified, the Company determines whether it should be classified as an operating or finance lease at commencement.</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has various leases for office spaces under operating lease agreements which have a range of expiration dates from one to ten years, and often include a renewal option for an additional term.</w:t>
      </w:r>
    </w:p>
    <w:p>
      <w:pPr>
        <w:spacing w:after="0" w:line="61"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Our right of use (“ROU”) lease assets represent our right to use an underlying asset for the lease term and may include any advance lease payments made. Our ROU lease liabilities represent our obligation to make lease payments arising from the contractual terms of the lease. ROU lease assets and lease liabilities are recognized at the commencement of the lease and are calculated using the present value of lease payments over the lease term. Typically, lease agreements do not provide sufficient detail to arrive at an implicit interest rate. Therefore, the Company uses its estimated incremental borrowing rates (“IBR”) based on information available at the commencement date of the lease to calculate the present value of the lease payments. In estimating its IBR, the Company considers the credit rating, the lease term, the currency of the lease payments and market rates of comparable collateralized borrowings for similar terms.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 Share Repurchases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records its repurchases of common stock at cost, including direct and incremental costs, as a separate component of shareholders' equity.</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(h) Recent Accounting Pronouncements</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14"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In February 2016, the Financial Accounting Standards Board (the "FASB") issued Accounting Standards Update ("ASU") ASU 2016-02, Leases (Topic 842), which supersedes ASC 840. The Company adopted this standard in the second quarter of 2022, effective as of January 1, 2022, using the modified retrospective method and the effective date as the date of initial application. The Company recorded right-of-use assets of $45.8 million and lease liabilities of $48.5 million, respectively to the consolidated balance sheet. The Company elected the "package of practical expedients," which permits the Company not to reassess under Topic 842 any prior conclusions about lease identification, lease classification and initial direct costs. The Company did not apply the short-term lease exception and will therefore recognize a right-of-use asset and lease liability for all leases. The adoption of the lease standard did not have a material impact on the Company's consolidated statement of operations nor on its consolidated cash flow statements.</w:t>
      </w:r>
    </w:p>
    <w:p>
      <w:pPr>
        <w:spacing w:after="0" w:line="66"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In October 2021, the FASB issued ASU No. 2021-08, Business Combinations (Topic 805): Accounting for Contract Assets and Contract Liabilities from Contracts with Customers. ASU 2021-08 requires the company acquiring contract assets and contract liabilities obtained in a business combination to recognize and measure them in accordance with ASC 606, Revenue from Contracts with Customers. At the acquisition date, the company acquiring the business should record related revenue, as if it had originated the contract. Before the update such amounts were recognized by the acquiring company at fair value. The amendments in this update are effective for fiscal years beginning after December 15, 2022, including interim periods within those fiscal years. Early adoption is permitted, including in interim periods, for any financial statements that have not yet been issued. The Company early adopted ASU 2021-08 as of April 1, 2022. See Note 3, "Business Combination" for additional information and disclosures related to the heloo acquisition.</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4"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This ASU will be effective for the Company beginning in fiscal year 2023 with early adoption permitted. The Company is currently evaluating the impact of adopting ASU 2016-13 on the Company’s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3. Business Combination</w:t>
      </w:r>
    </w:p>
    <w:p>
      <w:pPr>
        <w:spacing w:after="0" w:line="107" w:lineRule="exact"/>
        <w:rPr>
          <w:sz w:val="20"/>
          <w:szCs w:val="20"/>
          <w:color w:val="auto"/>
        </w:rPr>
      </w:pPr>
    </w:p>
    <w:p>
      <w:pPr>
        <w:jc w:val="both"/>
        <w:ind w:firstLine="464"/>
        <w:spacing w:after="0" w:line="246" w:lineRule="auto"/>
        <w:rPr>
          <w:sz w:val="20"/>
          <w:szCs w:val="20"/>
          <w:color w:val="auto"/>
        </w:rPr>
      </w:pPr>
      <w:r>
        <w:rPr>
          <w:rFonts w:ascii="Arial" w:cs="Arial" w:eastAsia="Arial" w:hAnsi="Arial"/>
          <w:sz w:val="17"/>
          <w:szCs w:val="17"/>
          <w:color w:val="auto"/>
        </w:rPr>
        <w:t>On April 15, 2022 (the “Closing Date”), the Company completed the acquisition of 100% of the equity interests of heloo, a Croatia-based Digital Customer Experience solutions provider to European technology companies supporting 20 languages across seven additional Eastern European countries, including Bosnia, Serbia, and Slovenia. The Company believes this acquisition will be complementary to the Company's growth strategy by expanding its global delivery footprint with a suite of multi-lingual, cost-competitive Digital Customer Experience services.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acquisition date fair value of the consideration transferred was $35.4 million, consisting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6"/>
        </w:trPr>
        <w:tc>
          <w:tcPr>
            <w:tcW w:w="982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Cash consideration</w:t>
            </w:r>
            <w:r>
              <w:rPr>
                <w:rFonts w:ascii="Arial" w:cs="Arial" w:eastAsia="Arial" w:hAnsi="Arial"/>
                <w:sz w:val="20"/>
                <w:szCs w:val="20"/>
                <w:color w:val="auto"/>
                <w:vertAlign w:val="superscript"/>
              </w:rPr>
              <w:t>(1)</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26,006</w:t>
            </w:r>
          </w:p>
        </w:tc>
      </w:tr>
      <w:tr>
        <w:trPr>
          <w:trHeight w:val="206"/>
        </w:trPr>
        <w:tc>
          <w:tcPr>
            <w:tcW w:w="9820" w:type="dxa"/>
            <w:vAlign w:val="bottom"/>
          </w:tcPr>
          <w:p>
            <w:pPr>
              <w:ind w:left="20"/>
              <w:spacing w:after="0" w:line="207" w:lineRule="exact"/>
              <w:rPr>
                <w:sz w:val="20"/>
                <w:szCs w:val="20"/>
                <w:color w:val="auto"/>
              </w:rPr>
            </w:pPr>
            <w:r>
              <w:rPr>
                <w:rFonts w:ascii="Arial" w:cs="Arial" w:eastAsia="Arial" w:hAnsi="Arial"/>
                <w:sz w:val="15"/>
                <w:szCs w:val="15"/>
                <w:color w:val="auto"/>
              </w:rPr>
              <w:t>Holdback cash consideration</w:t>
            </w:r>
            <w:r>
              <w:rPr>
                <w:rFonts w:ascii="Arial" w:cs="Arial" w:eastAsia="Arial" w:hAnsi="Arial"/>
                <w:sz w:val="20"/>
                <w:szCs w:val="20"/>
                <w:color w:val="auto"/>
                <w:vertAlign w:val="superscript"/>
              </w:rPr>
              <w:t>(2)</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2,164</w:t>
            </w:r>
          </w:p>
        </w:tc>
      </w:tr>
      <w:tr>
        <w:trPr>
          <w:trHeight w:val="206"/>
        </w:trPr>
        <w:tc>
          <w:tcPr>
            <w:tcW w:w="982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Equity consideration</w:t>
            </w:r>
            <w:r>
              <w:rPr>
                <w:rFonts w:ascii="Arial" w:cs="Arial" w:eastAsia="Arial" w:hAnsi="Arial"/>
                <w:sz w:val="20"/>
                <w:szCs w:val="20"/>
                <w:color w:val="auto"/>
                <w:vertAlign w:val="superscript"/>
              </w:rPr>
              <w:t>(3)</w:t>
            </w:r>
          </w:p>
        </w:tc>
        <w:tc>
          <w:tcPr>
            <w:tcW w:w="5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7,196</w:t>
            </w:r>
          </w:p>
        </w:tc>
      </w:tr>
      <w:tr>
        <w:trPr>
          <w:trHeight w:val="199"/>
        </w:trPr>
        <w:tc>
          <w:tcPr>
            <w:tcW w:w="9820" w:type="dxa"/>
            <w:vAlign w:val="bottom"/>
          </w:tcPr>
          <w:p>
            <w:pPr>
              <w:ind w:left="220"/>
              <w:spacing w:after="0"/>
              <w:rPr>
                <w:sz w:val="20"/>
                <w:szCs w:val="20"/>
                <w:color w:val="auto"/>
              </w:rPr>
            </w:pPr>
            <w:r>
              <w:rPr>
                <w:rFonts w:ascii="Arial" w:cs="Arial" w:eastAsia="Arial" w:hAnsi="Arial"/>
                <w:sz w:val="15"/>
                <w:szCs w:val="15"/>
                <w:color w:val="auto"/>
              </w:rPr>
              <w:t>Total consideration</w:t>
            </w:r>
          </w:p>
        </w:tc>
        <w:tc>
          <w:tcPr>
            <w:tcW w:w="5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35,366</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480" w:hanging="460"/>
        <w:spacing w:after="0"/>
        <w:tabs>
          <w:tab w:leader="none" w:pos="480" w:val="left"/>
        </w:tabs>
        <w:numPr>
          <w:ilvl w:val="0"/>
          <w:numId w:val="7"/>
        </w:numPr>
        <w:rPr>
          <w:rFonts w:ascii="Arial" w:cs="Arial" w:eastAsia="Arial" w:hAnsi="Arial"/>
          <w:sz w:val="27"/>
          <w:szCs w:val="27"/>
          <w:color w:val="auto"/>
          <w:vertAlign w:val="superscript"/>
        </w:rPr>
      </w:pPr>
      <w:r>
        <w:rPr>
          <w:rFonts w:ascii="Arial" w:cs="Arial" w:eastAsia="Arial" w:hAnsi="Arial"/>
          <w:sz w:val="14"/>
          <w:szCs w:val="14"/>
          <w:color w:val="auto"/>
        </w:rPr>
        <w:t>Represents cash consideration paid to the sellers to complete the acquisition.</w:t>
      </w:r>
    </w:p>
    <w:p>
      <w:pPr>
        <w:spacing w:after="0" w:line="30" w:lineRule="exact"/>
        <w:rPr>
          <w:rFonts w:ascii="Arial" w:cs="Arial" w:eastAsia="Arial" w:hAnsi="Arial"/>
          <w:sz w:val="27"/>
          <w:szCs w:val="27"/>
          <w:color w:val="auto"/>
          <w:vertAlign w:val="superscript"/>
        </w:rPr>
      </w:pPr>
    </w:p>
    <w:p>
      <w:pPr>
        <w:jc w:val="both"/>
        <w:ind w:left="480" w:right="20" w:hanging="460"/>
        <w:spacing w:after="0" w:line="285" w:lineRule="auto"/>
        <w:tabs>
          <w:tab w:leader="none" w:pos="4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consideration, which was retained by the Company as security to satisfy sellers' obligations for potential future contractual claims arising under the terms of the purchase agreement; provided that the amount of the holdback shall not serve as any limitation on the indemnification obligations of the sellers under the purchase agreement. The holdback is payable to the sellers, net of any such claims, 18 months after the Closing Date except for a portion of the holdback related to potential tax claims, which is payable three years after the Closing Date, net of any tax claims.</w:t>
      </w:r>
    </w:p>
    <w:p>
      <w:pPr>
        <w:spacing w:after="0" w:line="1" w:lineRule="exact"/>
        <w:rPr>
          <w:rFonts w:ascii="Arial" w:cs="Arial" w:eastAsia="Arial" w:hAnsi="Arial"/>
          <w:sz w:val="11"/>
          <w:szCs w:val="11"/>
          <w:color w:val="auto"/>
        </w:rPr>
      </w:pPr>
    </w:p>
    <w:p>
      <w:pPr>
        <w:ind w:left="480" w:right="20" w:hanging="460"/>
        <w:spacing w:after="0" w:line="235"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Comprised of 200,103 shares of the Company's Class A common stock issued in relation to this acquisition. The fair value was determined on the basis of the closing market price of the Company's Class A common stock on the acquisition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preliminary fair values of assets acquired and liabilities assumed as of the date of acquisition: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6"/>
        </w:trPr>
        <w:tc>
          <w:tcPr>
            <w:tcW w:w="9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2,771</w:t>
            </w:r>
          </w:p>
        </w:tc>
      </w:tr>
      <w:tr>
        <w:trPr>
          <w:trHeight w:val="203"/>
        </w:trPr>
        <w:tc>
          <w:tcPr>
            <w:tcW w:w="9820" w:type="dxa"/>
            <w:vAlign w:val="bottom"/>
          </w:tcPr>
          <w:p>
            <w:pPr>
              <w:ind w:left="20"/>
              <w:spacing w:after="0"/>
              <w:rPr>
                <w:sz w:val="20"/>
                <w:szCs w:val="20"/>
                <w:color w:val="auto"/>
              </w:rPr>
            </w:pPr>
            <w:r>
              <w:rPr>
                <w:rFonts w:ascii="Arial" w:cs="Arial" w:eastAsia="Arial" w:hAnsi="Arial"/>
                <w:sz w:val="15"/>
                <w:szCs w:val="15"/>
                <w:color w:val="auto"/>
              </w:rPr>
              <w:t>Intangibles</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11,198</w:t>
            </w:r>
          </w:p>
        </w:tc>
      </w:tr>
      <w:tr>
        <w:trPr>
          <w:trHeight w:val="209"/>
        </w:trPr>
        <w:tc>
          <w:tcPr>
            <w:tcW w:w="9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21,582</w:t>
            </w:r>
          </w:p>
        </w:tc>
      </w:tr>
      <w:tr>
        <w:trPr>
          <w:trHeight w:val="203"/>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 acquired</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3,947</w:t>
            </w:r>
          </w:p>
        </w:tc>
      </w:tr>
      <w:tr>
        <w:trPr>
          <w:trHeight w:val="202"/>
        </w:trPr>
        <w:tc>
          <w:tcPr>
            <w:tcW w:w="9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assets</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39,498</w:t>
            </w:r>
          </w:p>
        </w:tc>
      </w:tr>
      <w:tr>
        <w:trPr>
          <w:trHeight w:val="245"/>
        </w:trPr>
        <w:tc>
          <w:tcPr>
            <w:tcW w:w="9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9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liabilities assumed</w:t>
            </w:r>
          </w:p>
        </w:tc>
        <w:tc>
          <w:tcPr>
            <w:tcW w:w="5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4,132</w:t>
            </w:r>
          </w:p>
        </w:tc>
      </w:tr>
      <w:tr>
        <w:trPr>
          <w:trHeight w:val="202"/>
        </w:trPr>
        <w:tc>
          <w:tcPr>
            <w:tcW w:w="9820" w:type="dxa"/>
            <w:vAlign w:val="bottom"/>
          </w:tcPr>
          <w:p>
            <w:pPr>
              <w:ind w:left="400"/>
              <w:spacing w:after="0"/>
              <w:rPr>
                <w:sz w:val="20"/>
                <w:szCs w:val="20"/>
                <w:color w:val="auto"/>
              </w:rPr>
            </w:pPr>
            <w:r>
              <w:rPr>
                <w:rFonts w:ascii="Arial" w:cs="Arial" w:eastAsia="Arial" w:hAnsi="Arial"/>
                <w:sz w:val="15"/>
                <w:szCs w:val="15"/>
                <w:color w:val="auto"/>
              </w:rPr>
              <w:t>Net assets acquired</w:t>
            </w:r>
          </w:p>
        </w:tc>
        <w:tc>
          <w:tcPr>
            <w:tcW w:w="5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35,366</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6"/>
          <w:szCs w:val="16"/>
          <w:color w:val="auto"/>
        </w:rPr>
        <w:t>The preliminary purchase price allocation was based upon a preliminary valuation, and the Company’s estimates and assumptions are subject to change within the measurement period (which may be up to twelve months following the acquisition date). The goodwill is derived from anticipated operational synergies and assembled workforce. None of the goodwill recorded is deductible for tax purposes. The primary areas of the preliminary purchase price allocation that are not yet finalized relate to the valuation of identifiable intangible assets acquired, the fair value of certain tangible assets acquired and liabilities assumed. The Company expects to continue to obtain information for the purpose of determining the fair value of the assets acquired and liabilities assumed on the acquisition date throughout the remainder of the measurement period. The purchase price allocation is subject to further adjustment until all pertinent information regarding the assets acquired is fully evaluated by the Company, including but not limited to, the fair value accounting.</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preliminary purchase price allocation includes $11.2 million of acquired identifiable intangible assets, consisting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useful lives)</w:t>
            </w:r>
          </w:p>
        </w:tc>
        <w:tc>
          <w:tcPr>
            <w:tcW w:w="140" w:type="dxa"/>
            <w:vAlign w:val="bottom"/>
          </w:tcPr>
          <w:p>
            <w:pPr>
              <w:spacing w:after="0"/>
              <w:rPr>
                <w:sz w:val="14"/>
                <w:szCs w:val="14"/>
                <w:color w:val="auto"/>
              </w:rPr>
            </w:pPr>
          </w:p>
        </w:tc>
        <w:tc>
          <w:tcPr>
            <w:tcW w:w="150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w w:val="92"/>
              </w:rPr>
              <w:t>Estimated Fair Value</w:t>
            </w:r>
          </w:p>
        </w:tc>
        <w:tc>
          <w:tcPr>
            <w:tcW w:w="80" w:type="dxa"/>
            <w:vAlign w:val="bottom"/>
          </w:tcPr>
          <w:p>
            <w:pPr>
              <w:spacing w:after="0"/>
              <w:rPr>
                <w:sz w:val="14"/>
                <w:szCs w:val="14"/>
                <w:color w:val="auto"/>
              </w:rPr>
            </w:pPr>
          </w:p>
        </w:tc>
        <w:tc>
          <w:tcPr>
            <w:tcW w:w="1640" w:type="dxa"/>
            <w:vAlign w:val="bottom"/>
          </w:tcPr>
          <w:p>
            <w:pPr>
              <w:jc w:val="right"/>
              <w:ind w:right="31"/>
              <w:spacing w:after="0"/>
              <w:rPr>
                <w:sz w:val="20"/>
                <w:szCs w:val="20"/>
                <w:color w:val="auto"/>
              </w:rPr>
            </w:pPr>
            <w:r>
              <w:rPr>
                <w:rFonts w:ascii="Arial" w:cs="Arial" w:eastAsia="Arial" w:hAnsi="Arial"/>
                <w:sz w:val="14"/>
                <w:szCs w:val="14"/>
                <w:b w:val="1"/>
                <w:bCs w:val="1"/>
                <w:color w:val="auto"/>
                <w:w w:val="95"/>
              </w:rPr>
              <w:t>Estimated Useful Life in</w:t>
            </w:r>
          </w:p>
        </w:tc>
        <w:tc>
          <w:tcPr>
            <w:tcW w:w="0" w:type="dxa"/>
            <w:vAlign w:val="bottom"/>
          </w:tcPr>
          <w:p>
            <w:pPr>
              <w:spacing w:after="0"/>
              <w:rPr>
                <w:sz w:val="1"/>
                <w:szCs w:val="1"/>
                <w:color w:val="auto"/>
              </w:rPr>
            </w:pPr>
          </w:p>
        </w:tc>
      </w:tr>
      <w:tr>
        <w:trPr>
          <w:trHeight w:val="184"/>
        </w:trPr>
        <w:tc>
          <w:tcPr>
            <w:tcW w:w="78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5"/>
        </w:trPr>
        <w:tc>
          <w:tcPr>
            <w:tcW w:w="7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10,872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3"/>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Trade name</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7"/>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11,198</w:t>
            </w:r>
          </w:p>
        </w:tc>
        <w:tc>
          <w:tcPr>
            <w:tcW w:w="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41" w:lineRule="auto"/>
        <w:rPr>
          <w:sz w:val="20"/>
          <w:szCs w:val="20"/>
          <w:color w:val="auto"/>
        </w:rPr>
      </w:pPr>
      <w:r>
        <w:rPr>
          <w:rFonts w:ascii="Arial" w:cs="Arial" w:eastAsia="Arial" w:hAnsi="Arial"/>
          <w:sz w:val="17"/>
          <w:szCs w:val="17"/>
          <w:color w:val="auto"/>
        </w:rPr>
        <w:t>The preliminary fair values of the identifiable intangible assets have been estimated using the Excess Earnings Method. The intangible assets are being amortized over their estimated useful lives on a straight-line basis that reflects the economic benefit of the assets. The determination of the useful lives is based upon various industry studies, historical acquisition experience, economic factors, and future forecasted cash flows of the Company following the acquisition of heloo.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5"/>
          <w:szCs w:val="15"/>
          <w:color w:val="auto"/>
        </w:rPr>
        <w:t>Subject to heloo's EBITDA (as defined in the share purchase agreement for the acquisition) margin exceeding a minimum level, the former shareholders of heloo are eligible to receive contingent earn-out payments not to exceed EUR 20.0 million, based on a multiple of EBITDA in excess of certain prescribed EBITDA targets outlined in the purchase agreement during each of the one year periods beginning May 1, 2022 and May 1, 2023, which are payable after the first and second anniversaries from the Closing Date, respectively. The total fair value of contingent earn-out payments was determined to be $10.9 million and $7.7 million as September 30, 2022 and the acquisition date, respectively, based on a Monte Carlo simulation model, utilizing a discounted payout analysis based on probabilities and timing of achieving the prescribed targets. Since these payments are contingent on future service conditions, they will be recognized as compensation expense ratably over the required service period. For the three and nine months ended September 30, 2022, the Company recognized $3.6 million and $5.0 million, respectively, in compensation expense related to the contingent earn-out payments included in selling, general, and administrative expenses.</w:t>
      </w:r>
    </w:p>
    <w:p>
      <w:pPr>
        <w:spacing w:after="0" w:line="56" w:lineRule="exact"/>
        <w:rPr>
          <w:sz w:val="20"/>
          <w:szCs w:val="20"/>
          <w:color w:val="auto"/>
        </w:rPr>
      </w:pPr>
    </w:p>
    <w:p>
      <w:pPr>
        <w:jc w:val="both"/>
        <w:ind w:firstLine="464"/>
        <w:spacing w:after="0" w:line="244" w:lineRule="auto"/>
        <w:rPr>
          <w:sz w:val="20"/>
          <w:szCs w:val="20"/>
          <w:color w:val="auto"/>
        </w:rPr>
      </w:pPr>
      <w:r>
        <w:rPr>
          <w:rFonts w:ascii="Arial" w:cs="Arial" w:eastAsia="Arial" w:hAnsi="Arial"/>
          <w:sz w:val="17"/>
          <w:szCs w:val="17"/>
          <w:color w:val="auto"/>
        </w:rPr>
        <w:t>During the nine months ended September 30, 2022, the Company recognized $0.6 million of costs, including legal, professional, and other fees related to the acquisition, included in selling, general, and administrative expenses on the condensed consolidated statements of operations. The results of operations and the fair values of the assets acquired and liabilities assumed have been included in the condensed financial statements from the date of acquisition. This acquisition was not material to the Company's condensed consolidated financial statements for the current periods presented. Supplemental pro forma financial information has not been provided as the historical results of heloo were not material to the Company.</w:t>
      </w:r>
    </w:p>
    <w:p>
      <w:pPr>
        <w:spacing w:after="0" w:line="29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4. Revenue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Disaggregation of Revenue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Company's revenues are derived from contracts with customers related to business outsourcing services that it provides. The following table presents the breakdown of the Company’s revenues by service offering: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Digital Customer Experience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151,474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125,310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478,625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338,587</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Content Security</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43,910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45,376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136,093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124,498</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AI Services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103,551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70,861</w:t>
            </w:r>
          </w:p>
        </w:tc>
        <w:tc>
          <w:tcPr>
            <w:tcW w:w="0" w:type="dxa"/>
            <w:vAlign w:val="bottom"/>
          </w:tcPr>
          <w:p>
            <w:pPr>
              <w:spacing w:after="0"/>
              <w:rPr>
                <w:sz w:val="1"/>
                <w:szCs w:val="1"/>
                <w:color w:val="auto"/>
              </w:rPr>
            </w:pPr>
          </w:p>
        </w:tc>
      </w:tr>
      <w:tr>
        <w:trPr>
          <w:trHeight w:val="196"/>
        </w:trPr>
        <w:tc>
          <w:tcPr>
            <w:tcW w:w="5260" w:type="dxa"/>
            <w:vAlign w:val="bottom"/>
          </w:tcPr>
          <w:p>
            <w:pPr>
              <w:ind w:left="220"/>
              <w:spacing w:after="0"/>
              <w:rPr>
                <w:sz w:val="20"/>
                <w:szCs w:val="20"/>
                <w:color w:val="auto"/>
              </w:rPr>
            </w:pPr>
            <w:r>
              <w:rPr>
                <w:rFonts w:ascii="Arial" w:cs="Arial" w:eastAsia="Arial" w:hAnsi="Arial"/>
                <w:sz w:val="15"/>
                <w:szCs w:val="15"/>
                <w:color w:val="auto"/>
              </w:rPr>
              <w:t>Service revenue</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232,130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201,053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718,269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533,946</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Philippines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371,909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284,096</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49,040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65,866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202,444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175,553</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55,583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143,916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74,297</w:t>
            </w:r>
          </w:p>
        </w:tc>
        <w:tc>
          <w:tcPr>
            <w:tcW w:w="0" w:type="dxa"/>
            <w:vAlign w:val="bottom"/>
          </w:tcPr>
          <w:p>
            <w:pPr>
              <w:spacing w:after="0"/>
              <w:rPr>
                <w:sz w:val="1"/>
                <w:szCs w:val="1"/>
                <w:color w:val="auto"/>
              </w:rPr>
            </w:pPr>
          </w:p>
        </w:tc>
      </w:tr>
      <w:tr>
        <w:trPr>
          <w:trHeight w:val="196"/>
        </w:trPr>
        <w:tc>
          <w:tcPr>
            <w:tcW w:w="5260" w:type="dxa"/>
            <w:vAlign w:val="bottom"/>
          </w:tcPr>
          <w:p>
            <w:pPr>
              <w:ind w:left="220"/>
              <w:spacing w:after="0"/>
              <w:rPr>
                <w:sz w:val="20"/>
                <w:szCs w:val="20"/>
                <w:color w:val="auto"/>
              </w:rPr>
            </w:pPr>
            <w:r>
              <w:rPr>
                <w:rFonts w:ascii="Arial" w:cs="Arial" w:eastAsia="Arial" w:hAnsi="Arial"/>
                <w:sz w:val="15"/>
                <w:szCs w:val="15"/>
                <w:color w:val="auto"/>
              </w:rPr>
              <w:t>Service revenue</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232,130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201,053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718,269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533,946</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Contract Balances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Accounts receivable, net of allowance for doubtful accounts includes $81.5 million and $75.5 million of unbilled revenues as of September 30, 2022 and December 31, 2021, respectively.</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5. Forward Contracts and Fair Value Measurement</w:t>
      </w:r>
    </w:p>
    <w:p>
      <w:pPr>
        <w:spacing w:after="0" w:line="12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 Company transacts business in various foreign currencies and has international sales and expenses denominated in foreign currencies, subjecting the Company to foreign currency exchange rate risk. During 2022 and 2021, the Company entered into foreign currency exchange rate forward contracts, with two commercial banks as the counterparties, with maturities of generally 12 months or less, to reduce the volatility of cash flows primarily related to forecasted costs denominated in Philippine pesos.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expense in the consolidated statements of operations. The forward contract payable resulting from changes in fair value was recorded under accounts payable and accrued liabilities.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Company's settled forward contracts and realized and unrealized losses (gains) associated with derivative contracts: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5"/>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5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notional amount of settled forward contracts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51,247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77,400</w:t>
            </w:r>
          </w:p>
        </w:tc>
        <w:tc>
          <w:tcPr>
            <w:tcW w:w="0" w:type="dxa"/>
            <w:vAlign w:val="bottom"/>
          </w:tcPr>
          <w:p>
            <w:pPr>
              <w:spacing w:after="0"/>
              <w:rPr>
                <w:sz w:val="1"/>
                <w:szCs w:val="1"/>
                <w:color w:val="auto"/>
              </w:rPr>
            </w:pPr>
          </w:p>
        </w:tc>
      </w:tr>
      <w:tr>
        <w:trPr>
          <w:trHeight w:val="203"/>
        </w:trPr>
        <w:tc>
          <w:tcPr>
            <w:tcW w:w="5280" w:type="dxa"/>
            <w:vAlign w:val="bottom"/>
          </w:tcPr>
          <w:p>
            <w:pPr>
              <w:ind w:left="20"/>
              <w:spacing w:after="0"/>
              <w:rPr>
                <w:sz w:val="20"/>
                <w:szCs w:val="20"/>
                <w:color w:val="auto"/>
              </w:rPr>
            </w:pPr>
            <w:r>
              <w:rPr>
                <w:rFonts w:ascii="Arial" w:cs="Arial" w:eastAsia="Arial" w:hAnsi="Arial"/>
                <w:sz w:val="15"/>
                <w:szCs w:val="15"/>
                <w:color w:val="auto"/>
              </w:rPr>
              <w:t>Realized losses (gains) from settlement of forward contracts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4,474</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734</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8,017</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(622)</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losses on forward contracts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6,070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Company's outstanding forward contracts: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5"/>
                <w:szCs w:val="15"/>
                <w:color w:val="auto"/>
              </w:rPr>
            </w:pPr>
          </w:p>
        </w:tc>
        <w:tc>
          <w:tcPr>
            <w:tcW w:w="1300" w:type="dxa"/>
            <w:vAlign w:val="bottom"/>
          </w:tcPr>
          <w:p>
            <w:pPr>
              <w:jc w:val="right"/>
              <w:ind w:right="87"/>
              <w:spacing w:after="0"/>
              <w:rPr>
                <w:sz w:val="20"/>
                <w:szCs w:val="20"/>
                <w:color w:val="auto"/>
              </w:rPr>
            </w:pPr>
            <w:r>
              <w:rPr>
                <w:rFonts w:ascii="Arial" w:cs="Arial" w:eastAsia="Arial" w:hAnsi="Arial"/>
                <w:sz w:val="14"/>
                <w:szCs w:val="14"/>
                <w:b w:val="1"/>
                <w:bCs w:val="1"/>
                <w:color w:val="auto"/>
                <w:w w:val="88"/>
              </w:rPr>
              <w:t>December 31, 2021</w:t>
            </w:r>
          </w:p>
        </w:tc>
      </w:tr>
      <w:tr>
        <w:trPr>
          <w:trHeight w:val="24"/>
        </w:trPr>
        <w:tc>
          <w:tcPr>
            <w:tcW w:w="8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notional amount of outstanding forward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160,567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127,200</w:t>
            </w:r>
          </w:p>
        </w:tc>
      </w:tr>
    </w:tbl>
    <w:p>
      <w:pPr>
        <w:spacing w:after="0" w:line="168"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7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7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72"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at September 30, 2022 and December 31, 2021 and indicates the fair value hierarchy of the valuation techniques utilized to determine such fair value: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6"/>
          </w:tcPr>
          <w:p>
            <w:pPr>
              <w:ind w:left="20"/>
              <w:spacing w:after="0"/>
              <w:rPr>
                <w:sz w:val="20"/>
                <w:szCs w:val="20"/>
                <w:color w:val="auto"/>
              </w:rPr>
            </w:pPr>
            <w:r>
              <w:rPr>
                <w:rFonts w:ascii="Arial" w:cs="Arial" w:eastAsia="Arial" w:hAnsi="Arial"/>
                <w:sz w:val="14"/>
                <w:szCs w:val="14"/>
                <w:b w:val="1"/>
                <w:bCs w:val="1"/>
                <w:color w:val="auto"/>
              </w:rPr>
              <w:t>Fair value measurements using</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2021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jc w:val="center"/>
              <w:ind w:left="148"/>
              <w:spacing w:after="0" w:line="133" w:lineRule="exact"/>
              <w:rPr>
                <w:sz w:val="20"/>
                <w:szCs w:val="20"/>
                <w:color w:val="auto"/>
              </w:rPr>
            </w:pPr>
            <w:r>
              <w:rPr>
                <w:rFonts w:ascii="Arial" w:cs="Arial" w:eastAsia="Arial" w:hAnsi="Arial"/>
                <w:sz w:val="14"/>
                <w:szCs w:val="14"/>
                <w:b w:val="1"/>
                <w:bCs w:val="1"/>
                <w:color w:val="auto"/>
                <w:w w:val="88"/>
              </w:rPr>
              <w:t>Level 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Level 2</w:t>
            </w:r>
          </w:p>
        </w:tc>
        <w:tc>
          <w:tcPr>
            <w:tcW w:w="720" w:type="dxa"/>
            <w:vAlign w:val="bottom"/>
          </w:tcPr>
          <w:p>
            <w:pPr>
              <w:jc w:val="center"/>
              <w:ind w:left="188"/>
              <w:spacing w:after="0" w:line="133" w:lineRule="exact"/>
              <w:rPr>
                <w:sz w:val="20"/>
                <w:szCs w:val="20"/>
                <w:color w:val="auto"/>
              </w:rPr>
            </w:pPr>
            <w:r>
              <w:rPr>
                <w:rFonts w:ascii="Arial" w:cs="Arial" w:eastAsia="Arial" w:hAnsi="Arial"/>
                <w:sz w:val="14"/>
                <w:szCs w:val="14"/>
                <w:b w:val="1"/>
                <w:bCs w:val="1"/>
                <w:color w:val="auto"/>
                <w:w w:val="88"/>
              </w:rPr>
              <w:t>Level 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w w:val="92"/>
              </w:rPr>
              <w:t>Level 1</w:t>
            </w:r>
          </w:p>
        </w:tc>
        <w:tc>
          <w:tcPr>
            <w:tcW w:w="8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Level 2</w:t>
            </w:r>
          </w:p>
        </w:tc>
        <w:tc>
          <w:tcPr>
            <w:tcW w:w="180" w:type="dxa"/>
            <w:vAlign w:val="bottom"/>
          </w:tcPr>
          <w:p>
            <w:pPr>
              <w:spacing w:after="0"/>
              <w:rPr>
                <w:sz w:val="11"/>
                <w:szCs w:val="11"/>
                <w:color w:val="auto"/>
              </w:rPr>
            </w:pPr>
          </w:p>
        </w:tc>
        <w:tc>
          <w:tcPr>
            <w:tcW w:w="1120" w:type="dxa"/>
            <w:vAlign w:val="bottom"/>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88"/>
              </w:rPr>
              <w:t>Level 3</w:t>
            </w:r>
          </w:p>
        </w:tc>
        <w:tc>
          <w:tcPr>
            <w:tcW w:w="760" w:type="dxa"/>
            <w:vAlign w:val="bottom"/>
            <w:vMerge w:val="restart"/>
          </w:tcPr>
          <w:p>
            <w:pPr>
              <w:jc w:val="right"/>
              <w:ind w:right="26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82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5"/>
              </w:rPr>
              <w:t>inputs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5"/>
              </w:rPr>
              <w:t>inputs</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inputs</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5"/>
              </w:rPr>
              <w:t>inputs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5"/>
              </w:rPr>
              <w:t>inputs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Forward contracts payable</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16,315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5"/>
                <w:szCs w:val="15"/>
                <w:color w:val="auto"/>
                <w:w w:val="95"/>
              </w:rPr>
              <w:t>$</w:t>
            </w:r>
          </w:p>
        </w:tc>
        <w:tc>
          <w:tcPr>
            <w:tcW w:w="46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rPr>
              <w:t>—  $</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2,793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2,793</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272" w:lineRule="exact"/>
        <w:rPr>
          <w:sz w:val="20"/>
          <w:szCs w:val="20"/>
          <w:color w:val="auto"/>
        </w:rPr>
      </w:pPr>
    </w:p>
    <w:p>
      <w:pPr>
        <w:ind w:left="480" w:hanging="167"/>
        <w:spacing w:after="0"/>
        <w:tabs>
          <w:tab w:leader="none" w:pos="4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19"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property and equipment, net as of September 30, 2022 and December 31, 2021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4"/>
        </w:trPr>
        <w:tc>
          <w:tcPr>
            <w:tcW w:w="83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38,024</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5"/>
                <w:szCs w:val="15"/>
                <w:color w:val="auto"/>
              </w:rPr>
              <w:t>Technology and computers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88,456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81,679</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Furniture and fixtures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4,814</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5"/>
                <w:szCs w:val="15"/>
                <w:color w:val="auto"/>
              </w:rPr>
              <w:t>Construction in process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3,818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10,892</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property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8,405</w:t>
            </w:r>
          </w:p>
        </w:tc>
        <w:tc>
          <w:tcPr>
            <w:tcW w:w="0" w:type="dxa"/>
            <w:vAlign w:val="bottom"/>
          </w:tcPr>
          <w:p>
            <w:pPr>
              <w:spacing w:after="0"/>
              <w:rPr>
                <w:sz w:val="1"/>
                <w:szCs w:val="1"/>
                <w:color w:val="auto"/>
              </w:rPr>
            </w:pPr>
          </w:p>
        </w:tc>
      </w:tr>
      <w:tr>
        <w:trPr>
          <w:trHeight w:val="196"/>
        </w:trPr>
        <w:tc>
          <w:tcPr>
            <w:tcW w:w="8300" w:type="dxa"/>
            <w:vAlign w:val="bottom"/>
          </w:tcPr>
          <w:p>
            <w:pPr>
              <w:ind w:left="320"/>
              <w:spacing w:after="0"/>
              <w:rPr>
                <w:sz w:val="20"/>
                <w:szCs w:val="20"/>
                <w:color w:val="auto"/>
              </w:rPr>
            </w:pPr>
            <w:r>
              <w:rPr>
                <w:rFonts w:ascii="Arial" w:cs="Arial" w:eastAsia="Arial" w:hAnsi="Arial"/>
                <w:sz w:val="15"/>
                <w:szCs w:val="15"/>
                <w:color w:val="auto"/>
              </w:rPr>
              <w:t>Property and equipment, gross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157,780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143,814</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(82,717)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(63,768)</w:t>
            </w:r>
          </w:p>
        </w:tc>
        <w:tc>
          <w:tcPr>
            <w:tcW w:w="0" w:type="dxa"/>
            <w:vAlign w:val="bottom"/>
          </w:tcPr>
          <w:p>
            <w:pPr>
              <w:spacing w:after="0"/>
              <w:rPr>
                <w:sz w:val="1"/>
                <w:szCs w:val="1"/>
                <w:color w:val="auto"/>
              </w:rPr>
            </w:pPr>
          </w:p>
        </w:tc>
      </w:tr>
      <w:tr>
        <w:trPr>
          <w:trHeight w:val="196"/>
        </w:trPr>
        <w:tc>
          <w:tcPr>
            <w:tcW w:w="8300" w:type="dxa"/>
            <w:vAlign w:val="bottom"/>
          </w:tcPr>
          <w:p>
            <w:pPr>
              <w:ind w:left="540"/>
              <w:spacing w:after="0"/>
              <w:rPr>
                <w:sz w:val="20"/>
                <w:szCs w:val="20"/>
                <w:color w:val="auto"/>
              </w:rPr>
            </w:pPr>
            <w:r>
              <w:rPr>
                <w:rFonts w:ascii="Arial" w:cs="Arial" w:eastAsia="Arial" w:hAnsi="Arial"/>
                <w:sz w:val="15"/>
                <w:szCs w:val="15"/>
                <w:color w:val="auto"/>
              </w:rPr>
              <w:t>Property and equipment, net</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75,063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80,046</w:t>
            </w: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464"/>
        <w:spacing w:after="0" w:line="312" w:lineRule="auto"/>
        <w:rPr>
          <w:sz w:val="20"/>
          <w:szCs w:val="20"/>
          <w:color w:val="auto"/>
        </w:rPr>
      </w:pPr>
      <w:r>
        <w:rPr>
          <w:rFonts w:ascii="Arial" w:cs="Arial" w:eastAsia="Arial" w:hAnsi="Arial"/>
          <w:sz w:val="16"/>
          <w:szCs w:val="16"/>
          <w:color w:val="auto"/>
        </w:rPr>
        <w:t>The Company’s principal operations are in the Philippines where the majority of property and equipment resides under its wholly owned subsidiaries. The table below presents the Company’s total property and equipment by geographic location as of September 30, 2022 and December 31,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4"/>
        </w:trPr>
        <w:tc>
          <w:tcPr>
            <w:tcW w:w="83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Philippines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49,825</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9,806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10,273</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19,948</w:t>
            </w:r>
          </w:p>
        </w:tc>
        <w:tc>
          <w:tcPr>
            <w:tcW w:w="0" w:type="dxa"/>
            <w:vAlign w:val="bottom"/>
          </w:tcPr>
          <w:p>
            <w:pPr>
              <w:spacing w:after="0"/>
              <w:rPr>
                <w:sz w:val="1"/>
                <w:szCs w:val="1"/>
                <w:color w:val="auto"/>
              </w:rPr>
            </w:pPr>
          </w:p>
        </w:tc>
      </w:tr>
      <w:tr>
        <w:trPr>
          <w:trHeight w:val="196"/>
        </w:trPr>
        <w:tc>
          <w:tcPr>
            <w:tcW w:w="8300" w:type="dxa"/>
            <w:vAlign w:val="bottom"/>
          </w:tcPr>
          <w:p>
            <w:pPr>
              <w:ind w:left="480"/>
              <w:spacing w:after="0"/>
              <w:rPr>
                <w:sz w:val="20"/>
                <w:szCs w:val="20"/>
                <w:color w:val="auto"/>
              </w:rPr>
            </w:pPr>
            <w:r>
              <w:rPr>
                <w:rFonts w:ascii="Arial" w:cs="Arial" w:eastAsia="Arial" w:hAnsi="Arial"/>
                <w:sz w:val="15"/>
                <w:szCs w:val="15"/>
                <w:color w:val="auto"/>
              </w:rPr>
              <w:t>Property and equipment, net</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75,063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80,046</w:t>
            </w: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7. Goodwill and Intangibles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On April 15, 2022, the Company completed the acquisition of heloo. As a result of the acquisition, the Company recorded approximately $21.6 million of goodwill and $11.2 million of other identifiable intangible assets. See Note 3, “Business Combination” for additional information.</w:t>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changes in the carrying amount of goodwill during the period are as follows: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30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as of December 31, 2021</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Acquisition of heloo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30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Foreign currency translation</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as of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849" w:hanging="849"/>
        <w:spacing w:after="0"/>
        <w:tabs>
          <w:tab w:leader="none" w:pos="849" w:val="left"/>
        </w:tabs>
        <w:numPr>
          <w:ilvl w:val="0"/>
          <w:numId w:val="9"/>
        </w:numPr>
        <w:rPr>
          <w:rFonts w:ascii="Arial" w:cs="Arial" w:eastAsia="Arial" w:hAnsi="Arial"/>
          <w:sz w:val="14"/>
          <w:szCs w:val="14"/>
          <w:color w:val="auto"/>
        </w:rPr>
      </w:pPr>
      <w:r>
        <w:rPr>
          <w:rFonts w:ascii="Arial" w:cs="Arial" w:eastAsia="Arial" w:hAnsi="Arial"/>
          <w:sz w:val="14"/>
          <w:szCs w:val="14"/>
          <w:color w:val="auto"/>
        </w:rPr>
        <w:t>195,735</w:t>
      </w:r>
    </w:p>
    <w:p>
      <w:pPr>
        <w:spacing w:after="0" w:line="45" w:lineRule="exact"/>
        <w:rPr>
          <w:rFonts w:ascii="Arial" w:cs="Arial" w:eastAsia="Arial" w:hAnsi="Arial"/>
          <w:sz w:val="14"/>
          <w:szCs w:val="14"/>
          <w:color w:val="auto"/>
        </w:rPr>
      </w:pPr>
    </w:p>
    <w:p>
      <w:pPr>
        <w:ind w:left="929"/>
        <w:spacing w:after="0"/>
        <w:rPr>
          <w:rFonts w:ascii="Arial" w:cs="Arial" w:eastAsia="Arial" w:hAnsi="Arial"/>
          <w:sz w:val="14"/>
          <w:szCs w:val="14"/>
          <w:color w:val="auto"/>
        </w:rPr>
      </w:pPr>
      <w:r>
        <w:rPr>
          <w:rFonts w:ascii="Arial" w:cs="Arial" w:eastAsia="Arial" w:hAnsi="Arial"/>
          <w:sz w:val="15"/>
          <w:szCs w:val="15"/>
          <w:color w:val="auto"/>
        </w:rPr>
        <w:t>21,582</w:t>
      </w:r>
    </w:p>
    <w:p>
      <w:pPr>
        <w:spacing w:after="0" w:line="33" w:lineRule="exact"/>
        <w:rPr>
          <w:rFonts w:ascii="Arial" w:cs="Arial" w:eastAsia="Arial" w:hAnsi="Arial"/>
          <w:sz w:val="14"/>
          <w:szCs w:val="14"/>
          <w:color w:val="auto"/>
        </w:rPr>
      </w:pPr>
    </w:p>
    <w:p>
      <w:pPr>
        <w:ind w:left="929"/>
        <w:spacing w:after="0"/>
        <w:rPr>
          <w:rFonts w:ascii="Arial" w:cs="Arial" w:eastAsia="Arial" w:hAnsi="Arial"/>
          <w:sz w:val="14"/>
          <w:szCs w:val="14"/>
          <w:color w:val="auto"/>
        </w:rPr>
      </w:pPr>
      <w:r>
        <w:rPr>
          <w:rFonts w:ascii="Arial" w:cs="Arial" w:eastAsia="Arial" w:hAnsi="Arial"/>
          <w:sz w:val="14"/>
          <w:szCs w:val="14"/>
          <w:color w:val="auto"/>
        </w:rPr>
        <w:t>(2,035)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25400</wp:posOffset>
            </wp:positionV>
            <wp:extent cx="9086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8" w:lineRule="exact"/>
        <w:rPr>
          <w:sz w:val="20"/>
          <w:szCs w:val="20"/>
          <w:color w:val="auto"/>
        </w:rPr>
      </w:pPr>
    </w:p>
    <w:p>
      <w:pPr>
        <w:ind w:left="849" w:hanging="849"/>
        <w:spacing w:after="0"/>
        <w:tabs>
          <w:tab w:leader="none" w:pos="849" w:val="left"/>
        </w:tabs>
        <w:numPr>
          <w:ilvl w:val="0"/>
          <w:numId w:val="10"/>
        </w:numPr>
        <w:rPr>
          <w:rFonts w:ascii="Arial" w:cs="Arial" w:eastAsia="Arial" w:hAnsi="Arial"/>
          <w:sz w:val="14"/>
          <w:szCs w:val="14"/>
          <w:color w:val="auto"/>
        </w:rPr>
      </w:pPr>
      <w:r>
        <w:rPr>
          <w:rFonts w:ascii="Arial" w:cs="Arial" w:eastAsia="Arial" w:hAnsi="Arial"/>
          <w:sz w:val="14"/>
          <w:szCs w:val="14"/>
          <w:color w:val="auto"/>
        </w:rPr>
        <w:t>215,282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25400</wp:posOffset>
            </wp:positionV>
            <wp:extent cx="9086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50165</wp:posOffset>
            </wp:positionV>
            <wp:extent cx="9086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111" w:space="720"/>
            <w:col w:w="1409"/>
          </w:cols>
          <w:pgMar w:left="320" w:top="121" w:right="339" w:bottom="1440" w:gutter="0" w:footer="0" w:header="0"/>
          <w:type w:val="continuous"/>
        </w:sectPr>
      </w:pPr>
    </w:p>
    <w:p>
      <w:pPr>
        <w:spacing w:after="0" w:line="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intangible assets as of September 30, 2022 and December 31, 2021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September 30, 2022</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2021</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7"/>
              </w:rPr>
              <w:t>Intangibles,</w:t>
            </w: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8"/>
              </w:rPr>
              <w:t>Accumulated</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26"/>
              <w:spacing w:after="0" w:line="125" w:lineRule="exact"/>
              <w:rPr>
                <w:sz w:val="20"/>
                <w:szCs w:val="20"/>
                <w:color w:val="auto"/>
              </w:rPr>
            </w:pPr>
            <w:r>
              <w:rPr>
                <w:rFonts w:ascii="Arial" w:cs="Arial" w:eastAsia="Arial" w:hAnsi="Arial"/>
                <w:sz w:val="14"/>
                <w:szCs w:val="14"/>
                <w:b w:val="1"/>
                <w:bCs w:val="1"/>
                <w:color w:val="auto"/>
                <w:w w:val="89"/>
              </w:rPr>
              <w:t>Intangibles,</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Intangibles,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86"/>
              </w:rPr>
              <w:t>Accumulated</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06"/>
              <w:spacing w:after="0" w:line="125" w:lineRule="exact"/>
              <w:rPr>
                <w:sz w:val="20"/>
                <w:szCs w:val="20"/>
                <w:color w:val="auto"/>
              </w:rPr>
            </w:pPr>
            <w:r>
              <w:rPr>
                <w:rFonts w:ascii="Arial" w:cs="Arial" w:eastAsia="Arial" w:hAnsi="Arial"/>
                <w:sz w:val="14"/>
                <w:szCs w:val="14"/>
                <w:b w:val="1"/>
                <w:bCs w:val="1"/>
                <w:color w:val="auto"/>
                <w:w w:val="97"/>
              </w:rPr>
              <w:t>Intangibles,</w:t>
            </w:r>
          </w:p>
        </w:tc>
        <w:tc>
          <w:tcPr>
            <w:tcW w:w="0" w:type="dxa"/>
            <w:vAlign w:val="bottom"/>
          </w:tcPr>
          <w:p>
            <w:pPr>
              <w:spacing w:after="0"/>
              <w:rPr>
                <w:sz w:val="1"/>
                <w:szCs w:val="1"/>
                <w:color w:val="auto"/>
              </w:rPr>
            </w:pPr>
          </w:p>
        </w:tc>
      </w:tr>
      <w:tr>
        <w:trPr>
          <w:trHeight w:val="184"/>
        </w:trPr>
        <w:tc>
          <w:tcPr>
            <w:tcW w:w="3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Amortization</w:t>
            </w:r>
          </w:p>
        </w:tc>
        <w:tc>
          <w:tcPr>
            <w:tcW w:w="20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6"/>
                <w:szCs w:val="16"/>
                <w:color w:val="auto"/>
              </w:rPr>
            </w:pPr>
          </w:p>
        </w:tc>
        <w:tc>
          <w:tcPr>
            <w:tcW w:w="1060" w:type="dxa"/>
            <w:vAlign w:val="bottom"/>
          </w:tcPr>
          <w:p>
            <w:pPr>
              <w:jc w:val="right"/>
              <w:ind w:right="44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5"/>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250,647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(64,664)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185,983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240,800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(52,175)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188,625</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5"/>
                <w:szCs w:val="15"/>
                <w:color w:val="auto"/>
              </w:rPr>
              <w:t>Trade name</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42,195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(11,241)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30,954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41,900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(9,077)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32,823</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intangibles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260" w:type="dxa"/>
            <w:vAlign w:val="bottom"/>
          </w:tcPr>
          <w:p>
            <w:pPr>
              <w:ind w:left="22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293,173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(75,988)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217,185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282,700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(61,252)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221,448</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480" w:hanging="167"/>
        <w:spacing w:after="0"/>
        <w:tabs>
          <w:tab w:leader="none" w:pos="4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w:t>
      </w:r>
    </w:p>
    <w:p>
      <w:pPr>
        <w:spacing w:after="0" w:line="119"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balances of current and non-current portions of debt consist of the following as of September 30, 2022 and December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September 30, 2022</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440" w:type="dxa"/>
            <w:vAlign w:val="bottom"/>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Noncurrent</w:t>
            </w: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Current</w:t>
            </w: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Noncurrent</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Term Loan</w:t>
            </w: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267,300</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270,000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11,813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188,212</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200,025</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5"/>
                <w:szCs w:val="15"/>
                <w:color w:val="auto"/>
              </w:rPr>
              <w:t>Revolver</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39,878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39,878</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Debt financing fees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(1,528)</w:t>
            </w:r>
          </w:p>
        </w:tc>
        <w:tc>
          <w:tcPr>
            <w:tcW w:w="0" w:type="dxa"/>
            <w:vAlign w:val="bottom"/>
          </w:tcPr>
          <w:p>
            <w:pPr>
              <w:spacing w:after="0"/>
              <w:rPr>
                <w:sz w:val="1"/>
                <w:szCs w:val="1"/>
                <w:color w:val="auto"/>
              </w:rPr>
            </w:pPr>
          </w:p>
        </w:tc>
      </w:tr>
      <w:tr>
        <w:trPr>
          <w:trHeight w:val="196"/>
        </w:trPr>
        <w:tc>
          <w:tcPr>
            <w:tcW w:w="3440" w:type="dxa"/>
            <w:vAlign w:val="bottom"/>
          </w:tcPr>
          <w:p>
            <w:pPr>
              <w:ind w:left="2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265,818</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268,140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187,240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238,375</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2019 Credit Agreement</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On September 25, 2019, the Company entered into a credit agreement (the “2019 Credit Agreement”) that included a $210.0 million term loan (the “2019 Term Loan Facility”) and a $40.0 million revolving credit facility (the “2019 Revolving Credit Facility” and, together with the Term Loan Facility, the “2019 Credit Facilities”). On April 30, 2021, the Company entered into Amendment No. 1 to its 2019 Credit Agreement with the existing lenders providing for $50.0 million incremental revolving credit commitments on the same terms as our existing revolving credit facility. On September 7, 2022, the Company entered into the 2022 Credit Agreement (as defined below) and the total outstanding debt under the 2019 Credit Facilities of $267.2 million was fully repaid.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2022 Credit Agreement</w:t>
      </w:r>
    </w:p>
    <w:p>
      <w:pPr>
        <w:spacing w:after="0" w:line="114"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On September 7, 2022, the Company entered into a credit agreement (the “2022 Credit Agreement”) with both new and existing lenders which amended and restated the 2019 Credit Agreement. The 2022 Credit Agreement includes a $270.0 million term loan (the "2022 Term Loan Facility") and a $190.0 million revolving credit facility (the "2022 Revolving Credit Facility" and, together with the 2022 Term Loan Facility, the “2022 Credit Facilities”). The proceeds of the 2022 Term Loan Facility were used to repay all borrowings under the 2019 Credit Facilities, to pay related fees and expenses and for general corporate purposes (the "Refinancing"). The Refinancing was accounted for as a debt modification for existing lenders and new debt for new lenders, resulting in debt issuance costs, including amounts allocated from the 2019 Credit Facilities, of $1.9 million associated with the 2022 Term Loan Facility and $1.1 million associated with the undrawn 2022 Revolving Credit Facility. Third party fees of $0.3 million associated with the debt modification were recorded in financing expenses on the condensed consolidated statements of operations for the three and nine months ended September 30, 2022.</w:t>
      </w:r>
    </w:p>
    <w:p>
      <w:pPr>
        <w:spacing w:after="0" w:line="67"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2022 Term Loan Facility matures on September 7, 2027, and commencing with the fiscal quarter ending December 31, 2022, requires quarterly principal payments of 0.25% of the original principal amount through September 30, 2023, 0.625% of the original principal amount through September 30, 2024, 1.25% of the original principal amount through September 30, 2025, 1.875% of the original principal amount through September 30, 2026 and 2.50% of the original principal amount thereafter, with the remaining principal due in a lump sum at the maturity date. Voluntary principal prepayments are permitted.</w:t>
      </w:r>
    </w:p>
    <w:p>
      <w:pPr>
        <w:spacing w:after="0" w:line="60"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2022 Revolving Credit Facility provides the Company with access to a $15.0 million letter of credit facility and a $15.0 million swing line facility, each of which, to the extent used, reduces borrowing availability under the 2022 Revolving Credit Facility. The 2022 Revolving Credit Facility terminates on September 7, 2027. As of September 30, 2022, we had $190.0 million of borrowing availability under the 2022 Revolving Credit Facility.</w:t>
      </w:r>
    </w:p>
    <w:p>
      <w:pPr>
        <w:spacing w:after="0" w:line="5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Borrowings under the 2022 Credit Agreement, with the exception of swing line borrowings, bear interest, at our option, either at (i) an adjusted Term Secured Overnight Financing Rate ("SOFR rate") plus a margin of 2.25% per annum, subject to a Term SOFR rate floor of 0.00% or (ii) an alternative base rate plus a margin of 1.25% per annum, subject to an alternative base rate floor of 1.00%. Any borrowings under the swing line will be subject to the base rate. The 2022 Revolving Credit Facility also requires a commitment fee of 0.40% per annum of undrawn commitments to be paid quarterly in arrears. We have elected to pay interest on borrowings under the 2022 Term Loan Facility based on the SOFR rate. The interest rate in effect for the 2022 Term Loan Facility as of September 30, 2022 was 5.098% per annum.</w:t>
      </w:r>
    </w:p>
    <w:p>
      <w:pPr>
        <w:spacing w:after="0" w:line="80"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The 2022 Credit Agreement contains a financial covenant requiring compliance with a maximum total net leverage ratio and certain other covenants, including, among other things, covenants restricting additional borrowings, investments (including acquisitions) and distributions. We were in compliance with all debt covenants as of September 30, 2022. Substantially all assets of our direct wholly owned subsidiary TU MidCo, Inc., its wholly owned subsidiary, TU BidCo, Inc. and its material wholly owned domestic subsidiaries are pledged as collateral under the 2022 Credit Agreement, subject to certain customary exceptions.</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9. Leases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Operating lease costs recorded to cost of services was $3.7 million and $11.4 million for the three and nine months ended September 30, 2022. Operating lease costs recorded to selling, general, and administrative expense were immaterial.</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weighted average remaining lease term and weighted average discount rate for the Company's operating leases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80" w:type="dxa"/>
            <w:vAlign w:val="bottom"/>
          </w:tcPr>
          <w:p>
            <w:pPr>
              <w:spacing w:after="0"/>
              <w:rPr>
                <w:sz w:val="15"/>
                <w:szCs w:val="15"/>
                <w:color w:val="auto"/>
              </w:rPr>
            </w:pPr>
          </w:p>
        </w:tc>
        <w:tc>
          <w:tcPr>
            <w:tcW w:w="1560" w:type="dxa"/>
            <w:vAlign w:val="bottom"/>
          </w:tcPr>
          <w:p>
            <w:pPr>
              <w:jc w:val="right"/>
              <w:ind w:right="126"/>
              <w:spacing w:after="0"/>
              <w:rPr>
                <w:sz w:val="20"/>
                <w:szCs w:val="20"/>
                <w:color w:val="auto"/>
              </w:rPr>
            </w:pPr>
            <w:r>
              <w:rPr>
                <w:rFonts w:ascii="Arial" w:cs="Arial" w:eastAsia="Arial" w:hAnsi="Arial"/>
                <w:sz w:val="14"/>
                <w:szCs w:val="14"/>
                <w:b w:val="1"/>
                <w:bCs w:val="1"/>
                <w:color w:val="auto"/>
              </w:rPr>
              <w:t>September 30, 2022</w:t>
            </w:r>
          </w:p>
        </w:tc>
      </w:tr>
      <w:tr>
        <w:trPr>
          <w:trHeight w:val="24"/>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remaining lease term</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 years</w:t>
            </w:r>
          </w:p>
        </w:tc>
      </w:tr>
      <w:tr>
        <w:trPr>
          <w:trHeight w:val="201"/>
        </w:trPr>
        <w:tc>
          <w:tcPr>
            <w:tcW w:w="9680" w:type="dxa"/>
            <w:vAlign w:val="bottom"/>
          </w:tcPr>
          <w:p>
            <w:pPr>
              <w:ind w:left="20"/>
              <w:spacing w:after="0"/>
              <w:rPr>
                <w:sz w:val="20"/>
                <w:szCs w:val="20"/>
                <w:color w:val="auto"/>
              </w:rPr>
            </w:pPr>
            <w:r>
              <w:rPr>
                <w:rFonts w:ascii="Arial" w:cs="Arial" w:eastAsia="Arial" w:hAnsi="Arial"/>
                <w:sz w:val="15"/>
                <w:szCs w:val="15"/>
                <w:color w:val="auto"/>
              </w:rPr>
              <w:t>Weighted average discount rate</w:t>
            </w:r>
          </w:p>
        </w:tc>
        <w:tc>
          <w:tcPr>
            <w:tcW w:w="1560" w:type="dxa"/>
            <w:vAlign w:val="bottom"/>
          </w:tcPr>
          <w:p>
            <w:pPr>
              <w:jc w:val="right"/>
              <w:spacing w:after="0"/>
              <w:rPr>
                <w:sz w:val="20"/>
                <w:szCs w:val="20"/>
                <w:color w:val="auto"/>
              </w:rPr>
            </w:pPr>
            <w:r>
              <w:rPr>
                <w:rFonts w:ascii="Arial" w:cs="Arial" w:eastAsia="Arial" w:hAnsi="Arial"/>
                <w:sz w:val="15"/>
                <w:szCs w:val="15"/>
                <w:color w:val="auto"/>
              </w:rPr>
              <w:t>4.7 %</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supplemental cash flow information related to the Company's operating leases: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jc w:val="right"/>
              <w:ind w:right="67"/>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86"/>
        </w:trPr>
        <w:tc>
          <w:tcPr>
            <w:tcW w:w="98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w w:val="96"/>
              </w:rPr>
              <w:t>September 30, 2022</w:t>
            </w:r>
          </w:p>
        </w:tc>
        <w:tc>
          <w:tcPr>
            <w:tcW w:w="0" w:type="dxa"/>
            <w:vAlign w:val="bottom"/>
          </w:tcPr>
          <w:p>
            <w:pPr>
              <w:spacing w:after="0"/>
              <w:rPr>
                <w:sz w:val="1"/>
                <w:szCs w:val="1"/>
                <w:color w:val="auto"/>
              </w:rPr>
            </w:pPr>
          </w:p>
        </w:tc>
      </w:tr>
      <w:tr>
        <w:trPr>
          <w:trHeight w:val="206"/>
        </w:trPr>
        <w:tc>
          <w:tcPr>
            <w:tcW w:w="9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operating lease liabilities</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10,822</w:t>
            </w:r>
          </w:p>
        </w:tc>
        <w:tc>
          <w:tcPr>
            <w:tcW w:w="0" w:type="dxa"/>
            <w:vAlign w:val="bottom"/>
          </w:tcPr>
          <w:p>
            <w:pPr>
              <w:spacing w:after="0"/>
              <w:rPr>
                <w:sz w:val="1"/>
                <w:szCs w:val="1"/>
                <w:color w:val="auto"/>
              </w:rPr>
            </w:pPr>
          </w:p>
        </w:tc>
      </w:tr>
      <w:tr>
        <w:trPr>
          <w:trHeight w:val="201"/>
        </w:trPr>
        <w:tc>
          <w:tcPr>
            <w:tcW w:w="9820" w:type="dxa"/>
            <w:vAlign w:val="bottom"/>
          </w:tcPr>
          <w:p>
            <w:pPr>
              <w:ind w:left="20"/>
              <w:spacing w:after="0"/>
              <w:rPr>
                <w:sz w:val="20"/>
                <w:szCs w:val="20"/>
                <w:color w:val="auto"/>
              </w:rPr>
            </w:pPr>
            <w:r>
              <w:rPr>
                <w:rFonts w:ascii="Arial" w:cs="Arial" w:eastAsia="Arial" w:hAnsi="Arial"/>
                <w:sz w:val="15"/>
                <w:szCs w:val="15"/>
                <w:color w:val="auto"/>
              </w:rPr>
              <w:t>ROU assets obtained in exchange for operating lease liabilities</w:t>
            </w:r>
          </w:p>
        </w:tc>
        <w:tc>
          <w:tcPr>
            <w:tcW w:w="1420" w:type="dxa"/>
            <w:vAlign w:val="bottom"/>
          </w:tcPr>
          <w:p>
            <w:pPr>
              <w:jc w:val="right"/>
              <w:spacing w:after="0"/>
              <w:rPr>
                <w:sz w:val="20"/>
                <w:szCs w:val="20"/>
                <w:color w:val="auto"/>
              </w:rPr>
            </w:pPr>
            <w:r>
              <w:rPr>
                <w:rFonts w:ascii="Arial" w:cs="Arial" w:eastAsia="Arial" w:hAnsi="Arial"/>
                <w:sz w:val="15"/>
                <w:szCs w:val="15"/>
                <w:color w:val="auto"/>
              </w:rPr>
              <w:t>7,041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future lease payments on the Company's operating lease liabilities as of September 30, 2022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300" w:type="dxa"/>
            <w:vAlign w:val="bottom"/>
          </w:tcPr>
          <w:p>
            <w:pPr>
              <w:jc w:val="right"/>
              <w:ind w:right="64"/>
              <w:spacing w:after="0"/>
              <w:rPr>
                <w:sz w:val="20"/>
                <w:szCs w:val="20"/>
                <w:color w:val="auto"/>
              </w:rPr>
            </w:pPr>
            <w:r>
              <w:rPr>
                <w:rFonts w:ascii="Arial" w:cs="Arial" w:eastAsia="Arial" w:hAnsi="Arial"/>
                <w:sz w:val="14"/>
                <w:szCs w:val="14"/>
                <w:b w:val="1"/>
                <w:bCs w:val="1"/>
                <w:color w:val="auto"/>
                <w:w w:val="87"/>
              </w:rPr>
              <w:t>September 30, 2022</w:t>
            </w:r>
          </w:p>
        </w:tc>
      </w:tr>
      <w:tr>
        <w:trPr>
          <w:trHeight w:val="24"/>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9"/>
        </w:trPr>
        <w:tc>
          <w:tcPr>
            <w:tcW w:w="9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2022-remainder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3,675</w:t>
            </w:r>
          </w:p>
        </w:tc>
      </w:tr>
      <w:tr>
        <w:trPr>
          <w:trHeight w:val="203"/>
        </w:trPr>
        <w:tc>
          <w:tcPr>
            <w:tcW w:w="9820" w:type="dxa"/>
            <w:vAlign w:val="bottom"/>
          </w:tcPr>
          <w:p>
            <w:pPr>
              <w:ind w:left="20"/>
              <w:spacing w:after="0"/>
              <w:rPr>
                <w:sz w:val="20"/>
                <w:szCs w:val="20"/>
                <w:color w:val="auto"/>
              </w:rPr>
            </w:pPr>
            <w:r>
              <w:rPr>
                <w:rFonts w:ascii="Arial" w:cs="Arial" w:eastAsia="Arial" w:hAnsi="Arial"/>
                <w:sz w:val="15"/>
                <w:szCs w:val="15"/>
                <w:color w:val="auto"/>
              </w:rPr>
              <w:t>2023</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11,769</w:t>
            </w:r>
          </w:p>
        </w:tc>
      </w:tr>
      <w:tr>
        <w:trPr>
          <w:trHeight w:val="209"/>
        </w:trPr>
        <w:tc>
          <w:tcPr>
            <w:tcW w:w="9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10,275</w:t>
            </w:r>
          </w:p>
        </w:tc>
      </w:tr>
      <w:tr>
        <w:trPr>
          <w:trHeight w:val="203"/>
        </w:trPr>
        <w:tc>
          <w:tcPr>
            <w:tcW w:w="9820" w:type="dxa"/>
            <w:vAlign w:val="bottom"/>
          </w:tcPr>
          <w:p>
            <w:pPr>
              <w:ind w:left="20"/>
              <w:spacing w:after="0"/>
              <w:rPr>
                <w:sz w:val="20"/>
                <w:szCs w:val="20"/>
                <w:color w:val="auto"/>
              </w:rPr>
            </w:pPr>
            <w:r>
              <w:rPr>
                <w:rFonts w:ascii="Arial" w:cs="Arial" w:eastAsia="Arial" w:hAnsi="Arial"/>
                <w:sz w:val="15"/>
                <w:szCs w:val="15"/>
                <w:color w:val="auto"/>
              </w:rPr>
              <w:t>2025</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9,465</w:t>
            </w:r>
          </w:p>
        </w:tc>
      </w:tr>
      <w:tr>
        <w:trPr>
          <w:trHeight w:val="209"/>
        </w:trPr>
        <w:tc>
          <w:tcPr>
            <w:tcW w:w="9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5,034</w:t>
            </w:r>
          </w:p>
        </w:tc>
      </w:tr>
      <w:tr>
        <w:trPr>
          <w:trHeight w:val="203"/>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5,172</w:t>
            </w:r>
          </w:p>
        </w:tc>
      </w:tr>
      <w:tr>
        <w:trPr>
          <w:trHeight w:val="202"/>
        </w:trPr>
        <w:tc>
          <w:tcPr>
            <w:tcW w:w="9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lease payments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45,390</w:t>
            </w:r>
          </w:p>
        </w:tc>
      </w:tr>
      <w:tr>
        <w:trPr>
          <w:trHeight w:val="203"/>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imputed interest</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(4,886)</w:t>
            </w:r>
          </w:p>
        </w:tc>
      </w:tr>
      <w:tr>
        <w:trPr>
          <w:trHeight w:val="224"/>
        </w:trPr>
        <w:tc>
          <w:tcPr>
            <w:tcW w:w="9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40,504</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10. Commitments and Contingencies</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We are subject to various legal proceedings, claims, and litigation arising in the ordinary course of business. Although the outcomes of such matters cannot be predicted with certainty, we believe that resolution of all such pending matters will not, either individually or in the aggregate, have a material adverse effect on the Company’s business, operating results, cash flows, or financial condition.</w:t>
      </w:r>
    </w:p>
    <w:p>
      <w:pPr>
        <w:spacing w:after="0" w:line="72"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IPO and the Company’s second and third quarter 2021 earnings calls contained materially false and misleading information in violation of the federal securities laws. The complaint seeks unspecified damages and an award of costs and expenses, including reasonable attorneys’ fees, as well as equitable relief. We believe that the lawsuit is without merit and intend to defend the lawsuit vigorously. On October 20, 2022, the Court entered an order appointing Humberto Lozada as Lead Plaintiff in the lawsuit. We cannot predict at this point the length of time that this action will be ongoing or the liability, if any, which may arise therefrom.</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11. Stock-Based Compensation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stock option and restricted stock unit ("RSU") activity for the nine months ended September 30,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18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Options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4"/>
          </w:tcPr>
          <w:p>
            <w:pPr>
              <w:jc w:val="right"/>
              <w:ind w:right="1226"/>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5180" w:type="dxa"/>
            <w:vAlign w:val="bottom"/>
          </w:tcPr>
          <w:p>
            <w:pPr>
              <w:spacing w:after="0"/>
              <w:rPr>
                <w:sz w:val="10"/>
                <w:szCs w:val="10"/>
                <w:color w:val="auto"/>
              </w:rPr>
            </w:pPr>
          </w:p>
        </w:tc>
        <w:tc>
          <w:tcPr>
            <w:tcW w:w="15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06"/>
              <w:spacing w:after="0" w:line="122" w:lineRule="exact"/>
              <w:rPr>
                <w:sz w:val="20"/>
                <w:szCs w:val="20"/>
                <w:color w:val="auto"/>
              </w:rPr>
            </w:pPr>
            <w:r>
              <w:rPr>
                <w:rFonts w:ascii="Arial" w:cs="Arial" w:eastAsia="Arial" w:hAnsi="Arial"/>
                <w:sz w:val="14"/>
                <w:szCs w:val="14"/>
                <w:b w:val="1"/>
                <w:bCs w:val="1"/>
                <w:color w:val="auto"/>
                <w:w w:val="89"/>
              </w:rPr>
              <w:t>Weighted -</w:t>
            </w:r>
          </w:p>
        </w:tc>
        <w:tc>
          <w:tcPr>
            <w:tcW w:w="100" w:type="dxa"/>
            <w:vAlign w:val="bottom"/>
          </w:tcPr>
          <w:p>
            <w:pPr>
              <w:spacing w:after="0"/>
              <w:rPr>
                <w:sz w:val="10"/>
                <w:szCs w:val="10"/>
                <w:color w:val="auto"/>
              </w:rPr>
            </w:pPr>
          </w:p>
        </w:tc>
        <w:tc>
          <w:tcPr>
            <w:tcW w:w="15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26"/>
              <w:spacing w:after="0" w:line="122" w:lineRule="exact"/>
              <w:rPr>
                <w:sz w:val="20"/>
                <w:szCs w:val="20"/>
                <w:color w:val="auto"/>
              </w:rPr>
            </w:pPr>
            <w:r>
              <w:rPr>
                <w:rFonts w:ascii="Arial" w:cs="Arial" w:eastAsia="Arial" w:hAnsi="Arial"/>
                <w:sz w:val="14"/>
                <w:szCs w:val="14"/>
                <w:b w:val="1"/>
                <w:bCs w:val="1"/>
                <w:color w:val="auto"/>
                <w:w w:val="86"/>
              </w:rPr>
              <w:t>Weighted -</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6"/>
              </w:rPr>
              <w:t>average</w:t>
            </w: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26"/>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exercise price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RSUs</w:t>
            </w:r>
          </w:p>
        </w:tc>
        <w:tc>
          <w:tcPr>
            <w:tcW w:w="100" w:type="dxa"/>
            <w:vAlign w:val="bottom"/>
          </w:tcPr>
          <w:p>
            <w:pPr>
              <w:spacing w:after="0"/>
              <w:rPr>
                <w:sz w:val="16"/>
                <w:szCs w:val="16"/>
                <w:color w:val="auto"/>
              </w:rPr>
            </w:pPr>
          </w:p>
        </w:tc>
        <w:tc>
          <w:tcPr>
            <w:tcW w:w="1320" w:type="dxa"/>
            <w:vAlign w:val="bottom"/>
          </w:tcPr>
          <w:p>
            <w:pPr>
              <w:jc w:val="center"/>
              <w:ind w:right="26"/>
              <w:spacing w:after="0"/>
              <w:rPr>
                <w:sz w:val="20"/>
                <w:szCs w:val="20"/>
                <w:color w:val="auto"/>
              </w:rPr>
            </w:pPr>
            <w:r>
              <w:rPr>
                <w:rFonts w:ascii="Arial" w:cs="Arial" w:eastAsia="Arial" w:hAnsi="Arial"/>
                <w:sz w:val="14"/>
                <w:szCs w:val="14"/>
                <w:b w:val="1"/>
                <w:bCs w:val="1"/>
                <w:color w:val="auto"/>
                <w:w w:val="91"/>
              </w:rPr>
              <w:t>grant date fair value</w:t>
            </w:r>
          </w:p>
        </w:tc>
        <w:tc>
          <w:tcPr>
            <w:tcW w:w="0" w:type="dxa"/>
            <w:vAlign w:val="bottom"/>
          </w:tcPr>
          <w:p>
            <w:pPr>
              <w:spacing w:after="0"/>
              <w:rPr>
                <w:sz w:val="1"/>
                <w:szCs w:val="1"/>
                <w:color w:val="auto"/>
              </w:rPr>
            </w:pPr>
          </w:p>
        </w:tc>
      </w:tr>
      <w:tr>
        <w:trPr>
          <w:trHeight w:val="21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January 1, 2022</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9,685,321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4,179,475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29.01</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5"/>
                <w:szCs w:val="15"/>
                <w:color w:val="auto"/>
              </w:rPr>
              <w:t>Granted</w:t>
            </w:r>
          </w:p>
        </w:tc>
        <w:tc>
          <w:tcPr>
            <w:tcW w:w="1440" w:type="dxa"/>
            <w:vAlign w:val="bottom"/>
          </w:tcPr>
          <w:p>
            <w:pPr>
              <w:jc w:val="right"/>
              <w:spacing w:after="0"/>
              <w:rPr>
                <w:sz w:val="20"/>
                <w:szCs w:val="20"/>
                <w:color w:val="auto"/>
              </w:rPr>
            </w:pPr>
            <w:r>
              <w:rPr>
                <w:rFonts w:ascii="Arial" w:cs="Arial" w:eastAsia="Arial" w:hAnsi="Arial"/>
                <w:sz w:val="15"/>
                <w:szCs w:val="15"/>
                <w:color w:val="auto"/>
              </w:rPr>
              <w:t>398,778</w:t>
            </w:r>
          </w:p>
        </w:tc>
        <w:tc>
          <w:tcPr>
            <w:tcW w:w="8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30.62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1,052,617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26.25</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Exercised or 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(529,622)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Forfeited, cancelled or 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(1,513,490)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(273,750)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32.41</w:t>
            </w:r>
          </w:p>
        </w:tc>
        <w:tc>
          <w:tcPr>
            <w:tcW w:w="0" w:type="dxa"/>
            <w:vAlign w:val="bottom"/>
          </w:tcPr>
          <w:p>
            <w:pPr>
              <w:spacing w:after="0"/>
              <w:rPr>
                <w:sz w:val="1"/>
                <w:szCs w:val="1"/>
                <w:color w:val="auto"/>
              </w:rPr>
            </w:pPr>
          </w:p>
        </w:tc>
      </w:tr>
      <w:tr>
        <w:trPr>
          <w:trHeight w:val="22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8,040,987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12.68</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4,125,108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weighted-average grant-date fair value of options granted during the nine months ended September 30, 2022 was $11.10. There were 3,373,417 performance stock units ("PSUs") outstanding at January 1, 2022 and September 30, 2022.</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components of stock-based compensation expense recognized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5"/>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services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15,077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18,792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52,075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152,008</w:t>
            </w:r>
          </w:p>
        </w:tc>
        <w:tc>
          <w:tcPr>
            <w:tcW w:w="0" w:type="dxa"/>
            <w:vAlign w:val="bottom"/>
          </w:tcPr>
          <w:p>
            <w:pPr>
              <w:spacing w:after="0"/>
              <w:rPr>
                <w:sz w:val="1"/>
                <w:szCs w:val="1"/>
                <w:color w:val="auto"/>
              </w:rPr>
            </w:pPr>
          </w:p>
        </w:tc>
      </w:tr>
      <w:tr>
        <w:trPr>
          <w:trHeight w:val="224"/>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54,764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152,510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During the nine months ended September 30, 2021, the change in control condition of our phantom shares became probable upon the IPO. As a result, the Company recognized expense in the amount of the expected cash settlement totaling $127.5 million recorded in selling, general, and administrative expense on the condensed consolidated statements of operations for the nine months ended September 30, 2021.</w:t>
      </w:r>
    </w:p>
    <w:p>
      <w:pPr>
        <w:spacing w:after="0" w:line="72"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As of September 30, 2022, there was $13.8 million, $70.9 million and $6.2 million of unrecognized compensation expense related to the Company’s unvested stock options, RSUs and PSUs, respectively, that is expected to be recognized over a weighted-average period of 1.5 years, 1.7 years and 2.0 years.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12. Income Taxes</w:t>
      </w:r>
    </w:p>
    <w:p>
      <w:pPr>
        <w:spacing w:after="0" w:line="120"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spacing w:after="0" w:line="5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recorded provision for income taxes of $3.9 million and $1.7 million in the three months ended September 30, 2022 and 2021, respectively. The effective tax rate was 42.1% and 12.5% for the three months ended September 30, 2022 and 2021, respectively. Nondeductible earn-out consideration of $4.9 million increased the effective tax rate for the three months ended September 30, 2022 by $1.5 million, or 15.9%.</w:t>
      </w:r>
    </w:p>
    <w:p>
      <w:pPr>
        <w:spacing w:after="0" w:line="72"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The Company recorded provision for (benefit from) income taxes of $12.3 million and $(1.8) million in the nine months ended September 30, 2022 and 2021, respectively. The effective tax rate was 33.2% and 2.3% for the nine months ended September 30, 2022 and 2021, respectively. The difference between the effective tax rates and the 21% federal statutory rate in the nine months ended September 30, 2022 was primarily due to global intangible low-taxed income (“GILTI”) inclusion, tax benefits of income tax holidays in foreign jurisdiction, nondeductible earn-out consideration and nondeductible compensation of officers. The difference between the effective tax rate and the 21% federal statutory rate in the nine months ended September 30, 2021 was primarily due to GILTI inclusion, tax benefits of income tax holidays in foreign jurisdiction, nondeductible transaction costs and nondeductible compensation of officers.</w:t>
      </w:r>
    </w:p>
    <w:p>
      <w:pPr>
        <w:spacing w:after="0" w:line="6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is subject to income tax in the United States federal, state and various foreign jurisdictions. As of September 30, 2022, the tax years 2018 to 2021 are subject to examination by tax authorities.</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Company’s practice and intention are to indefinitely reinvest the earnings of its non-U.S. subsidiaries. Determination of the amount of any unrecognized deferred income tax liability on the temporary difference is not practicable because of the complexities of the hypothetical calculation.</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13. Earnings Per Share</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has Class A common stock and Class B convertible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convertible common stock.</w:t>
      </w:r>
    </w:p>
    <w:p>
      <w:pPr>
        <w:spacing w:after="0" w:line="72"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computation of basic net income (loss) per share (“EPS”) is based on the weighted-average number of shares that were outstanding during the period, including shares of common stock that are issuable at the end of the reporting period. The computation of diluted EPS is based on the number of basic weighted-average shares outstanding plus the number of common shares that would be issued assuming the exercise of all potentially dilutive common stock equivalents. Common stock equivalents consist of shares issuable upon the exercise of stock options and vesting of RSUs and PSUs.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computation of basic and diluted EPS for the three and nine months ended September 30,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3"/>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Numerator:</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Net income (loss) available to common shareholders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5,365</w:t>
            </w:r>
          </w:p>
        </w:tc>
        <w:tc>
          <w:tcPr>
            <w:tcW w:w="1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11,636</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24,680</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(77,800)</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Denominator: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Weighted-average common shares outstanding – basic</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98,299,612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97,290,174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97,854,944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93,994,896</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Effect of dilutive securities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3,620,801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12,135,837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5,218,264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260" w:type="dxa"/>
            <w:vAlign w:val="bottom"/>
          </w:tcPr>
          <w:p>
            <w:pPr>
              <w:ind w:left="440"/>
              <w:spacing w:after="0"/>
              <w:rPr>
                <w:sz w:val="20"/>
                <w:szCs w:val="20"/>
                <w:color w:val="auto"/>
              </w:rPr>
            </w:pPr>
            <w:r>
              <w:rPr>
                <w:rFonts w:ascii="Arial" w:cs="Arial" w:eastAsia="Arial" w:hAnsi="Arial"/>
                <w:sz w:val="15"/>
                <w:szCs w:val="15"/>
                <w:color w:val="auto"/>
              </w:rPr>
              <w:t>Weighted-average common shares outstanding – diluted</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101,920,413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109,426,011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103,073,208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93,994,896</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 per common share:</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Basic</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0.05</w:t>
            </w:r>
          </w:p>
        </w:tc>
        <w:tc>
          <w:tcPr>
            <w:tcW w:w="1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0.12</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(0.83)</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Diluted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(0.83)</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Since the Company was in a net loss position for the nine months ended September 30, 2021, diluted EPS is equal to basic EPS for that period as the inclusion of potential common stock equivalents would have been anti-dilutive. The Company excluded 3,486,107 and 12,309 potential common stock equivalents from the computation of diluted EPS for the three months ended September 30, 2022 and 2021, respectively, and 2,696,701 and 23,607 potential common stock equivalents from the computation of diluted EPS for the nine months ended September 30, 2022 and 2021, respectively, because the effect would have been anti-dilutive. There were 4,657,008 potential common stock equivalents outstanding as of September 30, 2022 with market conditions which were not met at that date, that were excluded from the calculation of diluted EPS. In addition, the Company excluded 5,578,525 potential common stock equivalents from the computation of diluted EPS for the nine months ended September 30, 2021 since the Company was in a net loss position; however, these awards would have been dilutive if the Company was in a net income position.</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14. Related Party</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Underwriting of Offering</w:t>
      </w:r>
    </w:p>
    <w:p>
      <w:pPr>
        <w:spacing w:after="0" w:line="114"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Blackstone Securities Partners L.P., an affiliate of Blackstone, served as underwriter of 1,380,000 of the 15,180,000 shares of Class A common stock sold in the IPO, with underwriting discounts and commissions of $1.265 per share paid by the Company and selling stockholders, with respect to the shares sold by them.</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2021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spacing w:after="0" w:line="79"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i w:val="1"/>
          <w:iCs w:val="1"/>
          <w:color w:val="auto"/>
        </w:rPr>
        <w:t>This Quarterly Report includes certain historical consolidated financial and other data for TaskUs, Inc. (“we,” “us,” “our” or the “Company”). The following discussion provides a narrative of our results of operations and financial condition for the three and nine months ended September 30, 2022 and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We are a provider of outsourced digital services and next-generation customer experience to fast-growing technology companies, helping our clients represent, protect and grow their brands. Our global, omni-channel delivery model is focused on providing our clients three key services – Digital Customer Experience, Content Security and Artificial Intelligence (“AI”) Services (formerly known as AI Operations). We have designed our platform to enable us to rapidly scale and benefit from our clients’ growth. We believe our ability to deliver “ridiculously good” outsourcing will enable us to continue to grow our client base.</w:t>
      </w:r>
    </w:p>
    <w:p>
      <w:pPr>
        <w:spacing w:after="0" w:line="46"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Developments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Acquisition of heloo</w:t>
      </w:r>
    </w:p>
    <w:p>
      <w:pPr>
        <w:spacing w:after="0" w:line="101" w:lineRule="exact"/>
        <w:rPr>
          <w:sz w:val="20"/>
          <w:szCs w:val="20"/>
          <w:color w:val="auto"/>
        </w:rPr>
      </w:pPr>
    </w:p>
    <w:p>
      <w:pPr>
        <w:jc w:val="both"/>
        <w:ind w:firstLine="464"/>
        <w:spacing w:after="0" w:line="244" w:lineRule="auto"/>
        <w:rPr>
          <w:sz w:val="20"/>
          <w:szCs w:val="20"/>
          <w:color w:val="auto"/>
        </w:rPr>
      </w:pPr>
      <w:r>
        <w:rPr>
          <w:rFonts w:ascii="Arial" w:cs="Arial" w:eastAsia="Arial" w:hAnsi="Arial"/>
          <w:sz w:val="17"/>
          <w:szCs w:val="17"/>
          <w:color w:val="auto"/>
        </w:rPr>
        <w:t>On April 15, 2022, we acquired all of the equity interests of Parsec d.o.o. and Q Experience d.o.o. (collectively, "heloo"), a Croatia-based Digital Customer Experience solutions provider to European technology companies supporting 20 languages across seven additional Eastern European countries, including Bosnia, Serbia, and Slovenia. The results of operations of heloo subsequent to the April 15, 2022 acquisition date are included in the accompanying condensed consolidated financial statements. See Note 3, "Business Combination" in the Notes to Unaudited Condensed Consolidated Financial Statements included in this Quarterly Report.</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Share Repurchase Program</w:t>
      </w:r>
    </w:p>
    <w:p>
      <w:pPr>
        <w:spacing w:after="0" w:line="88" w:lineRule="exact"/>
        <w:rPr>
          <w:sz w:val="20"/>
          <w:szCs w:val="20"/>
          <w:color w:val="auto"/>
        </w:rPr>
      </w:pPr>
    </w:p>
    <w:p>
      <w:pPr>
        <w:jc w:val="both"/>
        <w:ind w:firstLine="464"/>
        <w:spacing w:after="0" w:line="250" w:lineRule="auto"/>
        <w:rPr>
          <w:sz w:val="20"/>
          <w:szCs w:val="20"/>
          <w:color w:val="auto"/>
        </w:rPr>
      </w:pPr>
      <w:r>
        <w:rPr>
          <w:rFonts w:ascii="Arial" w:cs="Arial" w:eastAsia="Arial" w:hAnsi="Arial"/>
          <w:sz w:val="17"/>
          <w:szCs w:val="17"/>
          <w:color w:val="auto"/>
        </w:rPr>
        <w:t>On September 7, 2022, we announced that the board of directors authorized a share repurchase program, pursuant to which we may repurchase up to $100.0 million of our Class A common stock through December 31, 2024. For additional information, see Item 2 of Part II, “Unregistered Sales of Equity Securities and Use of Proceeds” of this Quarterly Report.</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Macroeconomic Trends</w:t>
      </w:r>
    </w:p>
    <w:p>
      <w:pPr>
        <w:spacing w:after="0" w:line="101" w:lineRule="exact"/>
        <w:rPr>
          <w:sz w:val="20"/>
          <w:szCs w:val="20"/>
          <w:color w:val="auto"/>
        </w:rPr>
      </w:pPr>
    </w:p>
    <w:p>
      <w:pPr>
        <w:jc w:val="both"/>
        <w:ind w:firstLine="464"/>
        <w:spacing w:after="0" w:line="241" w:lineRule="auto"/>
        <w:rPr>
          <w:sz w:val="20"/>
          <w:szCs w:val="20"/>
          <w:color w:val="auto"/>
        </w:rPr>
      </w:pPr>
      <w:r>
        <w:rPr>
          <w:rFonts w:ascii="Arial" w:cs="Arial" w:eastAsia="Arial" w:hAnsi="Arial"/>
          <w:sz w:val="17"/>
          <w:szCs w:val="17"/>
          <w:color w:val="auto"/>
        </w:rPr>
        <w:t>Macroeconomic factors, including global economic and geopolitical developments, increased inflation rates, interest rate increases, and foreign currency exchange rate changes, have direct and indirect impacts on our results of operations that are difficult to isolate and quantify. Due to market uncertainty and potential recession or other economic challenges, many of our customers are shifting their focus from growth to cost reduction. This has resulted in certain customers electing to shift their delivery model in order to reduce pricing, moving work from our onshore locations to our offshore delivery centers or moving to a work-from-home model, or reducing vendor spend across the board. This trend has been accelerated by our clients in the cryptocurrency and equity trading spaces. These factors contributed to a deceleration in our revenue growth rate and an increase in our operating costs. We expect some or all of these factors to continue to impact our operations in the near term; however, we believe that the increased cost focus also creates meaningful opportunities with both new and existing customers.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War in Ukraine</w:t>
      </w:r>
    </w:p>
    <w:p>
      <w:pPr>
        <w:spacing w:after="0" w:line="88" w:lineRule="exact"/>
        <w:rPr>
          <w:sz w:val="20"/>
          <w:szCs w:val="20"/>
          <w:color w:val="auto"/>
        </w:rPr>
      </w:pPr>
    </w:p>
    <w:p>
      <w:pPr>
        <w:jc w:val="both"/>
        <w:ind w:firstLine="464"/>
        <w:spacing w:after="0" w:line="246" w:lineRule="auto"/>
        <w:rPr>
          <w:sz w:val="20"/>
          <w:szCs w:val="20"/>
          <w:color w:val="auto"/>
        </w:rPr>
      </w:pPr>
      <w:r>
        <w:rPr>
          <w:rFonts w:ascii="Arial" w:cs="Arial" w:eastAsia="Arial" w:hAnsi="Arial"/>
          <w:sz w:val="17"/>
          <w:szCs w:val="17"/>
          <w:color w:val="auto"/>
        </w:rPr>
        <w:t>The Russian invasion of Ukraine and resulting sanctions and other measures imposed in response thereto have increased the level of economic and political uncertainty in Eastern Europe and worldwide. We do not have employees, facilities or operations in either Russia or Ukraine; however, the continuation of the conflict or its potential expansion into surrounding geographic areas, could directly impact us, our clients, vendors or subcontractors, which could impact our operations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financial performance. We continue to monitor the situation closely to ensure business continuity plans are in place for neighboring countries where we have a presence.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Financial Highlights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For the three months ended September 30, 2022, we recorded service revenue of $232.1 million, a 15.5% increase from $201.1 million for the three months ended September 30, 2021. For the nine months ended September 30, 2022, we recorded service revenue of $718.3 million, a 34.5% increase from $533.9 million for the nine months ended September 30, 2021.</w:t>
      </w:r>
    </w:p>
    <w:p>
      <w:pPr>
        <w:spacing w:after="0" w:line="7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Net income for the three months ended September 30, 2022 decreased to $5.4 million from $11.6 million for the three months ended September 30, 2021. This decrease is due primarily to the impact of foreign currency exchange rate forward contracts and rising interest rates, partially offset by the impact of our continued revenue growth. Adjusted Net Income for the three months ended September 30, 2022 increased 9.3% to $35.8 million from $32.8 million for the three months ended September 30, 2021. Adjusted EBITDA for the three months ended September 30, 2022 increased 15.3% to $55.5 million from $48.1 million for the three months ended September 30, 2021.</w:t>
      </w:r>
    </w:p>
    <w:p>
      <w:pPr>
        <w:spacing w:after="0" w:line="8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Net income (loss) for the nine months ended September 30, 2022 increased to $24.7 million from $(77.8) million for the nine months ended September 30, 2021. This increase included expenses related to the one-time phantom shares bonuses and non-recurring teammate bonuses associated with the IPO of $133.7 million during the nine months ended September 30, 2021 and the impact of our continued revenue growth, partially offset by higher non-cash stock-based compensation expense, which we began recognizing upon the IPO, the impact of foreign currency exchange rate forward contracts and rising interest rates. Adjusted Net Income for the nine months ended September 30, 2022 increased 18.6% to $109.5 million from $92.3 million for the nine months ended September 30, 2021. Adjusted EBITDA for the nine months ended September 30, 2022 increased 25.4% to $165.3 million from $131.8 million for the nine months ended September 30, 2021. Free Cash Flow for the nine months ended September 30, 2022 increased to $78.5 million from $(102.0) million for the nine months ended September 30, 2021.</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operating results in any period are not necessarily indicative of the results that may be expected for any future period.</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September 30, 2022 and 2021</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set forth certain historical consolidated financial information for the three months ended September 30,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revenue</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232,130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201,053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31,077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15.5 %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Cost of services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134,544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22,121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19.7 %</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62,348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60,342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2,006</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3.3 %</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27.0 %</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5,087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4,711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376</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(gain) on disposal of assets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(130.8)%</w:t>
            </w:r>
          </w:p>
        </w:tc>
        <w:tc>
          <w:tcPr>
            <w:tcW w:w="0" w:type="dxa"/>
            <w:vAlign w:val="bottom"/>
          </w:tcPr>
          <w:p>
            <w:pPr>
              <w:spacing w:after="0"/>
              <w:rPr>
                <w:sz w:val="1"/>
                <w:szCs w:val="1"/>
                <w:color w:val="auto"/>
              </w:rPr>
            </w:pPr>
          </w:p>
        </w:tc>
      </w:tr>
      <w:tr>
        <w:trPr>
          <w:trHeight w:val="196"/>
        </w:trPr>
        <w:tc>
          <w:tcPr>
            <w:tcW w:w="5180" w:type="dxa"/>
            <w:vAlign w:val="bottom"/>
          </w:tcPr>
          <w:p>
            <w:pPr>
              <w:ind w:left="440"/>
              <w:spacing w:after="0"/>
              <w:rPr>
                <w:sz w:val="20"/>
                <w:szCs w:val="20"/>
                <w:color w:val="auto"/>
              </w:rPr>
            </w:pPr>
            <w:r>
              <w:rPr>
                <w:rFonts w:ascii="Arial" w:cs="Arial" w:eastAsia="Arial" w:hAnsi="Arial"/>
                <w:sz w:val="15"/>
                <w:szCs w:val="15"/>
                <w:color w:val="auto"/>
              </w:rPr>
              <w:t>Total operating expenses</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211,399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184,924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26,475</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14.3 %</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Operating income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20,731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28.5 %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Other expense</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7,612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6,408</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532.2 %</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3,859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136.3 %</w:t>
            </w:r>
          </w:p>
        </w:tc>
        <w:tc>
          <w:tcPr>
            <w:tcW w:w="0" w:type="dxa"/>
            <w:vAlign w:val="bottom"/>
          </w:tcPr>
          <w:p>
            <w:pPr>
              <w:spacing w:after="0"/>
              <w:rPr>
                <w:sz w:val="1"/>
                <w:szCs w:val="1"/>
                <w:color w:val="auto"/>
              </w:rPr>
            </w:pPr>
          </w:p>
        </w:tc>
      </w:tr>
      <w:tr>
        <w:trPr>
          <w:trHeight w:val="196"/>
        </w:trPr>
        <w:tc>
          <w:tcPr>
            <w:tcW w:w="5180" w:type="dxa"/>
            <w:vAlign w:val="bottom"/>
          </w:tcPr>
          <w:p>
            <w:pPr>
              <w:ind w:left="220"/>
              <w:spacing w:after="0"/>
              <w:rPr>
                <w:sz w:val="20"/>
                <w:szCs w:val="20"/>
                <w:color w:val="auto"/>
              </w:rPr>
            </w:pPr>
            <w:r>
              <w:rPr>
                <w:rFonts w:ascii="Arial" w:cs="Arial" w:eastAsia="Arial" w:hAnsi="Arial"/>
                <w:sz w:val="15"/>
                <w:szCs w:val="15"/>
                <w:color w:val="auto"/>
              </w:rPr>
              <w:t>Income before income taxes</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9,260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13,292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(4,032)</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3,895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135.2 %</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5,365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11,636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(6,271)</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(53.9)%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14"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Service revenue for the three months ended September 30, 2022 and 2021 was $232.1 million and $201.1 million, respectively. Service revenue for the three months ended September 30, 2022 increased by $31.1 million, or 15.5%, when compared to the three months ended September 30, 2021.</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service offering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breakdown of our service revenue by service offering for each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Digital Customer Experience</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151,474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125,310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26,164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20.9 %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Content Security</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43,910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45,376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(1,466)</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AI Services</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36,746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30,367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Arial" w:cs="Arial" w:eastAsia="Arial" w:hAnsi="Arial"/>
                <w:sz w:val="15"/>
                <w:szCs w:val="15"/>
                <w:color w:val="auto"/>
              </w:rPr>
              <w:t>Service revenue</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232,130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201,053</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31,077</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15.5 %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period over period growth in Digital Customer Experience and AI Services contributed 13.0% and 3.2%, respectively, while the decline in Content Security contributed (0.7)%, of the total increase of 15.5% for the three months ended September 30, 2022.</w:t>
      </w:r>
    </w:p>
    <w:p>
      <w:pPr>
        <w:spacing w:after="0" w:line="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20.9% growth in Digital Customer Experience was primarily driven by an increase in volume of services to existing customers in On Demand Travel + Transportation and Entertainment + Gaming and new customers in On Demand Travel + Transportation and Hi-Tech, as well as new customers as a result of the acquisition of heloo, partially offset by a decrease in volumes with existing customers in FinTech and Social Media.</w:t>
      </w:r>
    </w:p>
    <w:p>
      <w:pPr>
        <w:spacing w:after="0" w:line="72"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The 21.0% growth in AI Services was primarily driven by an increase in volume of services to existing customers in Social Media and On Demand Travel + Transportation as well as new customers in HealthTech, partially offset by a decrease in volumes with existing customers in Retail + E-Commerce.</w:t>
      </w:r>
    </w:p>
    <w:p>
      <w:pPr>
        <w:spacing w:after="0" w:line="37"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(3.2)% decline in Content Security was primarily driven by a decrease in volume of services to existing customers in Social Media and On Demand Travel + Transportation, partially offset by an increase in volumes with existing customers in Entertainment + Gaming and Retail + E-Commerce, as well as new customers in FinTech.</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delivery geography</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deliver our services from multiple locations around the world; however, the majority of our service revenues are derived from contracts that require payment in United States dollars, regardless of whether the clients are located in the United States.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breakdown of our service revenue by geographical location, based on where the services are provided, for each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Philippines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127,507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103,837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center"/>
              <w:ind w:left="426"/>
              <w:spacing w:after="0"/>
              <w:rPr>
                <w:sz w:val="20"/>
                <w:szCs w:val="20"/>
                <w:color w:val="auto"/>
              </w:rPr>
            </w:pPr>
            <w:r>
              <w:rPr>
                <w:rFonts w:ascii="Arial" w:cs="Arial" w:eastAsia="Arial" w:hAnsi="Arial"/>
                <w:sz w:val="15"/>
                <w:szCs w:val="15"/>
                <w:color w:val="auto"/>
                <w:w w:val="91"/>
              </w:rPr>
              <w:t>23,670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22.8 %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26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49,040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65,866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center"/>
              <w:ind w:left="406"/>
              <w:spacing w:after="0"/>
              <w:rPr>
                <w:sz w:val="20"/>
                <w:szCs w:val="20"/>
                <w:color w:val="auto"/>
              </w:rPr>
            </w:pPr>
            <w:r>
              <w:rPr>
                <w:rFonts w:ascii="Arial" w:cs="Arial" w:eastAsia="Arial" w:hAnsi="Arial"/>
                <w:sz w:val="15"/>
                <w:szCs w:val="15"/>
                <w:color w:val="auto"/>
                <w:w w:val="93"/>
              </w:rPr>
              <w:t>(16,826)</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55,583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31,350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ind w:left="426"/>
              <w:spacing w:after="0"/>
              <w:rPr>
                <w:sz w:val="20"/>
                <w:szCs w:val="20"/>
                <w:color w:val="auto"/>
              </w:rPr>
            </w:pPr>
            <w:r>
              <w:rPr>
                <w:rFonts w:ascii="Arial" w:cs="Arial" w:eastAsia="Arial" w:hAnsi="Arial"/>
                <w:sz w:val="15"/>
                <w:szCs w:val="15"/>
                <w:color w:val="auto"/>
                <w:w w:val="91"/>
              </w:rPr>
              <w:t>24,233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77.3 %</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Arial" w:cs="Arial" w:eastAsia="Arial" w:hAnsi="Arial"/>
                <w:sz w:val="15"/>
                <w:szCs w:val="15"/>
                <w:color w:val="auto"/>
              </w:rPr>
              <w:t>Service revenue</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232,130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201,053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center"/>
              <w:ind w:left="426"/>
              <w:spacing w:after="0"/>
              <w:rPr>
                <w:sz w:val="20"/>
                <w:szCs w:val="20"/>
                <w:color w:val="auto"/>
              </w:rPr>
            </w:pPr>
            <w:r>
              <w:rPr>
                <w:rFonts w:ascii="Arial" w:cs="Arial" w:eastAsia="Arial" w:hAnsi="Arial"/>
                <w:sz w:val="15"/>
                <w:szCs w:val="15"/>
                <w:color w:val="auto"/>
                <w:w w:val="91"/>
              </w:rPr>
              <w:t>31,077</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15.5 %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Revenue generated from services provided from our delivery sites in the Philippines grew primarily from expansion in all three of our service offerings, including the impact of certain clients electing to shift work from the United States. Digital Customer Experience contributed 11.9% of the total increase primarily driven by customers in On Demand Travel + Transportation, Entertainment + Gaming and Retail + E-Commerce. Content Security contributed 8.5% of the total increase primarily driven by customers in Social Media. AI Services contributed 2.4% of the total increase primarily driven by customers in Social Media, partially offset by decreases with customers in On Demand Travel + Transportation.</w:t>
      </w:r>
    </w:p>
    <w:p>
      <w:pPr>
        <w:spacing w:after="0" w:line="80"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Revenue generated from services provided from our delivery sites in the United States declined primarily from reductions in all three of our service offerings. Certain of our customers have elected to shift work from the United States to the Philippines and Rest of World and we expect this shift to continue through the rest of the year as we work to deliver service out of our customers' optimal geography, which allows us to serve them better in the long-term. Content Security contributed 20.3% of the total decrease primarily driven by customers in Social Media, partially offset by increases with customers in FinTech. Digital Customer Experience contributed 4.3% of the total decrease primarily driven by customers in FinTech and Social Media, partially offset by increases with customers in Hi-Tech, On Demand Travel + Transportation and Entertainment + Gaming. AI Services contributed 0.9% of the total decrease primarily driven by customers in Retail + E-Commerce and Social Media, mostly offset by increases with customers in On Demand Travel + Transportation.</w:t>
      </w:r>
    </w:p>
    <w:p>
      <w:pPr>
        <w:spacing w:after="0" w:line="66"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Revenue generated from services provided from our delivery sites in the Rest of World grew primarily from expansion in all three of our service offerings, including the impact of certain clients electing to shift work from the United States. Digital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Customer Experience contributed 53.5% of the total increase primarily driven by new customers as a result of the acquisition of heloo, customers in FinTech, On Demand Travel + Transportation and Entertainment + Gaming. AI Services contributed 14.3% of the total increase primarily driven by customers in Social Media. Content Security contributed 9.5% of the total increase primarily driven by customers in Social Media and Entertainment + Gaming, partially offset by decreases with customers in FinTech and On Demand Travel + Transportation. Growth in the Rest of World was led by India and Europe.</w:t>
      </w:r>
    </w:p>
    <w:p>
      <w:pPr>
        <w:spacing w:after="0" w:line="60" w:lineRule="exact"/>
        <w:rPr>
          <w:sz w:val="20"/>
          <w:szCs w:val="20"/>
          <w:color w:val="auto"/>
        </w:rPr>
      </w:pPr>
    </w:p>
    <w:p>
      <w:pPr>
        <w:jc w:val="center"/>
        <w:ind w:right="98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48" w:lineRule="exact"/>
        <w:rPr>
          <w:sz w:val="20"/>
          <w:szCs w:val="20"/>
          <w:color w:val="auto"/>
        </w:rPr>
      </w:pPr>
    </w:p>
    <w:p>
      <w:pPr>
        <w:jc w:val="center"/>
        <w:ind w:right="9840"/>
        <w:spacing w:after="0"/>
        <w:rPr>
          <w:sz w:val="20"/>
          <w:szCs w:val="20"/>
          <w:color w:val="auto"/>
        </w:rPr>
      </w:pPr>
      <w:r>
        <w:rPr>
          <w:rFonts w:ascii="Arial" w:cs="Arial" w:eastAsia="Arial" w:hAnsi="Arial"/>
          <w:sz w:val="17"/>
          <w:szCs w:val="17"/>
          <w:i w:val="1"/>
          <w:iCs w:val="1"/>
          <w:color w:val="auto"/>
        </w:rPr>
        <w:t>Cost of services</w:t>
      </w:r>
    </w:p>
    <w:p>
      <w:pPr>
        <w:spacing w:after="0" w:line="11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Cost of services for the three months ended September 30, 2022 and 2021 was $134.5 million and $112.4 million, respectively. Cost of services for the three months ended September 30, 2022 increased by $22.1 million, or 19.7%, when compared to the three months ended September 30, 2021. The increase was primarily driven by higher personnel costs of $17.4 million, related to an increase in headcount to meet the demand in services from our customers. The remaining increase included costs associated with site expansions and investments in software to support revenue growth.</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Selling, general, and administrative expense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Selling, general, and administrative expense for the three months ended September 30, 2022 and 2021 was $62.3 million and $60.3 million, respectively. Selling, general, and administrative expense for the three months ended September 30, 2022 increased by $2.0 million, or 3.3%, when compared to the three months ended September 30, 2021. The increase was primarily driven by higher personnel costs of $1.0 million due primarily to increased headcount across functions in support of our growth as well as earn-out consideration recognized as compensation expense, partially offset by a reduction in stock-based compensation expense as awards issued at, and prior to, the IPO began vesting. The remaining increase included investments in software.</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Depreciation</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Depreciation for the three months ended September 30, 2022 and 2021 was $9.4 million and $7.4 million, respectively. The increase in depreciation is a result of capital expenditures for additional technology and computers, as well as leasehold improvements associated with site expansions to support revenue growth.</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Amortization of intangible assets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Amortization of intangible assets for the three months ended September 30, 2022 and 2021 was $5.1 million and $4.7 million, respectively. The increase in amortization is due to the acquisition of heloo on April 15, 2022. See Note 3, "Business Combination" in the Notes to Unaudited Condensed Consolidated Financial Statements included in this Quarterly Report.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Other expense for the three months ended September 30, 2022 and 2021 was $7.6 million and $1.2 million, respectively. Changes are driven by our exposure to foreign currency exchange risk resulting from our operations in foreign geographies, primarily the Philippines, offset by economic hedges using foreign currency exchange rate forward contracts. See Part I, Item 3., “Quantitative and Qualitative Disclosures About Market Risk” in this Quarterly Report for additional information on how foreign currency impacts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expenses</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Financing expense for the three months ended September 30, 2022 and 2021 was $3.9 million and $1.6 million, respectively. Changes in financing expense are primarily driven by the rate of SOFR and LIBOR used to calculate the interest rate of our debt and the additional $32.5 million draw on our Revolving Credit Facility on April 12, 2022 to fund cash payments relating to our acquisition of heloo. See “—Liquidity and Capital Resources—Indebtedness—2019 Credit Agreement” and “—2022 Credit Agreement” for additional discussion.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Provision for income taxes for the three months ended September 30, 2022 and 2021 was $3.9 million and $1.7 million, respectively. The effective tax rate for the three months ended September 30, 2022 and 2021 was 42.1% and 12.5%, respectively. There are certain items included within the provision for income taxes calculation which were directly related to the IPO in 2021 and not expected to recur in future periods, including certain phantom shares bonuses and equity awards made to officers which are not deductible under Section 162(m) of the Internal Revenue Code. Additionally, costs related to the issuance of stock-based compensation and costs related to the acquisition of heloo within the provision for income taxes calculation are adjusted for Non-GAAP purposes. If those costs are removed, the provision for income taxes would have been $6.4 million and $6.3 million and the effective tax rate would have been 20.9% and 19.4% for the three months ended September 30, 2022 and 2021, respectively.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effective tax rate in the future will depend upon the proportion of income before provision for income taxes earned in the United States and in jurisdictions with a tax rate lower than the U.S. statutory rate, as well as a number of other factors, including the impact of new legislation.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2022 and 2021</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set forth certain historical consolidated financial information for the nine months ended September 30,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8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revenue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718,269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533,946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184,323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34.5 %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Cost of services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419,364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304,251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115,113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37.8 %</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195,514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269,650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(74,136)</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27,986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37.5 %</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2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14,765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14,135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630</w:t>
            </w:r>
          </w:p>
        </w:tc>
        <w:tc>
          <w:tcPr>
            <w:tcW w:w="1640" w:type="dxa"/>
            <w:vAlign w:val="bottom"/>
            <w:gridSpan w:val="2"/>
          </w:tcPr>
          <w:p>
            <w:pPr>
              <w:jc w:val="right"/>
              <w:ind w:right="111"/>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(gain) on disposal of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(133.3)%</w:t>
            </w:r>
          </w:p>
        </w:tc>
        <w:tc>
          <w:tcPr>
            <w:tcW w:w="0" w:type="dxa"/>
            <w:vAlign w:val="bottom"/>
          </w:tcPr>
          <w:p>
            <w:pPr>
              <w:spacing w:after="0"/>
              <w:rPr>
                <w:sz w:val="1"/>
                <w:szCs w:val="1"/>
                <w:color w:val="auto"/>
              </w:rPr>
            </w:pPr>
          </w:p>
        </w:tc>
      </w:tr>
      <w:tr>
        <w:trPr>
          <w:trHeight w:val="196"/>
        </w:trPr>
        <w:tc>
          <w:tcPr>
            <w:tcW w:w="5180" w:type="dxa"/>
            <w:vAlign w:val="bottom"/>
          </w:tcPr>
          <w:p>
            <w:pPr>
              <w:ind w:left="440"/>
              <w:spacing w:after="0"/>
              <w:rPr>
                <w:sz w:val="20"/>
                <w:szCs w:val="20"/>
                <w:color w:val="auto"/>
              </w:rPr>
            </w:pPr>
            <w:r>
              <w:rPr>
                <w:rFonts w:ascii="Arial" w:cs="Arial" w:eastAsia="Arial" w:hAnsi="Arial"/>
                <w:sz w:val="15"/>
                <w:szCs w:val="15"/>
                <w:color w:val="auto"/>
              </w:rPr>
              <w:t>Total operating expenses</w:t>
            </w:r>
          </w:p>
        </w:tc>
        <w:tc>
          <w:tcPr>
            <w:tcW w:w="2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657,611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608,444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49,167</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8.1 %</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Operating income (loss)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60,658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135,156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(181.4)%</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Other expense</w:t>
            </w:r>
          </w:p>
        </w:tc>
        <w:tc>
          <w:tcPr>
            <w:tcW w:w="2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16,042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15,743</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5,265.2 %</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7,665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59.4 %</w:t>
            </w:r>
          </w:p>
        </w:tc>
        <w:tc>
          <w:tcPr>
            <w:tcW w:w="0" w:type="dxa"/>
            <w:vAlign w:val="bottom"/>
          </w:tcPr>
          <w:p>
            <w:pPr>
              <w:spacing w:after="0"/>
              <w:rPr>
                <w:sz w:val="1"/>
                <w:szCs w:val="1"/>
                <w:color w:val="auto"/>
              </w:rPr>
            </w:pPr>
          </w:p>
        </w:tc>
      </w:tr>
      <w:tr>
        <w:trPr>
          <w:trHeight w:val="196"/>
        </w:trPr>
        <w:tc>
          <w:tcPr>
            <w:tcW w:w="5180" w:type="dxa"/>
            <w:vAlign w:val="bottom"/>
          </w:tcPr>
          <w:p>
            <w:pPr>
              <w:ind w:left="220"/>
              <w:spacing w:after="0"/>
              <w:rPr>
                <w:sz w:val="20"/>
                <w:szCs w:val="20"/>
                <w:color w:val="auto"/>
              </w:rPr>
            </w:pPr>
            <w:r>
              <w:rPr>
                <w:rFonts w:ascii="Arial" w:cs="Arial" w:eastAsia="Arial" w:hAnsi="Arial"/>
                <w:sz w:val="15"/>
                <w:szCs w:val="15"/>
                <w:color w:val="auto"/>
              </w:rPr>
              <w:t>Income (loss) before income taxes</w:t>
            </w:r>
          </w:p>
        </w:tc>
        <w:tc>
          <w:tcPr>
            <w:tcW w:w="2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36,951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(79,605)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116,556</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(146.4)%</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12,271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14,076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(779.8)%</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Arial" w:cs="Arial" w:eastAsia="Arial" w:hAnsi="Arial"/>
                <w:sz w:val="15"/>
                <w:szCs w:val="15"/>
                <w:color w:val="auto"/>
              </w:rPr>
              <w:t>Net income (loss)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24,680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(77,800)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102,480</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(131.7)%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14"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Service revenue for the nine months ended September 30, 2022 and 2021 was $718.3 million and $533.9 million, respectively. Service revenue for the nine months ended September 30, 2022 increased by $184.3 million, or 34.5%, when compared to the nine months ended September 30, 2021.</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service offering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breakdown of our service revenue by service offering for each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Digital Customer Experience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478,625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338,587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140,038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41.4 %</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Content Security</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136,093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124,498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11,595</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9.3 %</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AI Services</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103,551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70,861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32,690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46.1 %</w:t>
            </w:r>
          </w:p>
        </w:tc>
        <w:tc>
          <w:tcPr>
            <w:tcW w:w="0" w:type="dxa"/>
            <w:vAlign w:val="bottom"/>
          </w:tcPr>
          <w:p>
            <w:pPr>
              <w:spacing w:after="0"/>
              <w:rPr>
                <w:sz w:val="1"/>
                <w:szCs w:val="1"/>
                <w:color w:val="auto"/>
              </w:rPr>
            </w:pPr>
          </w:p>
        </w:tc>
      </w:tr>
      <w:tr>
        <w:trPr>
          <w:trHeight w:val="202"/>
        </w:trPr>
        <w:tc>
          <w:tcPr>
            <w:tcW w:w="5260" w:type="dxa"/>
            <w:vAlign w:val="bottom"/>
          </w:tcPr>
          <w:p>
            <w:pPr>
              <w:ind w:left="220"/>
              <w:spacing w:after="0"/>
              <w:rPr>
                <w:sz w:val="20"/>
                <w:szCs w:val="20"/>
                <w:color w:val="auto"/>
              </w:rPr>
            </w:pPr>
            <w:r>
              <w:rPr>
                <w:rFonts w:ascii="Arial" w:cs="Arial" w:eastAsia="Arial" w:hAnsi="Arial"/>
                <w:sz w:val="15"/>
                <w:szCs w:val="15"/>
                <w:color w:val="auto"/>
              </w:rPr>
              <w:t>Service revenue</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718,269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533,946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184,323</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34.5 %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year over year growth in Digital Customer Experience, AI Services and Content Security contributed 26.2%, 6.1% and 2.2%, respectively, of the total increase of 34.5% for the nine months ended September 30, 2022.</w:t>
      </w:r>
    </w:p>
    <w:p>
      <w:pPr>
        <w:spacing w:after="0" w:line="61"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The 41.4% growth in Digital Customer Experience was primarily driven by an increase in volume of services to existing customers in On Demand Travel + Transportation, FinTech, Entertainment + Gaming and HealthTech and new customers in Hi-Tech, as well as new customers as a result of the acquisition of heloo.</w:t>
      </w:r>
    </w:p>
    <w:p>
      <w:pPr>
        <w:spacing w:after="0" w:line="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46.1% growth in AI Services was primarily driven by an increase in volume of services to existing customers in Social Media and On Demand Travel + Transportation.</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9.3% growth in Content Security was primarily driven by an increase in volume of services to existing customers in Entertainment + Gaming, FinTech and Retail + E-Commerce, partially offset by a decrease in volumes with existing customers in On Demand Travel + Transportation.</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delivery geography</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deliver our services from multiple locations around the world; however, the majority of our service revenues are derived from contracts that require payment in United States dollars, regardless of whether the clients are located in the United States.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breakdown of our service revenue by geographical location, based on where the services are provided, for each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8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Philippines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371,909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284,096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87,813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30.9 %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202,444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175,553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26,891</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15.3 %</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143,916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74,297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69,619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93.7 %</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Arial" w:cs="Arial" w:eastAsia="Arial" w:hAnsi="Arial"/>
                <w:sz w:val="15"/>
                <w:szCs w:val="15"/>
                <w:color w:val="auto"/>
              </w:rPr>
              <w:t>Service revenue</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718,269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533,946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184,323</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34.5 %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Revenue generated from services provided from our delivery sites in the Philippines grew primarily from expansion in all three of our service offerings, including the impact of certain clients electing to shift work from the United States. Digital Customer Experience contributed 20.2% of the total increase primarily driven by customers in On Demand Travel + Transportation, FinTech, Entertainment + Gaming and Retail + E-Commerce. Content Security contributed 7.0% of the total increase primarily driven by customers in Social Media and Retail + E-Commerce. AI Services contributed 3.7% of the total increase primarily driven by customers in Social Media, partially offset by customers in On Demand Travel + Transportation.</w:t>
      </w:r>
    </w:p>
    <w:p>
      <w:pPr>
        <w:spacing w:after="0" w:line="6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Revenue generated from services provided from our delivery sites in the United States grew primarily from expansion in two of our service offerings. Certain of our customers have elected to shift work from the United States to the Philippines and Rest of World and we expect this shift to continue through the rest of the year as we work to deliver service out of our customers' optimal geography, which allows us to serve them better in the long-term. Digital Customer Experience contributed 20.1% of the total increase primarily driven by customers in Hi-Tech, FinTech, On Demand Travel + Transportation and HealthTech. AI Services contributed 3.8% of the total increase primarily driven by customers in On Demand Travel + Transportation, partially offset by customers in Retail + E-Commerce and Social Media. These increases were partially offset by an 8.6% decrease contributed by Content Security primarily driven by customers in Social Media, partially offset by customers in FinTech.</w:t>
      </w:r>
    </w:p>
    <w:p>
      <w:pPr>
        <w:spacing w:after="0" w:line="82"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Revenue generated from services provided from our delivery sites in the Rest of World grew primarily from expansion in in all three of our service offerings, including the impact of certain clients electing to shift work from the United States. Digital Customer Experience contributed 64.0% of the total increase primarily driven by customers in FinTech, On Demand Travel + Transportation and Entertainment + Gaming, as well as new customers as a result of the acquisition of heloo. AI Services contributed 20.7% of the total increase primarily driven by customers in Social Media, HealthTech and On Demand Travel + Transportation. Content Security contributed 9.0% of the total increase primarily driven by customers in Social Media and Entertainment + Gaming, partially offset by customers in On Demand Travel + Transportation and FinTech. Growth in the Rest of World was led by India, Europe and Latin America.</w:t>
      </w:r>
    </w:p>
    <w:p>
      <w:pPr>
        <w:spacing w:after="0" w:line="67" w:lineRule="exact"/>
        <w:rPr>
          <w:sz w:val="20"/>
          <w:szCs w:val="20"/>
          <w:color w:val="auto"/>
        </w:rPr>
      </w:pPr>
    </w:p>
    <w:p>
      <w:pPr>
        <w:jc w:val="center"/>
        <w:ind w:right="98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48" w:lineRule="exact"/>
        <w:rPr>
          <w:sz w:val="20"/>
          <w:szCs w:val="20"/>
          <w:color w:val="auto"/>
        </w:rPr>
      </w:pPr>
    </w:p>
    <w:p>
      <w:pPr>
        <w:jc w:val="center"/>
        <w:ind w:right="9840"/>
        <w:spacing w:after="0"/>
        <w:rPr>
          <w:sz w:val="20"/>
          <w:szCs w:val="20"/>
          <w:color w:val="auto"/>
        </w:rPr>
      </w:pPr>
      <w:r>
        <w:rPr>
          <w:rFonts w:ascii="Arial" w:cs="Arial" w:eastAsia="Arial" w:hAnsi="Arial"/>
          <w:sz w:val="17"/>
          <w:szCs w:val="17"/>
          <w:i w:val="1"/>
          <w:iCs w:val="1"/>
          <w:color w:val="auto"/>
        </w:rPr>
        <w:t>Cost of services</w:t>
      </w:r>
    </w:p>
    <w:p>
      <w:pPr>
        <w:spacing w:after="0" w:line="114"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Cost of services for the nine months ended September 30, 2022 and 2021 was $419.4 million and $304.3 million, respectively. Cost of services for the nine months ended September 30, 2022 increased by $115.1 million, or 37.8%, when compared to the nine months ended September 30, 2021. The increase was primarily driven by higher personnel costs of $99.2 million related to an increase in headcount to meet the demand in services from our clients. The remaining increase included costs associated with site expansions and investments in software, as well as other costs associated with certain teammates operating on-site.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Selling, general, and administrative expense</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Selling, general, and administrative expense for the nine months ended September 30, 2022 and 2021 was $195.5 million and $269.7 million, respectively. Selling, general, and administrative expense for the nine months ended September 30, 2022 decreased by $(74.1) million, or (27.5)%, when compared to the nine months ended September 30, 2021. The decrease was primarily driven by lower personnel costs of $86.1 million due primarily to expenses related to the one-time phantom shares bonuses and non-recurring teammate bonuses associated with the IPO of $133.7 million, partially offset by higher stock-based compensation expense and increased headcount across functions in support of our growth. The decrease was partially offset by investments in software, as well as costs associated with resuming travel and insurance expense.</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Depreciation</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Depreciation for the nine months ended September 30, 2022 and 2021 was $28.0 million and $20.4 million, respectively. The increase in depreciation is a result of capital expenditures for additional technology and computers, as well as leasehold improvements associated with site expansions to support revenue growth.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Amortization of intangible assets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Amortization of intangible assets for the nine months ended September 30, 2022 and 2021 was $14.8 million and $14.1 million, respectively. The increase in amortization is due to the acquisition of heloo on April 15, 2022. See Note 3, "Business Combination" in the Notes to Unaudited Condensed Consolidated Financial Statements included in this Quarterly Report.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Other expense for the nine months ended September 30, 2022 and 2021 was $16.0 million and $0.3 million, respectively. Changes are driven by our exposure to foreign currency exchange risk resulting from our operations in foreign geographies, primarily the Philippines, offset by economic hedges using foreign currency exchange rate forward contracts. See Part I, Item 3., “Quantitative and Qualitative Disclosures About Market Risk” in this Quarterly Report for additional information on how foreign currency impacts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expenses</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Financing expense for the nine months ended September 30, 2022 and 2021 was $7.7 million and $4.8 million, respectively. Changes in financing expense are primarily driven by the rate of SOFR and LIBOR used to calculate the interest rate of our debt and the additional $32.5 million draw on our Revolving Credit Facility on April 12, 2022 to fund cash payments relating to our acquisition of heloo. See “—Liquidity and Capital Resources—Indebtedness—2019 Credit Agreement” and "—2022 Credit Agreement" for additional discussion on the Term Loan Facility.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114"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Provision for (benefit from) income taxes for the nine months ended September 30, 2022 and 2021 was $12.3 million and $(1.8) million, respectively. Our effective tax rate for the nine months ended September 30, 2022 and 2021 was 33.2% and 2.3%, respectively. There are certain items included within the provision for (benefit from) income taxes calculation which were directly related to the IPO in 2021 and not expected to recur in future periods, including certain phantom shares bonuses and equity awards made to officers which are not deductible under Section 162(m) of the Internal Revenue Code. Additionally, costs related to the issuance of stock-based compensation and costs related to the acquisition of heloo within the provision for (benefit from) income taxes calculation are adjusted for Non-GAAP purposes. If those costs are removed, the provision for income taxes would have been $20.1 million and $14.3 million and the effective tax rate would have been 20.8% and 19.0% for the nine months ended September 30, 2022 and 2021,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by Top Clients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sets forth the percentage of our total service revenue derived from our largest clients for the three and nine months ended September 30,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2022 and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2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gridSpan w:val="3"/>
          </w:tcPr>
          <w:p>
            <w:pPr>
              <w:jc w:val="right"/>
              <w:ind w:right="466"/>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6000" w:type="dxa"/>
            <w:vAlign w:val="bottom"/>
            <w:gridSpan w:val="2"/>
          </w:tcPr>
          <w:p>
            <w:pPr>
              <w:spacing w:after="0"/>
              <w:rPr>
                <w:sz w:val="2"/>
                <w:szCs w:val="2"/>
                <w:color w:val="auto"/>
              </w:rPr>
            </w:pPr>
          </w:p>
        </w:tc>
        <w:tc>
          <w:tcPr>
            <w:tcW w:w="164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79"/>
        </w:trPr>
        <w:tc>
          <w:tcPr>
            <w:tcW w:w="5000" w:type="dxa"/>
            <w:vAlign w:val="bottom"/>
          </w:tcPr>
          <w:p>
            <w:pPr>
              <w:spacing w:after="0"/>
              <w:rPr>
                <w:sz w:val="15"/>
                <w:szCs w:val="15"/>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2022</w:t>
            </w:r>
          </w:p>
        </w:tc>
        <w:tc>
          <w:tcPr>
            <w:tcW w:w="16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top w:val="single" w:sz="8" w:color="auto"/>
            </w:tcBorders>
          </w:tcPr>
          <w:p>
            <w:pPr>
              <w:jc w:val="right"/>
              <w:ind w:right="54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2021</w:t>
            </w:r>
          </w:p>
        </w:tc>
      </w:tr>
      <w:tr>
        <w:trPr>
          <w:trHeight w:val="20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Top ten clients</w:t>
            </w: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63 %</w:t>
            </w:r>
          </w:p>
        </w:tc>
      </w:tr>
      <w:tr>
        <w:trPr>
          <w:trHeight w:val="201"/>
        </w:trPr>
        <w:tc>
          <w:tcPr>
            <w:tcW w:w="6000" w:type="dxa"/>
            <w:vAlign w:val="bottom"/>
            <w:gridSpan w:val="2"/>
          </w:tcPr>
          <w:p>
            <w:pPr>
              <w:ind w:left="20"/>
              <w:spacing w:after="0"/>
              <w:rPr>
                <w:sz w:val="20"/>
                <w:szCs w:val="20"/>
                <w:color w:val="auto"/>
              </w:rPr>
            </w:pPr>
            <w:r>
              <w:rPr>
                <w:rFonts w:ascii="Arial" w:cs="Arial" w:eastAsia="Arial" w:hAnsi="Arial"/>
                <w:sz w:val="15"/>
                <w:szCs w:val="15"/>
                <w:color w:val="auto"/>
              </w:rPr>
              <w:t>Top twenty clients</w:t>
            </w:r>
          </w:p>
        </w:tc>
        <w:tc>
          <w:tcPr>
            <w:tcW w:w="480" w:type="dxa"/>
            <w:vAlign w:val="bottom"/>
          </w:tcPr>
          <w:p>
            <w:pPr>
              <w:jc w:val="right"/>
              <w:spacing w:after="0"/>
              <w:rPr>
                <w:sz w:val="20"/>
                <w:szCs w:val="20"/>
                <w:color w:val="auto"/>
              </w:rPr>
            </w:pPr>
            <w:r>
              <w:rPr>
                <w:rFonts w:ascii="Arial" w:cs="Arial" w:eastAsia="Arial" w:hAnsi="Arial"/>
                <w:sz w:val="15"/>
                <w:szCs w:val="15"/>
                <w:color w:val="auto"/>
              </w:rPr>
              <w:t>70 %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76 %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72 %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76 %</w:t>
            </w:r>
          </w:p>
        </w:tc>
      </w:tr>
    </w:tbl>
    <w:p>
      <w:pPr>
        <w:spacing w:after="0" w:line="18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spacing w:after="0" w:line="61"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For the three months ended September 30, 2022 and 2021, we generated 22% and 27%, respectively, of our service revenue from our largest client, and we generated less than 10% and 11%, respectively, of our service revenue from our second largest client. For the nine months ended September 30, 2022 and 2021, we generated 23% and 27%, respectively, of our service revenue from our largest client, and we generated less than 10% and 11%, respectively, of our service revenue from our second largest client.</w:t>
      </w:r>
    </w:p>
    <w:p>
      <w:pPr>
        <w:spacing w:after="0" w:line="7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continue to identify and target high growth industry verticals and clients. Our strategy is to acquire new clients and further grow with our existing ones in order to achieve meaningful client and revenue diversification over time.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Disclosures About Market Risk” in this Quarterly Report for additional information on how foreign currency impacts our financial results.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use Adjusted Net Income, Adjusted Earnings Per Share (“EPS”), EBITDA, Adjusted EBITDA, Free Cash Flow and Conversion of Adjusted EBITDA, as key measures to assess the performance of our business.</w:t>
      </w:r>
    </w:p>
    <w:p>
      <w:pPr>
        <w:spacing w:after="0" w:line="61"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w:t>
      </w:r>
    </w:p>
    <w:p>
      <w:pPr>
        <w:spacing w:after="0" w:line="114"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 transaction costs, earn-out consideration, the effect of foreign currency gains and losses, gains and losses on disposals of assets, COVID-19 related expenses, severance costs, natural disaster costs, one-time payments associated with the IPO, stock-based compensation expense and employer payroll tax associated with equity-classified awards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spacing w:after="0" w:line="57"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following table reconciles net income, the most directly comparable GAAP measure, to Adjusted Net Income for the three months ended September 30, 2022 and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06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11,636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Amortization of intangible assets</w:t>
            </w:r>
          </w:p>
        </w:tc>
        <w:tc>
          <w:tcPr>
            <w:tcW w:w="300" w:type="dxa"/>
            <w:vAlign w:val="bottom"/>
          </w:tcPr>
          <w:p>
            <w:pPr>
              <w:spacing w:after="0"/>
              <w:rPr>
                <w:sz w:val="17"/>
                <w:szCs w:val="17"/>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5,087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4,711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376</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Transaction costs</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(92.0)%</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Arial" w:cs="Arial" w:eastAsia="Arial" w:hAnsi="Arial"/>
                <w:sz w:val="15"/>
                <w:szCs w:val="15"/>
                <w:color w:val="auto"/>
              </w:rPr>
              <w:t>Earn-out consideration</w:t>
            </w:r>
            <w:r>
              <w:rPr>
                <w:rFonts w:ascii="Arial" w:cs="Arial" w:eastAsia="Arial" w:hAnsi="Arial"/>
                <w:sz w:val="20"/>
                <w:szCs w:val="20"/>
                <w:color w:val="auto"/>
                <w:vertAlign w:val="superscript"/>
              </w:rPr>
              <w:t>(2)</w:t>
            </w:r>
          </w:p>
        </w:tc>
        <w:tc>
          <w:tcPr>
            <w:tcW w:w="300" w:type="dxa"/>
            <w:vAlign w:val="bottom"/>
          </w:tcPr>
          <w:p>
            <w:pPr>
              <w:spacing w:after="0"/>
              <w:rPr>
                <w:sz w:val="17"/>
                <w:szCs w:val="17"/>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3,648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3,648</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Foreign currency losses</w:t>
            </w:r>
            <w:r>
              <w:rPr>
                <w:rFonts w:ascii="Arial" w:cs="Arial" w:eastAsia="Arial" w:hAnsi="Arial"/>
                <w:sz w:val="20"/>
                <w:szCs w:val="20"/>
                <w:color w:val="auto"/>
                <w:vertAlign w:val="superscript"/>
              </w:rPr>
              <w:t>(3)</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7,713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6,428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500.2 %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Loss (gain) on disposal of assets</w:t>
            </w:r>
          </w:p>
        </w:tc>
        <w:tc>
          <w:tcPr>
            <w:tcW w:w="30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(130.8)%</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Stock-based compensation expense</w:t>
            </w:r>
            <w:r>
              <w:rPr>
                <w:rFonts w:ascii="Arial" w:cs="Arial" w:eastAsia="Arial" w:hAnsi="Arial"/>
                <w:sz w:val="20"/>
                <w:szCs w:val="20"/>
                <w:color w:val="auto"/>
                <w:vertAlign w:val="superscript"/>
              </w:rPr>
              <w:t>(4)</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16,430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19,243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5"/>
                <w:szCs w:val="15"/>
                <w:color w:val="auto"/>
              </w:rPr>
              <w:t>Tax impacts of adjustments</w:t>
            </w:r>
            <w:r>
              <w:rPr>
                <w:rFonts w:ascii="Arial" w:cs="Arial" w:eastAsia="Arial" w:hAnsi="Arial"/>
                <w:sz w:val="20"/>
                <w:szCs w:val="20"/>
                <w:color w:val="auto"/>
                <w:vertAlign w:val="superscript"/>
              </w:rPr>
              <w:t>(5)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(2,469)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(4,632)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2,163</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(46.7)%</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Adjusted Net Income</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35,805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32,757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3,048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line="218" w:lineRule="exact"/>
              <w:rPr>
                <w:sz w:val="20"/>
                <w:szCs w:val="20"/>
                <w:color w:val="auto"/>
              </w:rPr>
            </w:pPr>
            <w:r>
              <w:rPr>
                <w:rFonts w:ascii="Arial" w:cs="Arial" w:eastAsia="Arial" w:hAnsi="Arial"/>
                <w:sz w:val="15"/>
                <w:szCs w:val="15"/>
                <w:color w:val="auto"/>
              </w:rPr>
              <w:t>Net Income Margin</w:t>
            </w:r>
            <w:r>
              <w:rPr>
                <w:rFonts w:ascii="Arial" w:cs="Arial" w:eastAsia="Arial" w:hAnsi="Arial"/>
                <w:sz w:val="20"/>
                <w:szCs w:val="20"/>
                <w:color w:val="auto"/>
                <w:vertAlign w:val="superscript"/>
              </w:rPr>
              <w:t>(6)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6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5.8 %</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20"/>
              <w:spacing w:after="0" w:line="199" w:lineRule="exact"/>
              <w:rPr>
                <w:sz w:val="20"/>
                <w:szCs w:val="20"/>
                <w:color w:val="auto"/>
              </w:rPr>
            </w:pPr>
            <w:r>
              <w:rPr>
                <w:rFonts w:ascii="Arial" w:cs="Arial" w:eastAsia="Arial" w:hAnsi="Arial"/>
                <w:sz w:val="15"/>
                <w:szCs w:val="15"/>
                <w:color w:val="auto"/>
              </w:rPr>
              <w:t>Adjusted Net Income Margin</w:t>
            </w:r>
            <w:r>
              <w:rPr>
                <w:rFonts w:ascii="Arial" w:cs="Arial" w:eastAsia="Arial" w:hAnsi="Arial"/>
                <w:sz w:val="20"/>
                <w:szCs w:val="20"/>
                <w:color w:val="auto"/>
                <w:vertAlign w:val="superscript"/>
              </w:rPr>
              <w:t>(6)</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15.4 %</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80" w:hanging="460"/>
        <w:spacing w:after="0"/>
        <w:tabs>
          <w:tab w:leader="none" w:pos="480" w:val="left"/>
        </w:tabs>
        <w:numPr>
          <w:ilvl w:val="0"/>
          <w:numId w:val="12"/>
        </w:numPr>
        <w:rPr>
          <w:rFonts w:ascii="Arial" w:cs="Arial" w:eastAsia="Arial" w:hAnsi="Arial"/>
          <w:sz w:val="26"/>
          <w:szCs w:val="26"/>
          <w:color w:val="auto"/>
          <w:vertAlign w:val="superscript"/>
        </w:rPr>
      </w:pPr>
      <w:r>
        <w:rPr>
          <w:rFonts w:ascii="Arial" w:cs="Arial" w:eastAsia="Arial" w:hAnsi="Arial"/>
          <w:sz w:val="13"/>
          <w:szCs w:val="13"/>
          <w:color w:val="auto"/>
        </w:rPr>
        <w:t>Represents non-recurring professional service fees related to the acquisition of heloo in 2022 and the preparation for public offerings that have been expensed during the period in 2021.</w:t>
      </w:r>
    </w:p>
    <w:p>
      <w:pPr>
        <w:spacing w:after="0" w:line="82" w:lineRule="exact"/>
        <w:rPr>
          <w:rFonts w:ascii="Arial" w:cs="Arial" w:eastAsia="Arial" w:hAnsi="Arial"/>
          <w:sz w:val="26"/>
          <w:szCs w:val="26"/>
          <w:color w:val="auto"/>
          <w:vertAlign w:val="superscript"/>
        </w:rPr>
      </w:pPr>
    </w:p>
    <w:p>
      <w:pPr>
        <w:ind w:left="480" w:hanging="460"/>
        <w:spacing w:after="0" w:line="188" w:lineRule="auto"/>
        <w:tabs>
          <w:tab w:leader="none" w:pos="480" w:val="left"/>
        </w:tabs>
        <w:numPr>
          <w:ilvl w:val="0"/>
          <w:numId w:val="12"/>
        </w:numPr>
        <w:rPr>
          <w:rFonts w:ascii="Arial" w:cs="Arial" w:eastAsia="Arial" w:hAnsi="Arial"/>
          <w:sz w:val="18"/>
          <w:szCs w:val="18"/>
          <w:color w:val="auto"/>
          <w:vertAlign w:val="superscript"/>
        </w:rPr>
      </w:pPr>
      <w:r>
        <w:rPr>
          <w:rFonts w:ascii="Arial" w:cs="Arial" w:eastAsia="Arial" w:hAnsi="Arial"/>
          <w:sz w:val="10"/>
          <w:szCs w:val="10"/>
          <w:color w:val="auto"/>
        </w:rPr>
        <w:t>Represents earn-out consideration recognized as compensation expense related to the acquisition of heloo.</w:t>
      </w:r>
    </w:p>
    <w:p>
      <w:pPr>
        <w:spacing w:after="0" w:line="31" w:lineRule="exact"/>
        <w:rPr>
          <w:rFonts w:ascii="Arial" w:cs="Arial" w:eastAsia="Arial" w:hAnsi="Arial"/>
          <w:sz w:val="18"/>
          <w:szCs w:val="18"/>
          <w:color w:val="auto"/>
          <w:vertAlign w:val="superscript"/>
        </w:rPr>
      </w:pPr>
    </w:p>
    <w:p>
      <w:pPr>
        <w:ind w:left="480" w:hanging="460"/>
        <w:spacing w:after="0"/>
        <w:tabs>
          <w:tab w:leader="none" w:pos="4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Realized and unrealized foreign currency losses include the effect of fair market value changes of forward contracts and remeasurement of U.S. dollar-denominated accounts to foreign currency.</w:t>
      </w:r>
    </w:p>
    <w:p>
      <w:pPr>
        <w:spacing w:after="0" w:line="54" w:lineRule="exact"/>
        <w:rPr>
          <w:rFonts w:ascii="Arial" w:cs="Arial" w:eastAsia="Arial" w:hAnsi="Arial"/>
          <w:sz w:val="11"/>
          <w:szCs w:val="11"/>
          <w:color w:val="auto"/>
        </w:rPr>
      </w:pPr>
    </w:p>
    <w:p>
      <w:pPr>
        <w:ind w:left="480" w:hanging="46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32" w:lineRule="exact"/>
        <w:rPr>
          <w:rFonts w:ascii="Arial" w:cs="Arial" w:eastAsia="Arial" w:hAnsi="Arial"/>
          <w:sz w:val="14"/>
          <w:szCs w:val="14"/>
          <w:color w:val="auto"/>
        </w:rPr>
      </w:pPr>
    </w:p>
    <w:p>
      <w:pPr>
        <w:ind w:left="480" w:right="20" w:hanging="460"/>
        <w:spacing w:after="0" w:line="180" w:lineRule="auto"/>
        <w:tabs>
          <w:tab w:leader="none" w:pos="480" w:val="left"/>
        </w:tabs>
        <w:numPr>
          <w:ilvl w:val="0"/>
          <w:numId w:val="12"/>
        </w:numPr>
        <w:rPr>
          <w:rFonts w:ascii="Arial" w:cs="Arial" w:eastAsia="Arial" w:hAnsi="Arial"/>
          <w:sz w:val="23"/>
          <w:szCs w:val="23"/>
          <w:color w:val="auto"/>
          <w:vertAlign w:val="subscript"/>
        </w:rPr>
      </w:pPr>
      <w:r>
        <w:rPr>
          <w:rFonts w:ascii="Arial" w:cs="Arial" w:eastAsia="Arial" w:hAnsi="Arial"/>
          <w:sz w:val="12"/>
          <w:szCs w:val="12"/>
          <w:color w:val="auto"/>
        </w:rPr>
        <w:t>Represents tax impacts of adjustments to net income which resulted in a tax benefit during the period. These adjustments include stock-based compensation expense and earn-out consideration after the IPO.</w:t>
      </w:r>
    </w:p>
    <w:p>
      <w:pPr>
        <w:spacing w:after="0" w:line="20" w:lineRule="exact"/>
        <w:rPr>
          <w:rFonts w:ascii="Arial" w:cs="Arial" w:eastAsia="Arial" w:hAnsi="Arial"/>
          <w:sz w:val="23"/>
          <w:szCs w:val="23"/>
          <w:color w:val="auto"/>
          <w:vertAlign w:val="subscript"/>
        </w:rPr>
      </w:pPr>
    </w:p>
    <w:p>
      <w:pPr>
        <w:ind w:left="480" w:hanging="46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 and Adjusted Net Income Margin represents Adjusted Net Income divided by service revenue.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net income (loss), the most directly comparable GAAP measure, to Adjusted Net Income for the nine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4"/>
          </w:tcPr>
          <w:p>
            <w:pPr>
              <w:jc w:val="right"/>
              <w:ind w:right="483"/>
              <w:spacing w:after="0"/>
              <w:rPr>
                <w:sz w:val="20"/>
                <w:szCs w:val="20"/>
                <w:color w:val="auto"/>
              </w:rPr>
            </w:pPr>
            <w:r>
              <w:rPr>
                <w:rFonts w:ascii="Arial" w:cs="Arial" w:eastAsia="Arial" w:hAnsi="Arial"/>
                <w:sz w:val="14"/>
                <w:szCs w:val="14"/>
                <w:b w:val="1"/>
                <w:bCs w:val="1"/>
                <w:color w:val="auto"/>
                <w:w w:val="96"/>
              </w:rPr>
              <w:t>Nine months ended September 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4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04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24,680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(77,800)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102,480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(131.7)%</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14,765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14,135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630</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4.5 %</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Transaction costs</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6,249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(90.6)%</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line="207" w:lineRule="exact"/>
              <w:rPr>
                <w:sz w:val="20"/>
                <w:szCs w:val="20"/>
                <w:color w:val="auto"/>
              </w:rPr>
            </w:pPr>
            <w:r>
              <w:rPr>
                <w:rFonts w:ascii="Arial" w:cs="Arial" w:eastAsia="Arial" w:hAnsi="Arial"/>
                <w:sz w:val="15"/>
                <w:szCs w:val="15"/>
                <w:color w:val="auto"/>
              </w:rPr>
              <w:t>Earn-out consideration</w:t>
            </w:r>
            <w:r>
              <w:rPr>
                <w:rFonts w:ascii="Arial" w:cs="Arial" w:eastAsia="Arial" w:hAnsi="Arial"/>
                <w:sz w:val="20"/>
                <w:szCs w:val="20"/>
                <w:color w:val="auto"/>
                <w:vertAlign w:val="superscript"/>
              </w:rPr>
              <w:t>(2)</w:t>
            </w:r>
          </w:p>
        </w:tc>
        <w:tc>
          <w:tcPr>
            <w:tcW w:w="32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4,976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4,976</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Foreign currency losses</w:t>
            </w:r>
            <w:r>
              <w:rPr>
                <w:rFonts w:ascii="Arial" w:cs="Arial" w:eastAsia="Arial" w:hAnsi="Arial"/>
                <w:sz w:val="20"/>
                <w:szCs w:val="20"/>
                <w:color w:val="auto"/>
                <w:vertAlign w:val="superscript"/>
              </w:rPr>
              <w:t>(3)</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16,367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477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3,331.2 %</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5"/>
                <w:szCs w:val="15"/>
                <w:color w:val="auto"/>
              </w:rPr>
              <w:t>Loss (gain) on disposal of assets</w:t>
            </w:r>
          </w:p>
        </w:tc>
        <w:tc>
          <w:tcPr>
            <w:tcW w:w="320" w:type="dxa"/>
            <w:vAlign w:val="bottom"/>
          </w:tcPr>
          <w:p>
            <w:pPr>
              <w:spacing w:after="0"/>
              <w:rPr>
                <w:sz w:val="17"/>
                <w:szCs w:val="17"/>
                <w:color w:val="auto"/>
              </w:rPr>
            </w:pPr>
          </w:p>
        </w:tc>
        <w:tc>
          <w:tcPr>
            <w:tcW w:w="1180" w:type="dxa"/>
            <w:vAlign w:val="bottom"/>
          </w:tcPr>
          <w:p>
            <w:pPr>
              <w:jc w:val="right"/>
              <w:ind w:right="84"/>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(72)</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(133.3)%</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COVID-19 related expenses</w:t>
            </w:r>
            <w:r>
              <w:rPr>
                <w:rFonts w:ascii="Arial" w:cs="Arial" w:eastAsia="Arial" w:hAnsi="Arial"/>
                <w:sz w:val="20"/>
                <w:szCs w:val="20"/>
                <w:color w:val="auto"/>
                <w:vertAlign w:val="superscript"/>
              </w:rPr>
              <w:t>(4)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6,105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line="207" w:lineRule="exact"/>
              <w:rPr>
                <w:sz w:val="20"/>
                <w:szCs w:val="20"/>
                <w:color w:val="auto"/>
              </w:rPr>
            </w:pPr>
            <w:r>
              <w:rPr>
                <w:rFonts w:ascii="Arial" w:cs="Arial" w:eastAsia="Arial" w:hAnsi="Arial"/>
                <w:sz w:val="15"/>
                <w:szCs w:val="15"/>
                <w:color w:val="auto"/>
              </w:rPr>
              <w:t>Severance costs</w:t>
            </w:r>
            <w:r>
              <w:rPr>
                <w:rFonts w:ascii="Arial" w:cs="Arial" w:eastAsia="Arial" w:hAnsi="Arial"/>
                <w:sz w:val="20"/>
                <w:szCs w:val="20"/>
                <w:color w:val="auto"/>
                <w:vertAlign w:val="superscript"/>
              </w:rPr>
              <w:t>(5)</w:t>
            </w:r>
          </w:p>
        </w:tc>
        <w:tc>
          <w:tcPr>
            <w:tcW w:w="32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821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821</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Natural disaster costs</w:t>
            </w:r>
            <w:r>
              <w:rPr>
                <w:rFonts w:ascii="Arial" w:cs="Arial" w:eastAsia="Arial" w:hAnsi="Arial"/>
                <w:sz w:val="20"/>
                <w:szCs w:val="20"/>
                <w:color w:val="auto"/>
                <w:vertAlign w:val="superscript"/>
              </w:rPr>
              <w:t>(6)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442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line="207" w:lineRule="exact"/>
              <w:rPr>
                <w:sz w:val="20"/>
                <w:szCs w:val="20"/>
                <w:color w:val="auto"/>
              </w:rPr>
            </w:pPr>
            <w:r>
              <w:rPr>
                <w:rFonts w:ascii="Arial" w:cs="Arial" w:eastAsia="Arial" w:hAnsi="Arial"/>
                <w:sz w:val="15"/>
                <w:szCs w:val="15"/>
                <w:color w:val="auto"/>
              </w:rPr>
              <w:t>Phantom shares bonus</w:t>
            </w:r>
            <w:r>
              <w:rPr>
                <w:rFonts w:ascii="Arial" w:cs="Arial" w:eastAsia="Arial" w:hAnsi="Arial"/>
                <w:sz w:val="20"/>
                <w:szCs w:val="20"/>
                <w:color w:val="auto"/>
                <w:vertAlign w:val="superscript"/>
              </w:rPr>
              <w:t>(7)</w:t>
            </w:r>
          </w:p>
        </w:tc>
        <w:tc>
          <w:tcPr>
            <w:tcW w:w="3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129,362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(129,362)</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Teammate IPO bonus</w:t>
            </w:r>
            <w:r>
              <w:rPr>
                <w:rFonts w:ascii="Arial" w:cs="Arial" w:eastAsia="Arial" w:hAnsi="Arial"/>
                <w:sz w:val="20"/>
                <w:szCs w:val="20"/>
                <w:color w:val="auto"/>
                <w:vertAlign w:val="superscript"/>
              </w:rPr>
              <w:t>(8)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4,361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line="207" w:lineRule="exact"/>
              <w:rPr>
                <w:sz w:val="20"/>
                <w:szCs w:val="20"/>
                <w:color w:val="auto"/>
              </w:rPr>
            </w:pPr>
            <w:r>
              <w:rPr>
                <w:rFonts w:ascii="Arial" w:cs="Arial" w:eastAsia="Arial" w:hAnsi="Arial"/>
                <w:sz w:val="15"/>
                <w:szCs w:val="15"/>
                <w:color w:val="auto"/>
              </w:rPr>
              <w:t>Stock-based compensation expense</w:t>
            </w:r>
            <w:r>
              <w:rPr>
                <w:rFonts w:ascii="Arial" w:cs="Arial" w:eastAsia="Arial" w:hAnsi="Arial"/>
                <w:sz w:val="20"/>
                <w:szCs w:val="20"/>
                <w:color w:val="auto"/>
                <w:vertAlign w:val="superscript"/>
              </w:rPr>
              <w:t>(9)</w:t>
            </w:r>
          </w:p>
        </w:tc>
        <w:tc>
          <w:tcPr>
            <w:tcW w:w="32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55,160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25,014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30,146</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120.5 %</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Tax impacts of adjustments</w:t>
            </w:r>
            <w:r>
              <w:rPr>
                <w:rFonts w:ascii="Arial" w:cs="Arial" w:eastAsia="Arial" w:hAnsi="Arial"/>
                <w:sz w:val="20"/>
                <w:szCs w:val="20"/>
                <w:color w:val="auto"/>
                <w:vertAlign w:val="superscript"/>
              </w:rPr>
              <w:t>(10)</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(7,827)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(16,072)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8,245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(51.3)%</w:t>
            </w:r>
          </w:p>
        </w:tc>
        <w:tc>
          <w:tcPr>
            <w:tcW w:w="0" w:type="dxa"/>
            <w:vAlign w:val="bottom"/>
          </w:tcPr>
          <w:p>
            <w:pPr>
              <w:spacing w:after="0"/>
              <w:rPr>
                <w:sz w:val="1"/>
                <w:szCs w:val="1"/>
                <w:color w:val="auto"/>
              </w:rPr>
            </w:pPr>
          </w:p>
        </w:tc>
      </w:tr>
      <w:tr>
        <w:trPr>
          <w:trHeight w:val="199"/>
        </w:trPr>
        <w:tc>
          <w:tcPr>
            <w:tcW w:w="5040" w:type="dxa"/>
            <w:vAlign w:val="bottom"/>
          </w:tcPr>
          <w:p>
            <w:pPr>
              <w:ind w:left="220"/>
              <w:spacing w:after="0"/>
              <w:rPr>
                <w:sz w:val="20"/>
                <w:szCs w:val="20"/>
                <w:color w:val="auto"/>
              </w:rPr>
            </w:pPr>
            <w:r>
              <w:rPr>
                <w:rFonts w:ascii="Arial" w:cs="Arial" w:eastAsia="Arial" w:hAnsi="Arial"/>
                <w:sz w:val="15"/>
                <w:szCs w:val="15"/>
                <w:color w:val="auto"/>
              </w:rPr>
              <w:t>Adjusted Net Income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109,512</w:t>
            </w:r>
          </w:p>
        </w:tc>
        <w:tc>
          <w:tcPr>
            <w:tcW w:w="8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92,327</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17,185</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18.6 %</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Net Income (Loss) Margin</w:t>
            </w:r>
            <w:r>
              <w:rPr>
                <w:rFonts w:ascii="Arial" w:cs="Arial" w:eastAsia="Arial" w:hAnsi="Arial"/>
                <w:sz w:val="20"/>
                <w:szCs w:val="20"/>
                <w:color w:val="auto"/>
                <w:vertAlign w:val="superscript"/>
              </w:rPr>
              <w:t>(11)</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40" w:type="dxa"/>
            <w:vAlign w:val="bottom"/>
          </w:tcPr>
          <w:p>
            <w:pPr>
              <w:ind w:left="20"/>
              <w:spacing w:after="0" w:line="199" w:lineRule="exact"/>
              <w:rPr>
                <w:sz w:val="20"/>
                <w:szCs w:val="20"/>
                <w:color w:val="auto"/>
              </w:rPr>
            </w:pPr>
            <w:r>
              <w:rPr>
                <w:rFonts w:ascii="Arial" w:cs="Arial" w:eastAsia="Arial" w:hAnsi="Arial"/>
                <w:sz w:val="15"/>
                <w:szCs w:val="15"/>
                <w:color w:val="auto"/>
              </w:rPr>
              <w:t>Adjusted Net Income Margin</w:t>
            </w:r>
            <w:r>
              <w:rPr>
                <w:rFonts w:ascii="Arial" w:cs="Arial" w:eastAsia="Arial" w:hAnsi="Arial"/>
                <w:sz w:val="20"/>
                <w:szCs w:val="20"/>
                <w:color w:val="auto"/>
                <w:vertAlign w:val="superscript"/>
              </w:rPr>
              <w:t>(11)</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80" w:hanging="460"/>
        <w:spacing w:after="0"/>
        <w:tabs>
          <w:tab w:leader="none" w:pos="480" w:val="left"/>
        </w:tabs>
        <w:numPr>
          <w:ilvl w:val="0"/>
          <w:numId w:val="13"/>
        </w:numPr>
        <w:rPr>
          <w:rFonts w:ascii="Arial" w:cs="Arial" w:eastAsia="Arial" w:hAnsi="Arial"/>
          <w:sz w:val="26"/>
          <w:szCs w:val="26"/>
          <w:color w:val="auto"/>
          <w:vertAlign w:val="superscript"/>
        </w:rPr>
      </w:pPr>
      <w:r>
        <w:rPr>
          <w:rFonts w:ascii="Arial" w:cs="Arial" w:eastAsia="Arial" w:hAnsi="Arial"/>
          <w:sz w:val="13"/>
          <w:szCs w:val="13"/>
          <w:color w:val="auto"/>
        </w:rPr>
        <w:t>Represents non-recurring professional service fees related to the acquisition of heloo in 2022 and the preparation for public offerings that have been expensed during the period in 2021.</w:t>
      </w:r>
    </w:p>
    <w:p>
      <w:pPr>
        <w:spacing w:after="0" w:line="30" w:lineRule="exact"/>
        <w:rPr>
          <w:rFonts w:ascii="Arial" w:cs="Arial" w:eastAsia="Arial" w:hAnsi="Arial"/>
          <w:sz w:val="26"/>
          <w:szCs w:val="26"/>
          <w:color w:val="auto"/>
          <w:vertAlign w:val="superscript"/>
        </w:rPr>
      </w:pPr>
    </w:p>
    <w:p>
      <w:pPr>
        <w:ind w:left="480" w:hanging="46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earn-out consideration recognized as compensation expense related to the acquisition of heloo.</w:t>
      </w:r>
    </w:p>
    <w:p>
      <w:pPr>
        <w:spacing w:after="0" w:line="20" w:lineRule="exact"/>
        <w:rPr>
          <w:rFonts w:ascii="Arial" w:cs="Arial" w:eastAsia="Arial" w:hAnsi="Arial"/>
          <w:sz w:val="14"/>
          <w:szCs w:val="14"/>
          <w:color w:val="auto"/>
        </w:rPr>
      </w:pPr>
    </w:p>
    <w:p>
      <w:pPr>
        <w:ind w:left="480" w:hanging="460"/>
        <w:spacing w:after="0"/>
        <w:tabs>
          <w:tab w:leader="none" w:pos="4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Realized and unrealized foreign currency losses include the effect of fair market value changes of forward contracts and remeasurement of U.S. dollar-denominated accounts to foreign currency.</w:t>
      </w:r>
    </w:p>
    <w:p>
      <w:pPr>
        <w:spacing w:after="0" w:line="66" w:lineRule="exact"/>
        <w:rPr>
          <w:rFonts w:ascii="Arial" w:cs="Arial" w:eastAsia="Arial" w:hAnsi="Arial"/>
          <w:sz w:val="11"/>
          <w:szCs w:val="11"/>
          <w:color w:val="auto"/>
        </w:rPr>
      </w:pPr>
    </w:p>
    <w:p>
      <w:pPr>
        <w:ind w:left="480" w:right="20" w:hanging="460"/>
        <w:spacing w:after="0" w:line="226"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19" w:lineRule="exact"/>
        <w:rPr>
          <w:rFonts w:ascii="Arial" w:cs="Arial" w:eastAsia="Arial" w:hAnsi="Arial"/>
          <w:sz w:val="14"/>
          <w:szCs w:val="14"/>
          <w:color w:val="auto"/>
        </w:rPr>
      </w:pPr>
    </w:p>
    <w:p>
      <w:pPr>
        <w:ind w:left="480" w:hanging="46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 to restructure support roles.</w:t>
      </w:r>
    </w:p>
    <w:p>
      <w:pPr>
        <w:spacing w:after="0" w:line="32" w:lineRule="exact"/>
        <w:rPr>
          <w:rFonts w:ascii="Arial" w:cs="Arial" w:eastAsia="Arial" w:hAnsi="Arial"/>
          <w:sz w:val="14"/>
          <w:szCs w:val="14"/>
          <w:color w:val="auto"/>
        </w:rPr>
      </w:pPr>
    </w:p>
    <w:p>
      <w:pPr>
        <w:ind w:left="480" w:right="20" w:hanging="460"/>
        <w:spacing w:after="0" w:line="226"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one-time costs associated with emergency housing, transportation costs and bonuses for our employees in connection with the natural disaster related to the severe winter storm in Texas in February 2021.</w:t>
      </w:r>
    </w:p>
    <w:p>
      <w:pPr>
        <w:spacing w:after="0" w:line="19" w:lineRule="exact"/>
        <w:rPr>
          <w:rFonts w:ascii="Arial" w:cs="Arial" w:eastAsia="Arial" w:hAnsi="Arial"/>
          <w:sz w:val="14"/>
          <w:szCs w:val="14"/>
          <w:color w:val="auto"/>
        </w:rPr>
      </w:pPr>
    </w:p>
    <w:p>
      <w:pPr>
        <w:ind w:left="480" w:right="20" w:hanging="460"/>
        <w:spacing w:after="0" w:line="226"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expense for one-time, non-recurring payments of $127.5 million to vested phantom shareholders in connection with the completion of the IPO, as well as associated payroll tax and 401(k) contributions.</w:t>
      </w:r>
    </w:p>
    <w:p>
      <w:pPr>
        <w:spacing w:after="0" w:line="19" w:lineRule="exact"/>
        <w:rPr>
          <w:rFonts w:ascii="Arial" w:cs="Arial" w:eastAsia="Arial" w:hAnsi="Arial"/>
          <w:sz w:val="14"/>
          <w:szCs w:val="14"/>
          <w:color w:val="auto"/>
        </w:rPr>
      </w:pPr>
    </w:p>
    <w:p>
      <w:pPr>
        <w:ind w:left="480" w:hanging="46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expense for non-recurring bonus payments to certain employees in connection with the completion of the IPO.</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32" w:lineRule="exact"/>
        <w:rPr>
          <w:rFonts w:ascii="Arial" w:cs="Arial" w:eastAsia="Arial" w:hAnsi="Arial"/>
          <w:sz w:val="14"/>
          <w:szCs w:val="14"/>
          <w:color w:val="auto"/>
        </w:rPr>
      </w:pPr>
    </w:p>
    <w:p>
      <w:pPr>
        <w:ind w:left="480" w:right="20" w:hanging="460"/>
        <w:spacing w:after="0" w:line="226"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tax impacts of adjustments to net income (loss) which resulted in a tax benefit during the period, including phantom shares bonus related to the IPO, and stock-based compensation expense and earn-out consideration after the IPO.</w:t>
      </w:r>
    </w:p>
    <w:p>
      <w:pPr>
        <w:spacing w:after="0" w:line="19" w:lineRule="exact"/>
        <w:rPr>
          <w:rFonts w:ascii="Arial" w:cs="Arial" w:eastAsia="Arial" w:hAnsi="Arial"/>
          <w:sz w:val="14"/>
          <w:szCs w:val="14"/>
          <w:color w:val="auto"/>
        </w:rPr>
      </w:pPr>
    </w:p>
    <w:p>
      <w:pPr>
        <w:ind w:left="480" w:hanging="460"/>
        <w:spacing w:after="0"/>
        <w:tabs>
          <w:tab w:leader="none" w:pos="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Net Income (Loss) Margin represents net income (loss) divided by service revenue and Adjusted Net Income Margin represents Adjusted Net Income divided by service revenue.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EPS</w:t>
      </w:r>
    </w:p>
    <w:p>
      <w:pPr>
        <w:spacing w:after="0" w:line="114"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income (loss)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GAAP diluted EPS, the most directly comparable GAAP measure, to Adjusted EPS for the three and nine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5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diluted EPS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(0.83)</w:t>
            </w:r>
          </w:p>
        </w:tc>
      </w:tr>
      <w:tr>
        <w:trPr>
          <w:trHeight w:val="206"/>
        </w:trPr>
        <w:tc>
          <w:tcPr>
            <w:tcW w:w="5260" w:type="dxa"/>
            <w:vAlign w:val="bottom"/>
          </w:tcPr>
          <w:p>
            <w:pPr>
              <w:ind w:left="20"/>
              <w:spacing w:after="0" w:line="207" w:lineRule="exact"/>
              <w:rPr>
                <w:sz w:val="20"/>
                <w:szCs w:val="20"/>
                <w:color w:val="auto"/>
              </w:rPr>
            </w:pPr>
            <w:r>
              <w:rPr>
                <w:rFonts w:ascii="Arial" w:cs="Arial" w:eastAsia="Arial" w:hAnsi="Arial"/>
                <w:sz w:val="15"/>
                <w:szCs w:val="15"/>
                <w:color w:val="auto"/>
              </w:rPr>
              <w:t>Per share adjustments to net income (loss)</w:t>
            </w:r>
            <w:r>
              <w:rPr>
                <w:rFonts w:ascii="Arial" w:cs="Arial" w:eastAsia="Arial" w:hAnsi="Arial"/>
                <w:sz w:val="20"/>
                <w:szCs w:val="20"/>
                <w:color w:val="auto"/>
                <w:vertAlign w:val="superscript"/>
              </w:rPr>
              <w:t>(1)</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1.81</w:t>
            </w:r>
          </w:p>
        </w:tc>
      </w:tr>
      <w:tr>
        <w:trPr>
          <w:trHeight w:val="206"/>
        </w:trPr>
        <w:tc>
          <w:tcPr>
            <w:tcW w:w="52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Per share adjustments for GAAP anti-dilutive shares</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(0.05)</w:t>
            </w:r>
          </w:p>
        </w:tc>
      </w:tr>
      <w:tr>
        <w:trPr>
          <w:trHeight w:val="196"/>
        </w:trPr>
        <w:tc>
          <w:tcPr>
            <w:tcW w:w="5260" w:type="dxa"/>
            <w:vAlign w:val="bottom"/>
          </w:tcPr>
          <w:p>
            <w:pPr>
              <w:ind w:left="220"/>
              <w:spacing w:after="0"/>
              <w:rPr>
                <w:sz w:val="20"/>
                <w:szCs w:val="20"/>
                <w:color w:val="auto"/>
              </w:rPr>
            </w:pPr>
            <w:r>
              <w:rPr>
                <w:rFonts w:ascii="Arial" w:cs="Arial" w:eastAsia="Arial" w:hAnsi="Arial"/>
                <w:sz w:val="15"/>
                <w:szCs w:val="15"/>
                <w:color w:val="auto"/>
              </w:rPr>
              <w:t>Adjusted EPS</w:t>
            </w: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0.93</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5"/>
        </w:trPr>
        <w:tc>
          <w:tcPr>
            <w:tcW w:w="5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Weighted-average common shares outstanding – diluted</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101,920,413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109,426,011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103,073,208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93,994,896</w:t>
            </w:r>
          </w:p>
        </w:tc>
      </w:tr>
      <w:tr>
        <w:trPr>
          <w:trHeight w:val="209"/>
        </w:trPr>
        <w:tc>
          <w:tcPr>
            <w:tcW w:w="52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GAAP anti-dilutive shares</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5,578,525</w:t>
            </w:r>
          </w:p>
        </w:tc>
      </w:tr>
      <w:tr>
        <w:trPr>
          <w:trHeight w:val="196"/>
        </w:trPr>
        <w:tc>
          <w:tcPr>
            <w:tcW w:w="5260" w:type="dxa"/>
            <w:vAlign w:val="bottom"/>
          </w:tcPr>
          <w:p>
            <w:pPr>
              <w:ind w:left="220"/>
              <w:spacing w:after="0"/>
              <w:rPr>
                <w:sz w:val="20"/>
                <w:szCs w:val="20"/>
                <w:color w:val="auto"/>
              </w:rPr>
            </w:pPr>
            <w:r>
              <w:rPr>
                <w:rFonts w:ascii="Arial" w:cs="Arial" w:eastAsia="Arial" w:hAnsi="Arial"/>
                <w:sz w:val="15"/>
                <w:szCs w:val="15"/>
                <w:color w:val="auto"/>
              </w:rPr>
              <w:t>Adjusted weighted-average shares outstanding</w:t>
            </w: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101,920,413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109,426,011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103,073,208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99,573,421</w:t>
            </w:r>
          </w:p>
        </w:tc>
      </w:tr>
      <w:tr>
        <w:trPr>
          <w:trHeight w:val="21"/>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80" w:right="20" w:hanging="460"/>
        <w:spacing w:after="0" w:line="180" w:lineRule="auto"/>
        <w:tabs>
          <w:tab w:leader="none" w:pos="480" w:val="left"/>
        </w:tabs>
        <w:numPr>
          <w:ilvl w:val="0"/>
          <w:numId w:val="14"/>
        </w:numPr>
        <w:rPr>
          <w:rFonts w:ascii="Arial" w:cs="Arial" w:eastAsia="Arial" w:hAnsi="Arial"/>
          <w:sz w:val="23"/>
          <w:szCs w:val="23"/>
          <w:color w:val="auto"/>
          <w:vertAlign w:val="superscript"/>
        </w:rPr>
      </w:pPr>
      <w:r>
        <w:rPr>
          <w:rFonts w:ascii="Arial" w:cs="Arial" w:eastAsia="Arial" w:hAnsi="Arial"/>
          <w:sz w:val="12"/>
          <w:szCs w:val="12"/>
          <w:color w:val="auto"/>
        </w:rPr>
        <w:t>Reflects the aggregate adjustments made to reconcile net income (loss) to Adjusted Net Income, as noted in the above table, divided by the GAAP diluted weighted-average number of shares outstanding for the relevant period.</w:t>
      </w:r>
    </w:p>
    <w:p>
      <w:pPr>
        <w:spacing w:after="0" w:line="20" w:lineRule="exact"/>
        <w:rPr>
          <w:rFonts w:ascii="Arial" w:cs="Arial" w:eastAsia="Arial" w:hAnsi="Arial"/>
          <w:sz w:val="23"/>
          <w:szCs w:val="23"/>
          <w:color w:val="auto"/>
          <w:vertAlign w:val="superscript"/>
        </w:rPr>
      </w:pPr>
    </w:p>
    <w:p>
      <w:pPr>
        <w:ind w:left="480" w:right="20" w:hanging="460"/>
        <w:spacing w:after="0" w:line="226"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the impact of awards that were anti-dilutive to GAAP diluted EPS since we were in a net loss position, and therefore not included in the calculation, but would be dilutive to Adjusted EPS and are therefore included in the calculation.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EBITDA and Adjusted EBITDA</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80"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excluded from Adjusted EBITDA transaction costs, earn-out consideration, the effect of foreign currency gains and losses, gains and losses on disposals of assets, COVID-19 related expenses, severance costs, natural disaster costs, one-time payments associated with the IPO and stock-based compensation expense and employer payroll tax associated with equity-classified awards,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net income, the most directly comparable GAAP measure, to EBITDA and Adjusted EBITDA for the 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06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11,636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300" w:type="dxa"/>
            <w:vAlign w:val="bottom"/>
          </w:tcPr>
          <w:p>
            <w:pPr>
              <w:spacing w:after="0"/>
              <w:rPr>
                <w:sz w:val="17"/>
                <w:szCs w:val="17"/>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3,895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1,656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2,239</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135.2 %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3,859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1,633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2,226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136.3 %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Depreciation</w:t>
            </w:r>
          </w:p>
        </w:tc>
        <w:tc>
          <w:tcPr>
            <w:tcW w:w="300" w:type="dxa"/>
            <w:vAlign w:val="bottom"/>
          </w:tcPr>
          <w:p>
            <w:pPr>
              <w:spacing w:after="0"/>
              <w:rPr>
                <w:sz w:val="17"/>
                <w:szCs w:val="17"/>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9,428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7,422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2,006</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27.0 %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5,087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4,711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196"/>
        </w:trPr>
        <w:tc>
          <w:tcPr>
            <w:tcW w:w="5060" w:type="dxa"/>
            <w:vAlign w:val="bottom"/>
          </w:tcPr>
          <w:p>
            <w:pPr>
              <w:ind w:left="220"/>
              <w:spacing w:after="0"/>
              <w:rPr>
                <w:sz w:val="20"/>
                <w:szCs w:val="20"/>
                <w:color w:val="auto"/>
              </w:rPr>
            </w:pPr>
            <w:r>
              <w:rPr>
                <w:rFonts w:ascii="Arial" w:cs="Arial" w:eastAsia="Arial" w:hAnsi="Arial"/>
                <w:sz w:val="15"/>
                <w:szCs w:val="15"/>
                <w:color w:val="auto"/>
              </w:rPr>
              <w:t>EBITDA</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27,634</w:t>
            </w:r>
          </w:p>
        </w:tc>
        <w:tc>
          <w:tcPr>
            <w:tcW w:w="10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27,058</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576</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2.1 %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Transaction costs</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(92.0)%</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Arial" w:cs="Arial" w:eastAsia="Arial" w:hAnsi="Arial"/>
                <w:sz w:val="15"/>
                <w:szCs w:val="15"/>
                <w:color w:val="auto"/>
              </w:rPr>
              <w:t>Earn-out consideration</w:t>
            </w:r>
            <w:r>
              <w:rPr>
                <w:rFonts w:ascii="Arial" w:cs="Arial" w:eastAsia="Arial" w:hAnsi="Arial"/>
                <w:sz w:val="20"/>
                <w:szCs w:val="20"/>
                <w:color w:val="auto"/>
                <w:vertAlign w:val="superscript"/>
              </w:rPr>
              <w:t>(2)</w:t>
            </w:r>
          </w:p>
        </w:tc>
        <w:tc>
          <w:tcPr>
            <w:tcW w:w="300" w:type="dxa"/>
            <w:vAlign w:val="bottom"/>
          </w:tcPr>
          <w:p>
            <w:pPr>
              <w:spacing w:after="0"/>
              <w:rPr>
                <w:sz w:val="17"/>
                <w:szCs w:val="17"/>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3,648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3,648</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Foreign currency losses</w:t>
            </w:r>
            <w:r>
              <w:rPr>
                <w:rFonts w:ascii="Arial" w:cs="Arial" w:eastAsia="Arial" w:hAnsi="Arial"/>
                <w:sz w:val="20"/>
                <w:szCs w:val="20"/>
                <w:color w:val="auto"/>
                <w:vertAlign w:val="superscript"/>
              </w:rPr>
              <w:t>(3)</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7,713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6,428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500.2 %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Loss (gain) on disposal of assets</w:t>
            </w:r>
          </w:p>
        </w:tc>
        <w:tc>
          <w:tcPr>
            <w:tcW w:w="30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(130.8)%</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Stock-based compensation expense</w:t>
            </w:r>
            <w:r>
              <w:rPr>
                <w:rFonts w:ascii="Arial" w:cs="Arial" w:eastAsia="Arial" w:hAnsi="Arial"/>
                <w:sz w:val="20"/>
                <w:szCs w:val="20"/>
                <w:color w:val="auto"/>
                <w:vertAlign w:val="superscript"/>
              </w:rPr>
              <w:t>(4)</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16,430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19,243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99"/>
        </w:trPr>
        <w:tc>
          <w:tcPr>
            <w:tcW w:w="506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55,456</w:t>
            </w:r>
          </w:p>
        </w:tc>
        <w:tc>
          <w:tcPr>
            <w:tcW w:w="10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48,100</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7,356</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15.3 %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6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Net Income Margin</w:t>
            </w:r>
            <w:r>
              <w:rPr>
                <w:rFonts w:ascii="Arial" w:cs="Arial" w:eastAsia="Arial" w:hAnsi="Arial"/>
                <w:sz w:val="20"/>
                <w:szCs w:val="20"/>
                <w:color w:val="auto"/>
                <w:vertAlign w:val="superscript"/>
              </w:rPr>
              <w:t>(5)</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60" w:type="dxa"/>
            <w:vAlign w:val="bottom"/>
          </w:tcPr>
          <w:p>
            <w:pPr>
              <w:ind w:left="20"/>
              <w:spacing w:after="0" w:line="199" w:lineRule="exact"/>
              <w:rPr>
                <w:sz w:val="20"/>
                <w:szCs w:val="20"/>
                <w:color w:val="auto"/>
              </w:rPr>
            </w:pPr>
            <w:r>
              <w:rPr>
                <w:rFonts w:ascii="Arial" w:cs="Arial" w:eastAsia="Arial" w:hAnsi="Arial"/>
                <w:sz w:val="15"/>
                <w:szCs w:val="15"/>
                <w:color w:val="auto"/>
              </w:rPr>
              <w:t>Adjusted EBITDA Margin</w:t>
            </w:r>
            <w:r>
              <w:rPr>
                <w:rFonts w:ascii="Arial" w:cs="Arial" w:eastAsia="Arial" w:hAnsi="Arial"/>
                <w:sz w:val="20"/>
                <w:szCs w:val="20"/>
                <w:color w:val="auto"/>
                <w:vertAlign w:val="superscript"/>
              </w:rPr>
              <w:t>(5)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80" w:hanging="460"/>
        <w:spacing w:after="0"/>
        <w:tabs>
          <w:tab w:leader="none" w:pos="480" w:val="left"/>
        </w:tabs>
        <w:numPr>
          <w:ilvl w:val="0"/>
          <w:numId w:val="15"/>
        </w:numPr>
        <w:rPr>
          <w:rFonts w:ascii="Arial" w:cs="Arial" w:eastAsia="Arial" w:hAnsi="Arial"/>
          <w:sz w:val="26"/>
          <w:szCs w:val="26"/>
          <w:color w:val="auto"/>
          <w:vertAlign w:val="superscript"/>
        </w:rPr>
      </w:pPr>
      <w:r>
        <w:rPr>
          <w:rFonts w:ascii="Arial" w:cs="Arial" w:eastAsia="Arial" w:hAnsi="Arial"/>
          <w:sz w:val="13"/>
          <w:szCs w:val="13"/>
          <w:color w:val="auto"/>
        </w:rPr>
        <w:t>Represents non-recurring professional service fees related to the acquisition of heloo in 2022 and the preparation for public offerings that have been expensed during the period in 2021.</w:t>
      </w:r>
    </w:p>
    <w:p>
      <w:pPr>
        <w:spacing w:after="0" w:line="30" w:lineRule="exact"/>
        <w:rPr>
          <w:rFonts w:ascii="Arial" w:cs="Arial" w:eastAsia="Arial" w:hAnsi="Arial"/>
          <w:sz w:val="26"/>
          <w:szCs w:val="26"/>
          <w:color w:val="auto"/>
          <w:vertAlign w:val="superscript"/>
        </w:rPr>
      </w:pPr>
    </w:p>
    <w:p>
      <w:pPr>
        <w:ind w:left="480" w:hanging="46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earn-out consideration recognized as compensation expense related to the acquisition of heloo.</w:t>
      </w:r>
    </w:p>
    <w:p>
      <w:pPr>
        <w:spacing w:after="0" w:line="20" w:lineRule="exact"/>
        <w:rPr>
          <w:rFonts w:ascii="Arial" w:cs="Arial" w:eastAsia="Arial" w:hAnsi="Arial"/>
          <w:sz w:val="14"/>
          <w:szCs w:val="14"/>
          <w:color w:val="auto"/>
        </w:rPr>
      </w:pPr>
    </w:p>
    <w:p>
      <w:pPr>
        <w:ind w:left="480" w:hanging="460"/>
        <w:spacing w:after="0"/>
        <w:tabs>
          <w:tab w:leader="none" w:pos="4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Realized and unrealized foreign currency losses include the effect of fair market value changes of forward contracts and remeasurement of U.S. dollar-denominated accounts to foreign currency.</w:t>
      </w:r>
    </w:p>
    <w:p>
      <w:pPr>
        <w:spacing w:after="0" w:line="66" w:lineRule="exact"/>
        <w:rPr>
          <w:rFonts w:ascii="Arial" w:cs="Arial" w:eastAsia="Arial" w:hAnsi="Arial"/>
          <w:sz w:val="11"/>
          <w:szCs w:val="11"/>
          <w:color w:val="auto"/>
        </w:rPr>
      </w:pPr>
    </w:p>
    <w:p>
      <w:pPr>
        <w:ind w:left="480" w:hanging="46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 and Adjusted EBITDA Margin represents Adjusted EBITDA divided by service revenue.</w:t>
      </w:r>
    </w:p>
    <w:p>
      <w:pPr>
        <w:spacing w:after="0" w:line="219"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following table reconciles net income (loss), the most directly comparable GAAP measure, to EBITDA and Adjusted EBITDA for the nine months ended September 30, 2022 and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4"/>
          </w:tcPr>
          <w:p>
            <w:pPr>
              <w:jc w:val="right"/>
              <w:ind w:right="483"/>
              <w:spacing w:after="0"/>
              <w:rPr>
                <w:sz w:val="20"/>
                <w:szCs w:val="20"/>
                <w:color w:val="auto"/>
              </w:rPr>
            </w:pPr>
            <w:r>
              <w:rPr>
                <w:rFonts w:ascii="Arial" w:cs="Arial" w:eastAsia="Arial" w:hAnsi="Arial"/>
                <w:sz w:val="14"/>
                <w:szCs w:val="14"/>
                <w:b w:val="1"/>
                <w:bCs w:val="1"/>
                <w:color w:val="auto"/>
                <w:w w:val="96"/>
              </w:rPr>
              <w:t>Nine months ended September 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4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04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24,680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(77,800)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102,480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(131.7)%</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32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12,271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(1,805)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14,076</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(779.8)%</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7,665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4,808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2,857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59.4 %</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5"/>
                <w:szCs w:val="15"/>
                <w:color w:val="auto"/>
              </w:rPr>
              <w:t>Depreciation</w:t>
            </w:r>
          </w:p>
        </w:tc>
        <w:tc>
          <w:tcPr>
            <w:tcW w:w="32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27,986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20,354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7,632</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37.5 %</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14,765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14,135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4.5 %</w:t>
            </w:r>
          </w:p>
        </w:tc>
        <w:tc>
          <w:tcPr>
            <w:tcW w:w="0" w:type="dxa"/>
            <w:vAlign w:val="bottom"/>
          </w:tcPr>
          <w:p>
            <w:pPr>
              <w:spacing w:after="0"/>
              <w:rPr>
                <w:sz w:val="1"/>
                <w:szCs w:val="1"/>
                <w:color w:val="auto"/>
              </w:rPr>
            </w:pPr>
          </w:p>
        </w:tc>
      </w:tr>
      <w:tr>
        <w:trPr>
          <w:trHeight w:val="196"/>
        </w:trPr>
        <w:tc>
          <w:tcPr>
            <w:tcW w:w="5040" w:type="dxa"/>
            <w:vAlign w:val="bottom"/>
          </w:tcPr>
          <w:p>
            <w:pPr>
              <w:ind w:left="220"/>
              <w:spacing w:after="0"/>
              <w:rPr>
                <w:sz w:val="20"/>
                <w:szCs w:val="20"/>
                <w:color w:val="auto"/>
              </w:rPr>
            </w:pPr>
            <w:r>
              <w:rPr>
                <w:rFonts w:ascii="Arial" w:cs="Arial" w:eastAsia="Arial" w:hAnsi="Arial"/>
                <w:sz w:val="15"/>
                <w:szCs w:val="15"/>
                <w:color w:val="auto"/>
              </w:rPr>
              <w:t>EBITDA</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87,367</w:t>
            </w:r>
          </w:p>
        </w:tc>
        <w:tc>
          <w:tcPr>
            <w:tcW w:w="8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(40,308)</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127,675</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(316.7)%</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Transaction costs</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6,249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(90.6)%</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line="207" w:lineRule="exact"/>
              <w:rPr>
                <w:sz w:val="20"/>
                <w:szCs w:val="20"/>
                <w:color w:val="auto"/>
              </w:rPr>
            </w:pPr>
            <w:r>
              <w:rPr>
                <w:rFonts w:ascii="Arial" w:cs="Arial" w:eastAsia="Arial" w:hAnsi="Arial"/>
                <w:sz w:val="15"/>
                <w:szCs w:val="15"/>
                <w:color w:val="auto"/>
              </w:rPr>
              <w:t>Earn-out consideration</w:t>
            </w:r>
            <w:r>
              <w:rPr>
                <w:rFonts w:ascii="Arial" w:cs="Arial" w:eastAsia="Arial" w:hAnsi="Arial"/>
                <w:sz w:val="20"/>
                <w:szCs w:val="20"/>
                <w:color w:val="auto"/>
                <w:vertAlign w:val="superscript"/>
              </w:rPr>
              <w:t>(2)</w:t>
            </w:r>
          </w:p>
        </w:tc>
        <w:tc>
          <w:tcPr>
            <w:tcW w:w="32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4,976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4,976</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Foreign currency losses</w:t>
            </w:r>
            <w:r>
              <w:rPr>
                <w:rFonts w:ascii="Arial" w:cs="Arial" w:eastAsia="Arial" w:hAnsi="Arial"/>
                <w:sz w:val="20"/>
                <w:szCs w:val="20"/>
                <w:color w:val="auto"/>
                <w:vertAlign w:val="superscript"/>
              </w:rPr>
              <w:t>(3)</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16,367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477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3,331.2 %</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5"/>
                <w:szCs w:val="15"/>
                <w:color w:val="auto"/>
              </w:rPr>
              <w:t>Loss (gain) on disposal of assets</w:t>
            </w:r>
          </w:p>
        </w:tc>
        <w:tc>
          <w:tcPr>
            <w:tcW w:w="32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(72)</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(133.3)%</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COVID-19 related expenses</w:t>
            </w:r>
            <w:r>
              <w:rPr>
                <w:rFonts w:ascii="Arial" w:cs="Arial" w:eastAsia="Arial" w:hAnsi="Arial"/>
                <w:sz w:val="20"/>
                <w:szCs w:val="20"/>
                <w:color w:val="auto"/>
                <w:vertAlign w:val="superscript"/>
              </w:rPr>
              <w:t>(4)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6,105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line="207" w:lineRule="exact"/>
              <w:rPr>
                <w:sz w:val="20"/>
                <w:szCs w:val="20"/>
                <w:color w:val="auto"/>
              </w:rPr>
            </w:pPr>
            <w:r>
              <w:rPr>
                <w:rFonts w:ascii="Arial" w:cs="Arial" w:eastAsia="Arial" w:hAnsi="Arial"/>
                <w:sz w:val="15"/>
                <w:szCs w:val="15"/>
                <w:color w:val="auto"/>
              </w:rPr>
              <w:t>Severance costs</w:t>
            </w:r>
            <w:r>
              <w:rPr>
                <w:rFonts w:ascii="Arial" w:cs="Arial" w:eastAsia="Arial" w:hAnsi="Arial"/>
                <w:sz w:val="20"/>
                <w:szCs w:val="20"/>
                <w:color w:val="auto"/>
                <w:vertAlign w:val="superscript"/>
              </w:rPr>
              <w:t>(5)</w:t>
            </w:r>
          </w:p>
        </w:tc>
        <w:tc>
          <w:tcPr>
            <w:tcW w:w="32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821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821</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Natural disaster costs</w:t>
            </w:r>
            <w:r>
              <w:rPr>
                <w:rFonts w:ascii="Arial" w:cs="Arial" w:eastAsia="Arial" w:hAnsi="Arial"/>
                <w:sz w:val="20"/>
                <w:szCs w:val="20"/>
                <w:color w:val="auto"/>
                <w:vertAlign w:val="superscript"/>
              </w:rPr>
              <w:t>(6)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442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line="207" w:lineRule="exact"/>
              <w:rPr>
                <w:sz w:val="20"/>
                <w:szCs w:val="20"/>
                <w:color w:val="auto"/>
              </w:rPr>
            </w:pPr>
            <w:r>
              <w:rPr>
                <w:rFonts w:ascii="Arial" w:cs="Arial" w:eastAsia="Arial" w:hAnsi="Arial"/>
                <w:sz w:val="15"/>
                <w:szCs w:val="15"/>
                <w:color w:val="auto"/>
              </w:rPr>
              <w:t>Phantom shares bonus</w:t>
            </w:r>
            <w:r>
              <w:rPr>
                <w:rFonts w:ascii="Arial" w:cs="Arial" w:eastAsia="Arial" w:hAnsi="Arial"/>
                <w:sz w:val="20"/>
                <w:szCs w:val="20"/>
                <w:color w:val="auto"/>
                <w:vertAlign w:val="superscript"/>
              </w:rPr>
              <w:t>(7)</w:t>
            </w:r>
          </w:p>
        </w:tc>
        <w:tc>
          <w:tcPr>
            <w:tcW w:w="3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129,362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(129,362)</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Teammate IPO bonus</w:t>
            </w:r>
            <w:r>
              <w:rPr>
                <w:rFonts w:ascii="Arial" w:cs="Arial" w:eastAsia="Arial" w:hAnsi="Arial"/>
                <w:sz w:val="20"/>
                <w:szCs w:val="20"/>
                <w:color w:val="auto"/>
                <w:vertAlign w:val="superscript"/>
              </w:rPr>
              <w:t>(8)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4,361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4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5"/>
                <w:szCs w:val="15"/>
                <w:color w:val="auto"/>
              </w:rPr>
              <w:t>Stock-based compensation expense</w:t>
            </w:r>
            <w:r>
              <w:rPr>
                <w:rFonts w:ascii="Arial" w:cs="Arial" w:eastAsia="Arial" w:hAnsi="Arial"/>
                <w:sz w:val="20"/>
                <w:szCs w:val="20"/>
                <w:color w:val="auto"/>
                <w:vertAlign w:val="superscript"/>
              </w:rPr>
              <w:t>(9)</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55,160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25,014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30,146</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120.5 %</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Adjusted EBITDA</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165,261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131,756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33,505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25.4 %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line="218" w:lineRule="exact"/>
              <w:rPr>
                <w:sz w:val="20"/>
                <w:szCs w:val="20"/>
                <w:color w:val="auto"/>
              </w:rPr>
            </w:pPr>
            <w:r>
              <w:rPr>
                <w:rFonts w:ascii="Arial" w:cs="Arial" w:eastAsia="Arial" w:hAnsi="Arial"/>
                <w:sz w:val="15"/>
                <w:szCs w:val="15"/>
                <w:color w:val="auto"/>
              </w:rPr>
              <w:t>Net Income (Loss) Margin</w:t>
            </w:r>
            <w:r>
              <w:rPr>
                <w:rFonts w:ascii="Arial" w:cs="Arial" w:eastAsia="Arial" w:hAnsi="Arial"/>
                <w:sz w:val="20"/>
                <w:szCs w:val="20"/>
                <w:color w:val="auto"/>
                <w:vertAlign w:val="superscript"/>
              </w:rPr>
              <w:t>(10)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4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3.4 %</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40" w:type="dxa"/>
            <w:vAlign w:val="bottom"/>
            <w:shd w:val="clear" w:color="auto" w:fill="CCEEFF"/>
          </w:tcPr>
          <w:p>
            <w:pPr>
              <w:ind w:left="20"/>
              <w:spacing w:after="0" w:line="199" w:lineRule="exact"/>
              <w:rPr>
                <w:sz w:val="20"/>
                <w:szCs w:val="20"/>
                <w:color w:val="auto"/>
              </w:rPr>
            </w:pPr>
            <w:r>
              <w:rPr>
                <w:rFonts w:ascii="Arial" w:cs="Arial" w:eastAsia="Arial" w:hAnsi="Arial"/>
                <w:sz w:val="15"/>
                <w:szCs w:val="15"/>
                <w:color w:val="auto"/>
              </w:rPr>
              <w:t>Adjusted EBITDA Margin</w:t>
            </w:r>
            <w:r>
              <w:rPr>
                <w:rFonts w:ascii="Arial" w:cs="Arial" w:eastAsia="Arial" w:hAnsi="Arial"/>
                <w:sz w:val="20"/>
                <w:szCs w:val="20"/>
                <w:color w:val="auto"/>
                <w:vertAlign w:val="superscript"/>
              </w:rPr>
              <w:t>(10)</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23.0 %</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24.7 %</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80" w:hanging="460"/>
        <w:spacing w:after="0"/>
        <w:tabs>
          <w:tab w:leader="none" w:pos="480" w:val="left"/>
        </w:tabs>
        <w:numPr>
          <w:ilvl w:val="0"/>
          <w:numId w:val="16"/>
        </w:numPr>
        <w:rPr>
          <w:rFonts w:ascii="Arial" w:cs="Arial" w:eastAsia="Arial" w:hAnsi="Arial"/>
          <w:sz w:val="26"/>
          <w:szCs w:val="26"/>
          <w:color w:val="auto"/>
          <w:vertAlign w:val="superscript"/>
        </w:rPr>
      </w:pPr>
      <w:r>
        <w:rPr>
          <w:rFonts w:ascii="Arial" w:cs="Arial" w:eastAsia="Arial" w:hAnsi="Arial"/>
          <w:sz w:val="13"/>
          <w:szCs w:val="13"/>
          <w:color w:val="auto"/>
        </w:rPr>
        <w:t>Represents non-recurring professional service fees related to the acquisition of heloo in 2022 and the preparation for public offerings that have been expensed during the period in 2021.</w:t>
      </w:r>
    </w:p>
    <w:p>
      <w:pPr>
        <w:spacing w:after="0" w:line="30" w:lineRule="exact"/>
        <w:rPr>
          <w:rFonts w:ascii="Arial" w:cs="Arial" w:eastAsia="Arial" w:hAnsi="Arial"/>
          <w:sz w:val="26"/>
          <w:szCs w:val="26"/>
          <w:color w:val="auto"/>
          <w:vertAlign w:val="superscript"/>
        </w:rPr>
      </w:pPr>
    </w:p>
    <w:p>
      <w:pPr>
        <w:ind w:left="480" w:hanging="46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earn-out consideration recognized as compensation expense related to the acquisition of heloo.</w:t>
      </w:r>
    </w:p>
    <w:p>
      <w:pPr>
        <w:spacing w:after="0" w:line="20" w:lineRule="exact"/>
        <w:rPr>
          <w:rFonts w:ascii="Arial" w:cs="Arial" w:eastAsia="Arial" w:hAnsi="Arial"/>
          <w:sz w:val="14"/>
          <w:szCs w:val="14"/>
          <w:color w:val="auto"/>
        </w:rPr>
      </w:pPr>
    </w:p>
    <w:p>
      <w:pPr>
        <w:ind w:left="480" w:hanging="460"/>
        <w:spacing w:after="0"/>
        <w:tabs>
          <w:tab w:leader="none" w:pos="4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Realized and unrealized foreign currency losses include the effect of fair market value changes of forward contracts and remeasurement of U.S. dollar-denominated accounts to foreign currency.</w:t>
      </w:r>
    </w:p>
    <w:p>
      <w:pPr>
        <w:spacing w:after="0" w:line="66" w:lineRule="exact"/>
        <w:rPr>
          <w:rFonts w:ascii="Arial" w:cs="Arial" w:eastAsia="Arial" w:hAnsi="Arial"/>
          <w:sz w:val="11"/>
          <w:szCs w:val="11"/>
          <w:color w:val="auto"/>
        </w:rPr>
      </w:pPr>
    </w:p>
    <w:p>
      <w:pPr>
        <w:ind w:left="480" w:right="20" w:hanging="460"/>
        <w:spacing w:after="0" w:line="235"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7" w:lineRule="exact"/>
        <w:rPr>
          <w:rFonts w:ascii="Arial" w:cs="Arial" w:eastAsia="Arial" w:hAnsi="Arial"/>
          <w:sz w:val="14"/>
          <w:szCs w:val="14"/>
          <w:color w:val="auto"/>
        </w:rPr>
      </w:pPr>
    </w:p>
    <w:p>
      <w:pPr>
        <w:ind w:left="480" w:hanging="46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 to restructure support roles.</w:t>
      </w:r>
    </w:p>
    <w:p>
      <w:pPr>
        <w:spacing w:after="0" w:line="32" w:lineRule="exact"/>
        <w:rPr>
          <w:rFonts w:ascii="Arial" w:cs="Arial" w:eastAsia="Arial" w:hAnsi="Arial"/>
          <w:sz w:val="14"/>
          <w:szCs w:val="14"/>
          <w:color w:val="auto"/>
        </w:rPr>
      </w:pPr>
    </w:p>
    <w:p>
      <w:pPr>
        <w:ind w:left="480" w:right="20" w:hanging="460"/>
        <w:spacing w:after="0" w:line="235"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one-time costs associated with emergency housing, transportation costs and bonuses for our employees in connection with the natural disaster related to the severe winter storm in Texas in February 2021.</w:t>
      </w:r>
    </w:p>
    <w:p>
      <w:pPr>
        <w:spacing w:after="0" w:line="7" w:lineRule="exact"/>
        <w:rPr>
          <w:rFonts w:ascii="Arial" w:cs="Arial" w:eastAsia="Arial" w:hAnsi="Arial"/>
          <w:sz w:val="14"/>
          <w:szCs w:val="14"/>
          <w:color w:val="auto"/>
        </w:rPr>
      </w:pPr>
    </w:p>
    <w:p>
      <w:pPr>
        <w:ind w:left="480" w:right="20" w:hanging="460"/>
        <w:spacing w:after="0" w:line="235"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expense for one-time, non-recurring payments of $127.5 million to vested phantom shareholders in connection with the completion of the IPO, as well as associated payroll tax and 401(k) contributions.</w:t>
      </w:r>
    </w:p>
    <w:p>
      <w:pPr>
        <w:spacing w:after="0" w:line="7" w:lineRule="exact"/>
        <w:rPr>
          <w:rFonts w:ascii="Arial" w:cs="Arial" w:eastAsia="Arial" w:hAnsi="Arial"/>
          <w:sz w:val="14"/>
          <w:szCs w:val="14"/>
          <w:color w:val="auto"/>
        </w:rPr>
      </w:pPr>
    </w:p>
    <w:p>
      <w:pPr>
        <w:ind w:left="480" w:hanging="46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expense for non-recurring bonus payments to certain employees in connection with the completion of the IPO.</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Net Income (Loss) Margin represents net income (loss) divided by service revenue and Adjusted EBITDA Margin represents Adjusted EBITDA divided by service revenue.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spacing w:after="0" w:line="7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following table reconciles net income, the most directly comparable GAAP measure, to Free Cash Flow for the nine months ended September 30, 2022 and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114,464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(63,426)</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Purchase of property and equipment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(36,010)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(38,603)</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Free Cash Flow</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78,454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(102,029)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line="221" w:lineRule="exact"/>
              <w:rPr>
                <w:sz w:val="20"/>
                <w:szCs w:val="20"/>
                <w:color w:val="auto"/>
              </w:rPr>
            </w:pPr>
            <w:r>
              <w:rPr>
                <w:rFonts w:ascii="Arial" w:cs="Arial" w:eastAsia="Arial" w:hAnsi="Arial"/>
                <w:sz w:val="15"/>
                <w:szCs w:val="15"/>
                <w:color w:val="auto"/>
              </w:rPr>
              <w:t>Conversion of Adjusted EBITDA</w:t>
            </w:r>
            <w:r>
              <w:rPr>
                <w:rFonts w:ascii="Arial" w:cs="Arial" w:eastAsia="Arial" w:hAnsi="Arial"/>
                <w:sz w:val="20"/>
                <w:szCs w:val="20"/>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47.5 %</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(77.4)%</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w:t>
      </w:r>
    </w:p>
    <w:p>
      <w:pPr>
        <w:ind w:left="480"/>
        <w:spacing w:after="0"/>
        <w:rPr>
          <w:sz w:val="20"/>
          <w:szCs w:val="20"/>
          <w:color w:val="auto"/>
        </w:rPr>
      </w:pPr>
      <w:r>
        <w:rPr>
          <w:rFonts w:ascii="Arial" w:cs="Arial" w:eastAsia="Arial" w:hAnsi="Arial"/>
          <w:sz w:val="14"/>
          <w:szCs w:val="14"/>
          <w:color w:val="auto"/>
        </w:rPr>
        <w:t>Conversion of Adjusted EBITDA represents Free Cash Flow divided by Adjusted EBITDA.</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As of September 30, 2022, our principal sources of liquidity were cash and cash equivalents totaling $122.5 million, which were held for working capital purposes, as well as the available balance of our 2022 Credit Facilities, described further below. Historically, we have made investments in supporting the growth of our business, which were enabled in part by our positive cash flows from operations during these periods. We expect to continue to make similar investments in the future.</w:t>
      </w:r>
    </w:p>
    <w:p>
      <w:pPr>
        <w:spacing w:after="0" w:line="7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have financed our operations primarily through cash received from operations. We believe our existing cash and cash equivalents and our 2022 Credit Facilities will be sufficient to meet our working capital and capital expenditure needs for at least the next 12 months. Our future capital requirements will depend on several factors, including but not limited to our obligation to repay any amounts outstanding under our 2022 Credit Facilities, our revenue growth rate, timing of client billing and collections, the timing of expansion into new geographies, variability in the cost of delivering services in our geographies, the timing and extent of spending on technology innovation, the extent of our sales and marketing activities, and the introduction of new and enhanced service offerings and the continuing market adoption of our platform.</w:t>
      </w:r>
    </w:p>
    <w:p>
      <w:pPr>
        <w:spacing w:after="0" w:line="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evolving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8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Potential investments in, or acquisitions of, complementary businesses, applications or technologies, could reduce our cash and cash equivalents, require us to seek additional equity or debt financing or repatriate cash generated by our international operations that could cause us to incur withholding taxes on any distributions. Additional funds from financing arrangements may not be available on terms favorable to us or at all.</w:t>
      </w:r>
    </w:p>
    <w:p>
      <w:pPr>
        <w:spacing w:after="0" w:line="72"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As market conditions warrant, we and certain of our equity holders, including Blackstone and their respective affiliates, may from time to time seek to purchase our outstanding debt securities or loans, including borrowings under our 2022 Credit Facilities, in privately negotiated or open market transactions, by tender offer or otherwise.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67"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In September 2022, our board of directors approved a share repurchase program of up to $100.0 million of shares of our Class A common stock. During the three months ended September 30, 2022, we repurchased 738,911 shares of our Class A common stock under the share repurchase program for $13.7 million, which we funded principally with available cash. As of September 30, 2022, approximately $86.3 million remained available for share repurchases under our share repurchase program.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2022, our total indebtedness, net of debt financing fees was $268.1 million.</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2019 Credit Agreement</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On September 25, 2019, we entered into a credit agreement (the “2019 Credit Agreement”) that included a $210.0 million term loan (the “2019 Term Loan Facility”) and a $40.0 million revolving credit facility (the “2019 Revolving Credit Facility” and, together with the Term Loan Facility, the “2019 Credit Facilities”). On April 30, 2021, we entered into</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Amendment No. 1 to its 2019 Credit Agreement with the existing lenders providing for $50.0 million incremental revolving credit commitments on the same terms as our existing revolving credit facility. On September 7, 2022, we entered into the 2022 Credit Agreement (as defined below) and the total outstanding debt under the 2019 Credit Facilities of $267.2 million was fully repaid.</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2022 Credit Agreement</w:t>
      </w:r>
    </w:p>
    <w:p>
      <w:pPr>
        <w:spacing w:after="0" w:line="114"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On September 7, 2022, we entered into a credit agreement (the “2022 Credit Agreement”) with both new and existing lenders which amended and restated the 2019 Credit Agreement. The 2022 Credit Agreement includes a $270.0 million term loan (the "2022 Term Loan Facility") and a $190.0 million revolving credit facility (the "2022 Revolving Credit Facility" and, together with the 2022 Term Loan Facility, the “2022 Credit Facilities”). The proceeds of the 2022 Term Loan Facility were used to repay all borrowings under the 2019 Credit Facilities, to pay related fees and expenses and for general corporate purposes.</w:t>
      </w:r>
    </w:p>
    <w:p>
      <w:pPr>
        <w:spacing w:after="0" w:line="4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2022 Term Loan Facility matures on September 7, 2027, and commencing with the fiscal quarter ending December 31, 2022, requires quarterly principal payments of 0.25% of the original principal amount through September 30, 2023, 0.625% of the original principal amount through September 30, 2024, 1.25% of the original principal amount through September 30, 2025, 1.875% of the original principal amount through September 30, 2026 and 2.50% of the original principal amount thereafter, with the remaining principal due in a lump sum at the maturity date. Voluntary principal prepayments are permitted.</w:t>
      </w:r>
    </w:p>
    <w:p>
      <w:pPr>
        <w:spacing w:after="0" w:line="6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2022 Revolving Credit Facility provides us with access to a $15.0 million letter of credit facility and a $15.0 million swing line facility, each of which, to the extent used, reduces borrowing availability under the 2022 Revolving Credit Facility. The 2022 Revolving Credit Facility terminates on September 7, 2027. As of September 30, 2022, we had $190.0 million of borrowing availability under the 2022 Revolving Credit Facility.</w:t>
      </w:r>
    </w:p>
    <w:p>
      <w:pPr>
        <w:spacing w:after="0" w:line="72"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Borrowings under the 2022 Credit Agreement, with the exception of swing line borrowings, bear interest, at our option, either at (i) an adjusted Term Secured Overnight Financing Rate ("SOFR rate") plus a margin of 2.25% per annum, subject to a Term SOFR rate floor of 0.00% or (ii) an alternative base rate plus a margin of 1.25% per annum, subject to an alternative base rate floor of 1.00%. Any borrowings under the swing line will be subject to the base rate. The 2022 Revolving Credit Facility also requires a commitment fee of 0.40% per annum of undrawn commitments to be paid quarterly in arrears. We have elected to pay interest on borrowings under the 2022 Term Loan Facility based on the SOFR rate. The interest rate in effect for the 2022 Term Loan Facility as of September 30, 2022 was 5.098% per annum.</w:t>
      </w:r>
    </w:p>
    <w:p>
      <w:pPr>
        <w:spacing w:after="0" w:line="80"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The 2022 Credit Agreement contains a financial covenant requiring compliance with a maximum total net leverage ratio and certain other covenants, including, among other things, covenants restricting additional borrowings, investments (including acquisitions) and distributions. We were in compliance with all debt covenants as of September 30, 2022. Substantially all assets of our direct wholly owned subsidiary TU MidCo, Inc., its wholly owned subsidiary TU BidCo, Inc. and its material wholly owned domestic subsidiaries are pledged as collateral under the 2022 Credit Agreement, subject to certain customary exceptions.</w:t>
      </w:r>
    </w:p>
    <w:p>
      <w:pPr>
        <w:spacing w:after="0" w:line="46"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See Note 8, “Long-Term Debt” in the Notes to Unaudited Condensed Consolidated Financial Statements included in this Quarterly Report for additional information regarding our debt.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our consolidated cash flows from operating, investing and financing activities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4"/>
          </w:tcPr>
          <w:p>
            <w:pPr>
              <w:jc w:val="right"/>
              <w:ind w:right="385"/>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8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center"/>
              <w:ind w:left="445"/>
              <w:spacing w:after="0"/>
              <w:rPr>
                <w:sz w:val="20"/>
                <w:szCs w:val="20"/>
                <w:color w:val="auto"/>
              </w:rPr>
            </w:pPr>
            <w:r>
              <w:rPr>
                <w:rFonts w:ascii="Arial" w:cs="Arial" w:eastAsia="Arial" w:hAnsi="Arial"/>
                <w:sz w:val="15"/>
                <w:szCs w:val="15"/>
                <w:color w:val="auto"/>
                <w:w w:val="93"/>
              </w:rPr>
              <w:t>(63,426)</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(59,245)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center"/>
              <w:ind w:left="445"/>
              <w:spacing w:after="0"/>
              <w:rPr>
                <w:sz w:val="20"/>
                <w:szCs w:val="20"/>
                <w:color w:val="auto"/>
              </w:rPr>
            </w:pPr>
            <w:r>
              <w:rPr>
                <w:rFonts w:ascii="Arial" w:cs="Arial" w:eastAsia="Arial" w:hAnsi="Arial"/>
                <w:sz w:val="15"/>
                <w:szCs w:val="15"/>
                <w:color w:val="auto"/>
                <w:w w:val="93"/>
              </w:rPr>
              <w:t>(38,603)</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465"/>
              <w:spacing w:after="0"/>
              <w:rPr>
                <w:sz w:val="20"/>
                <w:szCs w:val="20"/>
                <w:color w:val="auto"/>
              </w:rPr>
            </w:pPr>
            <w:r>
              <w:rPr>
                <w:rFonts w:ascii="Arial" w:cs="Arial" w:eastAsia="Arial" w:hAnsi="Arial"/>
                <w:sz w:val="15"/>
                <w:szCs w:val="15"/>
                <w:color w:val="auto"/>
                <w:w w:val="91"/>
              </w:rPr>
              <w:t>62,093</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Operating Activities</w:t>
      </w:r>
    </w:p>
    <w:p>
      <w:pPr>
        <w:spacing w:after="0" w:line="1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Net cash provided by operating activities for the nine months ended September 30, 2022 was $114.5 million compared to net cash used in operating activities of $63.4 million for the nine months ended September 30, 2021. Net cash provided by operating activities for the nine months ended September 30, 2022 reflects net income of $24.7 million, as well as the add back for non-cash charges totaling $112.7 million, primarily driven by $54.8 million in stock-based compensation expense, $28.0 million of depreciation, $14.8 million of amortization related to intangibles and $13.5 million of unrealized foreign exchange losses on forward contracts. These changes were partially offset by changes in operating assets and liabilities of $22.9 million. Net cash used in operating activities for the nine months ended September 30, 2021 reflects the net loss of $77.8 million, which includes the one-time phantom shares bonuses, as well as changes in operating assets and liabilities of $42.4 million. These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changes were partially offset by the add back for non-cash charges totaling $56.8 million, primarily driven by $25.0 million in stock-based compensation expense, $20.4 million of depreciation and $14.1 million of amortization related to intangibles, partially offset by deferred taxes of $9.7 million.</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Investing Activities</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Net cash used in investing activities for the nine months ended September 30, 2022 was $59.2 million compared to net cash used in investing activities of $38.6 million for the nine months ended September 30, 2021. Net cash used in investing activities primarily consisted of investments in technology and computers as well as build-out costs associated with site expansions to support revenue growth. Net cash used in investing activities for the nine months ended September 30, 2022 included the acquisition of heloo, net of cash received.</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Financing Activities</w:t>
      </w:r>
    </w:p>
    <w:p>
      <w:pPr>
        <w:spacing w:after="0" w:line="114"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Net cash provided by financing activities for the nine months ended September 30, 2022 was $12.9 million compared to net cash provided by financing activities of $62.1 million for the nine months ended September 30, 2021. Net cash provided by financing activities for the nine months ended September 30, 2022 consisted primarily of proceeds from the 2022 Credit Facilities, borrowings from our 2019 Revolving Credit Facility and proceeds from employee stock plans, partially offset by payments on long-term debt, including the repayment of all outstanding borrowings under the 2019 Credit Facilities, payments to acquire shares under our share repurchase program, payments for taxes related to net share settlement of equity awards and payments for debt financing fees. Net cash provided by financing activities for the nine months ended September 30, 2021 consisted of proceeds from the IPO, net of underwriters' fees, partially offset by distribution of dividends, payments for offering costs and payments on long-term debt.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Except as described in Note 2, “Summary of Significant Accounting Policies” included in this Quarterly Report in the Notes to Unaudited Condensed Consolidated Financial Statements, there have been no material changes to our critical accounting policies or in the underlying accounting assumptions and estimates used in such policies as reported in our Annual Report.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activities expose us to a variety of financial risks: market risk (includes foreign currency), interest rate risk and credit risk.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exposure to market risk arises principally from exchange rate risk. Although substantially all of our revenues are denominated in U.S. dollars, a substantial portion of our expenses were incurred and paid in the Philippine peso in the nine months ended September 30, 2022 and 2021. We also incur expenses in U.S. dollars, and currencies of the other countries in which we have operations. The exchange rates among the Philippine peso and the U.S. dollar have changed substantially in recent years and may fluctuate substantially in the future.</w:t>
      </w:r>
    </w:p>
    <w:p>
      <w:pPr>
        <w:spacing w:after="0" w:line="7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The average exchange rate of the Philippine peso against the U.S. dollar increased from 48.88 pesos during the nine months ended September 30, 2021 to 53.56 pesos during the nine months ended September 30, 2022, representing a depreciation of the Philippine peso of 9.6%. Based upon our level of operations during the nine months ended September 30, 2022 and excluding any forward contract arrangements that we had in place during that period, a 10% appreciation/depreciation in the Philippine peso against the U.S. dollar would have increased or decreased our expenses incurred and paid in the Philippine peso by approximately $26.5 million or $21.7 million, respectively, in the nine months ended September 30, 2022.</w:t>
      </w:r>
    </w:p>
    <w:p>
      <w:pPr>
        <w:spacing w:after="0" w:line="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Topic 815, </w:t>
      </w:r>
      <w:r>
        <w:rPr>
          <w:rFonts w:ascii="Arial" w:cs="Arial" w:eastAsia="Arial" w:hAnsi="Arial"/>
          <w:sz w:val="17"/>
          <w:szCs w:val="17"/>
          <w:i w:val="1"/>
          <w:iCs w:val="1"/>
          <w:color w:val="auto"/>
        </w:rPr>
        <w:t>Derivatives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and Hedging </w:t>
      </w:r>
      <w:r>
        <w:rPr>
          <w:rFonts w:ascii="Arial" w:cs="Arial" w:eastAsia="Arial" w:hAnsi="Arial"/>
          <w:sz w:val="17"/>
          <w:szCs w:val="17"/>
          <w:color w:val="auto"/>
        </w:rPr>
        <w:t>(“ASC 815”). Changes in the fair value of these derivatives are recognized in the consolidated statements of operations and are included in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For the three and nine months ended September 30, 2022, the realized losses of $4.5 million and $8.0 million, respectively, resulting from the settlement of forward contracts were included within other expense.</w:t>
      </w:r>
    </w:p>
    <w:p>
      <w:pPr>
        <w:spacing w:after="0" w:line="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For the three and nine months ended September 30, 2022, we had outstanding forward contracts. The forward contract payable resulting from changes in fair value was recorded under accounts payable and accrued liabilities. For the three and nine months ended September 30, 2022, the unrealized losses on the forward contracts of $6.1 million and $13.5 million, respectively, were included within other expense.</w:t>
      </w:r>
    </w:p>
    <w:p>
      <w:pPr>
        <w:spacing w:after="0" w:line="72"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Our exposure to market risk is influenced by the changes in interest rates paid on any outstanding balance on our borrowings, mainly under our 2022 Credit Facilities. All of our borrowings outstanding under the 2022 Credit Facilities as of September 30, 2022 accrue interest at SOFR plus 2.25%. Our total principal balance outstanding as of September 30, 2022 was $270.0 million. Based on the outstanding balances and interest rates under the 2022 Credit Facilities as of September 30, 2022, a hypothetical 10% increase or decrease in SOFR would cause an increase or decrease in interest expense of approximately $0.8 million over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As of September 30, 2022, we had accounts receivable, net of allowance for doubtful accounts, of $170.6 million, of which $53.8 million was owed by two of our clients. Collectively, these clients represented approximately 31% of our gross accounts receivable as of September 30, 2022.</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Controls and Procedures</w:t>
      </w:r>
    </w:p>
    <w:p>
      <w:pPr>
        <w:spacing w:after="0" w:line="114"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51"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of September 30, 2022. Based upon that evaluation, our Chief Executive Officer and Chief Financial Officer concluded that, as of September 30, 2022, the design and operation of the our disclosure controls and procedures were effective to accomplish their objectives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0" w:lineRule="exact"/>
        <w:rPr>
          <w:sz w:val="20"/>
          <w:szCs w:val="20"/>
          <w:color w:val="auto"/>
        </w:rPr>
      </w:pPr>
    </w:p>
    <w:p>
      <w:pPr>
        <w:ind w:right="240" w:firstLine="464"/>
        <w:spacing w:after="0" w:line="275" w:lineRule="auto"/>
        <w:rPr>
          <w:sz w:val="20"/>
          <w:szCs w:val="20"/>
          <w:color w:val="auto"/>
        </w:rPr>
      </w:pPr>
      <w:r>
        <w:rPr>
          <w:rFonts w:ascii="Arial" w:cs="Arial" w:eastAsia="Arial" w:hAnsi="Arial"/>
          <w:sz w:val="17"/>
          <w:szCs w:val="17"/>
          <w:color w:val="auto"/>
        </w:rPr>
        <w:t>The information required with respect to this item can be found under Note 10, “Commitments and Contingencies” in the Notes to Unaudited Condensed Consolidated Financial Statements included in this Quarterly Report and is incorporated by reference into this Item 1.</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 on Form 10-Q.</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Purchases of Equity Securities by the Issuer and Affiliated Purchaser</w:t>
      </w:r>
      <w:r>
        <w:rPr>
          <w:rFonts w:ascii="Arial" w:cs="Arial" w:eastAsia="Arial" w:hAnsi="Arial"/>
          <w:sz w:val="17"/>
          <w:szCs w:val="17"/>
          <w:b w:val="1"/>
          <w:bCs w:val="1"/>
          <w:color w:val="auto"/>
        </w:rPr>
        <w:t>s</w:t>
      </w:r>
    </w:p>
    <w:p>
      <w:pPr>
        <w:spacing w:after="0" w:line="120"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On September 7, 2022, our Board of Directors authorized the commencement of a share repurchase program, which authorizes us to purchase up to $100.0 million of shares of our Class A common stock from time to time through open market purchases, in privately negotiated transactions or by other means, including through the use of trading plans intended to qualify under Rule 10b5-1 under the Exchange Act. Open market repurchases are expected to be structured to occur within the pricing volume requirements of Rule 10b-18. The timing and total amount of stock repurchases will depend upon, business, economic and market conditions, corporate and regulatory requirements, prevailing stock prices, restrictions under the terms of our loan agreements and other relevant considerations. The repurchase program terminates on December 31, 2024, and may be modified, suspended or discontinued at any time at our discretion. The program does not obligate the Company to acquire any amount of Class A common stock.</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September 30, 2022, purchases of Class A common stock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6"/>
              </w:rPr>
              <w:t>Approximate Dollar</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Total Number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40"/>
              <w:spacing w:after="0" w:line="155" w:lineRule="exact"/>
              <w:rPr>
                <w:sz w:val="20"/>
                <w:szCs w:val="20"/>
                <w:color w:val="auto"/>
              </w:rPr>
            </w:pPr>
            <w:r>
              <w:rPr>
                <w:rFonts w:ascii="Arial" w:cs="Arial" w:eastAsia="Arial" w:hAnsi="Arial"/>
                <w:sz w:val="15"/>
                <w:szCs w:val="15"/>
                <w:b w:val="1"/>
                <w:bCs w:val="1"/>
                <w:color w:val="auto"/>
                <w:w w:val="90"/>
              </w:rPr>
              <w:t>Value of Shares</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20"/>
              <w:spacing w:after="0" w:line="155" w:lineRule="exact"/>
              <w:rPr>
                <w:sz w:val="20"/>
                <w:szCs w:val="20"/>
                <w:color w:val="auto"/>
              </w:rPr>
            </w:pPr>
            <w:r>
              <w:rPr>
                <w:rFonts w:ascii="Arial" w:cs="Arial" w:eastAsia="Arial" w:hAnsi="Arial"/>
                <w:sz w:val="15"/>
                <w:szCs w:val="15"/>
                <w:b w:val="1"/>
                <w:bCs w:val="1"/>
                <w:color w:val="auto"/>
                <w:w w:val="96"/>
              </w:rPr>
              <w:t>That May Yet Be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0"/>
              </w:rPr>
              <w:t>Shares Purchased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20"/>
              <w:spacing w:after="0" w:line="155" w:lineRule="exact"/>
              <w:rPr>
                <w:sz w:val="20"/>
                <w:szCs w:val="20"/>
                <w:color w:val="auto"/>
              </w:rPr>
            </w:pPr>
            <w:r>
              <w:rPr>
                <w:rFonts w:ascii="Arial" w:cs="Arial" w:eastAsia="Arial" w:hAnsi="Arial"/>
                <w:sz w:val="15"/>
                <w:szCs w:val="15"/>
                <w:b w:val="1"/>
                <w:bCs w:val="1"/>
                <w:color w:val="auto"/>
                <w:w w:val="93"/>
              </w:rPr>
              <w:t>Purchased Under</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Total Number of</w:t>
            </w:r>
          </w:p>
        </w:tc>
        <w:tc>
          <w:tcPr>
            <w:tcW w:w="154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Average Price Paid</w:t>
            </w: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3"/>
              </w:rPr>
              <w:t>as Part of Publicly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20"/>
              <w:spacing w:after="0" w:line="155" w:lineRule="exact"/>
              <w:rPr>
                <w:sz w:val="20"/>
                <w:szCs w:val="20"/>
                <w:color w:val="auto"/>
              </w:rPr>
            </w:pPr>
            <w:r>
              <w:rPr>
                <w:rFonts w:ascii="Arial" w:cs="Arial" w:eastAsia="Arial" w:hAnsi="Arial"/>
                <w:sz w:val="15"/>
                <w:szCs w:val="15"/>
                <w:b w:val="1"/>
                <w:bCs w:val="1"/>
                <w:color w:val="auto"/>
                <w:w w:val="93"/>
              </w:rPr>
              <w:t>the Plans or</w:t>
            </w:r>
          </w:p>
        </w:tc>
        <w:tc>
          <w:tcPr>
            <w:tcW w:w="0" w:type="dxa"/>
            <w:vAlign w:val="bottom"/>
          </w:tcPr>
          <w:p>
            <w:pPr>
              <w:spacing w:after="0"/>
              <w:rPr>
                <w:sz w:val="1"/>
                <w:szCs w:val="1"/>
                <w:color w:val="auto"/>
              </w:rPr>
            </w:pPr>
          </w:p>
        </w:tc>
      </w:tr>
      <w:tr>
        <w:trPr>
          <w:trHeight w:val="155"/>
        </w:trPr>
        <w:tc>
          <w:tcPr>
            <w:tcW w:w="5400" w:type="dxa"/>
            <w:vAlign w:val="bottom"/>
            <w:vMerge w:val="restart"/>
          </w:tcPr>
          <w:p>
            <w:pPr>
              <w:ind w:left="2480"/>
              <w:spacing w:after="0"/>
              <w:rPr>
                <w:sz w:val="20"/>
                <w:szCs w:val="20"/>
                <w:color w:val="auto"/>
              </w:rPr>
            </w:pPr>
            <w:r>
              <w:rPr>
                <w:rFonts w:ascii="Arial" w:cs="Arial" w:eastAsia="Arial" w:hAnsi="Arial"/>
                <w:sz w:val="15"/>
                <w:szCs w:val="15"/>
                <w:b w:val="1"/>
                <w:bCs w:val="1"/>
                <w:color w:val="auto"/>
              </w:rPr>
              <w:t>Period</w:t>
            </w:r>
          </w:p>
        </w:tc>
        <w:tc>
          <w:tcPr>
            <w:tcW w:w="1460" w:type="dxa"/>
            <w:vAlign w:val="bottom"/>
            <w:gridSpan w:val="2"/>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1"/>
              </w:rPr>
              <w:t>Announced Plans or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20"/>
              <w:spacing w:after="0" w:line="155" w:lineRule="exact"/>
              <w:rPr>
                <w:sz w:val="20"/>
                <w:szCs w:val="20"/>
                <w:color w:val="auto"/>
              </w:rPr>
            </w:pPr>
            <w:r>
              <w:rPr>
                <w:rFonts w:ascii="Arial" w:cs="Arial" w:eastAsia="Arial" w:hAnsi="Arial"/>
                <w:sz w:val="15"/>
                <w:szCs w:val="15"/>
                <w:b w:val="1"/>
                <w:bCs w:val="1"/>
                <w:color w:val="auto"/>
                <w:w w:val="91"/>
              </w:rPr>
              <w:t>Programs</w:t>
            </w:r>
          </w:p>
        </w:tc>
        <w:tc>
          <w:tcPr>
            <w:tcW w:w="0" w:type="dxa"/>
            <w:vAlign w:val="bottom"/>
          </w:tcPr>
          <w:p>
            <w:pPr>
              <w:spacing w:after="0"/>
              <w:rPr>
                <w:sz w:val="1"/>
                <w:szCs w:val="1"/>
                <w:color w:val="auto"/>
              </w:rPr>
            </w:pPr>
          </w:p>
        </w:tc>
      </w:tr>
      <w:tr>
        <w:trPr>
          <w:trHeight w:val="206"/>
        </w:trPr>
        <w:tc>
          <w:tcPr>
            <w:tcW w:w="540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b w:val="1"/>
                <w:bCs w:val="1"/>
                <w:color w:val="auto"/>
                <w:w w:val="94"/>
              </w:rPr>
              <w:t>Shares Purchased</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56"/>
              <w:spacing w:after="0" w:line="207" w:lineRule="exact"/>
              <w:rPr>
                <w:sz w:val="20"/>
                <w:szCs w:val="20"/>
                <w:color w:val="auto"/>
              </w:rPr>
            </w:pPr>
            <w:r>
              <w:rPr>
                <w:rFonts w:ascii="Arial" w:cs="Arial" w:eastAsia="Arial" w:hAnsi="Arial"/>
                <w:sz w:val="15"/>
                <w:szCs w:val="15"/>
                <w:b w:val="1"/>
                <w:bCs w:val="1"/>
                <w:color w:val="auto"/>
              </w:rPr>
              <w:t>per Share</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Programs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40"/>
              <w:spacing w:after="0"/>
              <w:rPr>
                <w:sz w:val="20"/>
                <w:szCs w:val="20"/>
                <w:color w:val="auto"/>
              </w:rPr>
            </w:pPr>
            <w:r>
              <w:rPr>
                <w:rFonts w:ascii="Arial" w:cs="Arial" w:eastAsia="Arial" w:hAnsi="Arial"/>
                <w:sz w:val="15"/>
                <w:szCs w:val="15"/>
                <w:b w:val="1"/>
                <w:bCs w:val="1"/>
                <w:color w:val="auto"/>
                <w:w w:val="90"/>
              </w:rPr>
              <w:t>(in thousands)</w:t>
            </w:r>
          </w:p>
        </w:tc>
        <w:tc>
          <w:tcPr>
            <w:tcW w:w="0" w:type="dxa"/>
            <w:vAlign w:val="bottom"/>
          </w:tcPr>
          <w:p>
            <w:pPr>
              <w:spacing w:after="0"/>
              <w:rPr>
                <w:sz w:val="1"/>
                <w:szCs w:val="1"/>
                <w:color w:val="auto"/>
              </w:rPr>
            </w:pPr>
          </w:p>
        </w:tc>
      </w:tr>
      <w:tr>
        <w:trPr>
          <w:trHeight w:val="251"/>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1, 2022 through July 31, 2022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7"/>
                <w:szCs w:val="17"/>
                <w:color w:val="auto"/>
              </w:rPr>
              <w:t>August 1, 2022 through August 31, 2022</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September 1, 2022 through September 30,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738,911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738,911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86,298</w:t>
            </w:r>
          </w:p>
        </w:tc>
        <w:tc>
          <w:tcPr>
            <w:tcW w:w="0" w:type="dxa"/>
            <w:vAlign w:val="bottom"/>
          </w:tcPr>
          <w:p>
            <w:pPr>
              <w:spacing w:after="0"/>
              <w:rPr>
                <w:sz w:val="1"/>
                <w:szCs w:val="1"/>
                <w:color w:val="auto"/>
              </w:rPr>
            </w:pPr>
          </w:p>
        </w:tc>
      </w:tr>
      <w:tr>
        <w:trPr>
          <w:trHeight w:val="211"/>
        </w:trPr>
        <w:tc>
          <w:tcPr>
            <w:tcW w:w="5400" w:type="dxa"/>
            <w:vAlign w:val="bottom"/>
          </w:tcPr>
          <w:p>
            <w:pPr>
              <w:ind w:left="120"/>
              <w:spacing w:after="0"/>
              <w:rPr>
                <w:sz w:val="20"/>
                <w:szCs w:val="20"/>
                <w:color w:val="auto"/>
              </w:rPr>
            </w:pPr>
            <w:r>
              <w:rPr>
                <w:rFonts w:ascii="Arial" w:cs="Arial" w:eastAsia="Arial" w:hAnsi="Arial"/>
                <w:sz w:val="17"/>
                <w:szCs w:val="17"/>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738,911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18.54</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738,911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w:t>
      </w:r>
    </w:p>
    <w:p>
      <w:pPr>
        <w:ind w:left="1100"/>
        <w:spacing w:after="0"/>
        <w:rPr>
          <w:sz w:val="20"/>
          <w:szCs w:val="20"/>
          <w:color w:val="auto"/>
        </w:rPr>
      </w:pPr>
      <w:r>
        <w:rPr>
          <w:rFonts w:ascii="Arial" w:cs="Arial" w:eastAsia="Arial" w:hAnsi="Arial"/>
          <w:sz w:val="14"/>
          <w:szCs w:val="14"/>
          <w:color w:val="auto"/>
        </w:rPr>
        <w:t>Average price paid per share includes costs associated with the repurchases.</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66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0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966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0"/>
                <w:szCs w:val="20"/>
                <w:color w:val="auto"/>
              </w:rPr>
            </w:pPr>
            <w:r>
              <w:rPr>
                <w:rFonts w:ascii="Arial" w:cs="Arial" w:eastAsia="Arial" w:hAnsi="Arial"/>
                <w:sz w:val="17"/>
                <w:szCs w:val="17"/>
                <w:color w:val="auto"/>
              </w:rPr>
              <w:t>3.1</w:t>
            </w:r>
          </w:p>
        </w:tc>
        <w:tc>
          <w:tcPr>
            <w:tcW w:w="9660" w:type="dxa"/>
            <w:vAlign w:val="bottom"/>
            <w:gridSpan w:val="14"/>
          </w:tcPr>
          <w:p>
            <w:pPr>
              <w:spacing w:after="0"/>
              <w:rPr>
                <w:rFonts w:ascii="Arial" w:cs="Arial" w:eastAsia="Arial" w:hAnsi="Arial"/>
                <w:sz w:val="17"/>
                <w:szCs w:val="17"/>
                <w:color w:val="0000FF"/>
                <w:w w:val="91"/>
              </w:rPr>
            </w:pPr>
            <w:hyperlink r:id="rId55">
              <w:r>
                <w:rPr>
                  <w:rFonts w:ascii="Arial" w:cs="Arial" w:eastAsia="Arial" w:hAnsi="Arial"/>
                  <w:sz w:val="17"/>
                  <w:szCs w:val="17"/>
                  <w:color w:val="0000FF"/>
                  <w:w w:val="91"/>
                </w:rPr>
                <w:t>Second Amended and Restated Certificate of Incorporation of TaskUs, Inc., dated as of June 10, 2021 (incorporated by reference to Exhibit</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600" w:type="dxa"/>
            <w:vAlign w:val="bottom"/>
            <w:tcBorders>
              <w:top w:val="single" w:sz="8" w:color="0000FF"/>
            </w:tcBorders>
            <w:gridSpan w:val="12"/>
          </w:tcPr>
          <w:p>
            <w:pPr>
              <w:spacing w:after="0" w:line="148" w:lineRule="exact"/>
              <w:rPr>
                <w:rFonts w:ascii="Arial" w:cs="Arial" w:eastAsia="Arial" w:hAnsi="Arial"/>
                <w:sz w:val="17"/>
                <w:szCs w:val="17"/>
                <w:color w:val="0000FF"/>
              </w:rPr>
            </w:pPr>
            <w:hyperlink r:id="rId55">
              <w:r>
                <w:rPr>
                  <w:rFonts w:ascii="Arial" w:cs="Arial" w:eastAsia="Arial" w:hAnsi="Arial"/>
                  <w:sz w:val="17"/>
                  <w:szCs w:val="17"/>
                  <w:color w:val="0000FF"/>
                </w:rPr>
                <w:t>3.</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Company’s Current Report on Form 8-K filed on June 15, 2021).</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7"/>
                <w:szCs w:val="17"/>
                <w:color w:val="auto"/>
              </w:rPr>
              <w:t>3.2</w:t>
            </w:r>
          </w:p>
        </w:tc>
        <w:tc>
          <w:tcPr>
            <w:tcW w:w="9660" w:type="dxa"/>
            <w:vAlign w:val="bottom"/>
            <w:gridSpan w:val="14"/>
          </w:tcPr>
          <w:p>
            <w:pPr>
              <w:spacing w:after="0"/>
              <w:rPr>
                <w:rFonts w:ascii="Arial" w:cs="Arial" w:eastAsia="Arial" w:hAnsi="Arial"/>
                <w:sz w:val="17"/>
                <w:szCs w:val="17"/>
                <w:color w:val="0000FF"/>
                <w:w w:val="98"/>
              </w:rPr>
            </w:pPr>
            <w:hyperlink r:id="rId56">
              <w:r>
                <w:rPr>
                  <w:rFonts w:ascii="Arial" w:cs="Arial" w:eastAsia="Arial" w:hAnsi="Arial"/>
                  <w:sz w:val="17"/>
                  <w:szCs w:val="17"/>
                  <w:color w:val="0000FF"/>
                  <w:w w:val="98"/>
                </w:rPr>
                <w:t>Second Amended and Restated Bylaws of TaskUs, Inc., dated as of June 10, 2021 (incorporated by reference to Exhibit 3.2 to the</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2"/>
              </w:rPr>
            </w:pPr>
            <w:hyperlink r:id="rId56">
              <w:r>
                <w:rPr>
                  <w:rFonts w:ascii="Arial" w:cs="Arial" w:eastAsia="Arial" w:hAnsi="Arial"/>
                  <w:sz w:val="17"/>
                  <w:szCs w:val="17"/>
                  <w:color w:val="0000FF"/>
                  <w:w w:val="92"/>
                </w:rPr>
                <w:t>Company’s Current Report on Form 8-K filed on June 15, 2021).</w:t>
              </w:r>
            </w:hyperlink>
          </w:p>
        </w:tc>
        <w:tc>
          <w:tcPr>
            <w:tcW w:w="4420" w:type="dxa"/>
            <w:vAlign w:val="bottom"/>
            <w:tcBorders>
              <w:top w:val="single" w:sz="8" w:color="0000FF"/>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7"/>
                <w:szCs w:val="17"/>
                <w:color w:val="auto"/>
              </w:rPr>
              <w:t>10.1</w:t>
            </w:r>
          </w:p>
        </w:tc>
        <w:tc>
          <w:tcPr>
            <w:tcW w:w="9660" w:type="dxa"/>
            <w:vAlign w:val="bottom"/>
            <w:gridSpan w:val="14"/>
          </w:tcPr>
          <w:p>
            <w:pPr>
              <w:spacing w:after="0"/>
              <w:rPr>
                <w:sz w:val="20"/>
                <w:szCs w:val="20"/>
                <w:color w:val="auto"/>
              </w:rPr>
            </w:pPr>
            <w:r>
              <w:rPr>
                <w:rFonts w:ascii="Arial" w:cs="Arial" w:eastAsia="Arial" w:hAnsi="Arial"/>
                <w:sz w:val="17"/>
                <w:szCs w:val="17"/>
                <w:color w:val="0000FF"/>
                <w:w w:val="90"/>
              </w:rPr>
              <w:t>Amended and Restated Credit Agreement, dated as of September 25, 2019 and as amended and restated on September 7, 2022, among TU</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500" w:type="dxa"/>
            <w:vAlign w:val="bottom"/>
            <w:tcBorders>
              <w:top w:val="single" w:sz="8" w:color="0000FF"/>
            </w:tcBorders>
            <w:gridSpan w:val="9"/>
          </w:tcPr>
          <w:p>
            <w:pPr>
              <w:spacing w:after="0" w:line="148" w:lineRule="exact"/>
              <w:rPr>
                <w:sz w:val="20"/>
                <w:szCs w:val="20"/>
                <w:color w:val="auto"/>
              </w:rPr>
            </w:pPr>
            <w:r>
              <w:rPr>
                <w:rFonts w:ascii="Arial" w:cs="Arial" w:eastAsia="Arial" w:hAnsi="Arial"/>
                <w:sz w:val="17"/>
                <w:szCs w:val="17"/>
                <w:color w:val="0000FF"/>
                <w:w w:val="97"/>
              </w:rPr>
              <w:t>MidCo, Inc., TU BidCo, Inc., the guarantors party thereto from time to time, JPMorgan Chase Bank, N.A., as administrative agent,</w:t>
            </w:r>
          </w:p>
        </w:tc>
        <w:tc>
          <w:tcPr>
            <w:tcW w:w="1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5"/>
          </w:tcPr>
          <w:p>
            <w:pPr>
              <w:spacing w:after="0" w:line="161" w:lineRule="exact"/>
              <w:rPr>
                <w:sz w:val="20"/>
                <w:szCs w:val="20"/>
                <w:color w:val="auto"/>
              </w:rPr>
            </w:pPr>
            <w:r>
              <w:rPr>
                <w:rFonts w:ascii="Arial" w:cs="Arial" w:eastAsia="Arial" w:hAnsi="Arial"/>
                <w:sz w:val="17"/>
                <w:szCs w:val="17"/>
                <w:color w:val="0000FF"/>
                <w:w w:val="91"/>
              </w:rPr>
              <w:t>collateral agent, swing line lender and an L/C issuer, and the lenders and L/C issuers party thereto from time to time.</w:t>
            </w:r>
          </w:p>
        </w:tc>
        <w:tc>
          <w:tcPr>
            <w:tcW w:w="980" w:type="dxa"/>
            <w:vAlign w:val="bottom"/>
            <w:tcBorders>
              <w:top w:val="single" w:sz="8" w:color="0000FF"/>
            </w:tcBorders>
            <w:gridSpan w:val="2"/>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060" w:type="dxa"/>
            <w:vAlign w:val="bottom"/>
          </w:tcPr>
          <w:p>
            <w:pPr>
              <w:spacing w:after="0"/>
              <w:rPr>
                <w:sz w:val="20"/>
                <w:szCs w:val="20"/>
                <w:color w:val="auto"/>
              </w:rPr>
            </w:pPr>
            <w:r>
              <w:rPr>
                <w:rFonts w:ascii="Arial" w:cs="Arial" w:eastAsia="Arial" w:hAnsi="Arial"/>
                <w:sz w:val="17"/>
                <w:szCs w:val="17"/>
                <w:color w:val="auto"/>
              </w:rPr>
              <w:t>31.1</w:t>
            </w:r>
          </w:p>
        </w:tc>
        <w:tc>
          <w:tcPr>
            <w:tcW w:w="9660" w:type="dxa"/>
            <w:vAlign w:val="bottom"/>
            <w:gridSpan w:val="14"/>
          </w:tcPr>
          <w:p>
            <w:pPr>
              <w:spacing w:after="0"/>
              <w:rPr>
                <w:sz w:val="20"/>
                <w:szCs w:val="20"/>
                <w:color w:val="auto"/>
              </w:rPr>
            </w:pPr>
            <w:r>
              <w:rPr>
                <w:rFonts w:ascii="Arial" w:cs="Arial" w:eastAsia="Arial" w:hAnsi="Arial"/>
                <w:sz w:val="17"/>
                <w:szCs w:val="17"/>
                <w:color w:val="0000FF"/>
                <w:w w:val="92"/>
              </w:rPr>
              <w:t>Certification of Principal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2"/>
          </w:tcPr>
          <w:p>
            <w:pPr>
              <w:spacing w:after="0" w:line="148" w:lineRule="exact"/>
              <w:rPr>
                <w:sz w:val="20"/>
                <w:szCs w:val="20"/>
                <w:color w:val="auto"/>
              </w:rPr>
            </w:pPr>
            <w:r>
              <w:rPr>
                <w:rFonts w:ascii="Arial" w:cs="Arial" w:eastAsia="Arial" w:hAnsi="Arial"/>
                <w:sz w:val="17"/>
                <w:szCs w:val="17"/>
                <w:color w:val="0000FF"/>
                <w:w w:val="91"/>
              </w:rPr>
              <w:t>the Sarbanes-Oxley Act of 2002.</w:t>
            </w:r>
          </w:p>
        </w:tc>
        <w:tc>
          <w:tcPr>
            <w:tcW w:w="73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7"/>
                <w:szCs w:val="17"/>
                <w:color w:val="auto"/>
              </w:rPr>
              <w:t>31.2</w:t>
            </w:r>
          </w:p>
        </w:tc>
        <w:tc>
          <w:tcPr>
            <w:tcW w:w="9660" w:type="dxa"/>
            <w:vAlign w:val="bottom"/>
            <w:gridSpan w:val="14"/>
          </w:tcPr>
          <w:p>
            <w:pPr>
              <w:spacing w:after="0"/>
              <w:rPr>
                <w:sz w:val="20"/>
                <w:szCs w:val="20"/>
                <w:color w:val="auto"/>
              </w:rPr>
            </w:pPr>
            <w:r>
              <w:rPr>
                <w:rFonts w:ascii="Arial" w:cs="Arial" w:eastAsia="Arial" w:hAnsi="Arial"/>
                <w:sz w:val="17"/>
                <w:szCs w:val="17"/>
                <w:color w:val="0000FF"/>
                <w:w w:val="92"/>
              </w:rPr>
              <w:t>Certification of Principal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2"/>
          </w:tcPr>
          <w:p>
            <w:pPr>
              <w:spacing w:after="0" w:line="148" w:lineRule="exact"/>
              <w:rPr>
                <w:sz w:val="20"/>
                <w:szCs w:val="20"/>
                <w:color w:val="auto"/>
              </w:rPr>
            </w:pPr>
            <w:r>
              <w:rPr>
                <w:rFonts w:ascii="Arial" w:cs="Arial" w:eastAsia="Arial" w:hAnsi="Arial"/>
                <w:sz w:val="17"/>
                <w:szCs w:val="17"/>
                <w:color w:val="0000FF"/>
                <w:w w:val="91"/>
              </w:rPr>
              <w:t>the Sarbanes-Oxley Act of 2002.</w:t>
            </w:r>
          </w:p>
        </w:tc>
        <w:tc>
          <w:tcPr>
            <w:tcW w:w="7320" w:type="dxa"/>
            <w:vAlign w:val="bottom"/>
            <w:tcBorders>
              <w:top w:val="single" w:sz="8" w:color="0000FF"/>
            </w:tcBorders>
            <w:gridSpan w:val="9"/>
          </w:tcPr>
          <w:p>
            <w:pPr>
              <w:spacing w:after="0"/>
              <w:rPr>
                <w:sz w:val="12"/>
                <w:szCs w:val="12"/>
                <w:color w:val="auto"/>
              </w:rPr>
            </w:pP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7"/>
                <w:szCs w:val="17"/>
                <w:color w:val="auto"/>
              </w:rPr>
              <w:t>32.1*</w:t>
            </w:r>
          </w:p>
        </w:tc>
        <w:tc>
          <w:tcPr>
            <w:tcW w:w="9660" w:type="dxa"/>
            <w:vAlign w:val="bottom"/>
            <w:gridSpan w:val="14"/>
          </w:tcPr>
          <w:p>
            <w:pPr>
              <w:spacing w:after="0"/>
              <w:rPr>
                <w:sz w:val="20"/>
                <w:szCs w:val="20"/>
                <w:color w:val="auto"/>
              </w:rPr>
            </w:pPr>
            <w:r>
              <w:rPr>
                <w:rFonts w:ascii="Arial" w:cs="Arial" w:eastAsia="Arial" w:hAnsi="Arial"/>
                <w:sz w:val="17"/>
                <w:szCs w:val="17"/>
                <w:color w:val="0000FF"/>
                <w:w w:val="93"/>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520" w:type="dxa"/>
            <w:vAlign w:val="bottom"/>
            <w:tcBorders>
              <w:top w:val="single" w:sz="8" w:color="0000FF"/>
            </w:tcBorders>
            <w:gridSpan w:val="10"/>
          </w:tcPr>
          <w:p>
            <w:pPr>
              <w:spacing w:after="0" w:line="148" w:lineRule="exact"/>
              <w:rPr>
                <w:sz w:val="20"/>
                <w:szCs w:val="20"/>
                <w:color w:val="auto"/>
              </w:rPr>
            </w:pPr>
            <w:r>
              <w:rPr>
                <w:rFonts w:ascii="Arial" w:cs="Arial" w:eastAsia="Arial" w:hAnsi="Arial"/>
                <w:sz w:val="17"/>
                <w:szCs w:val="17"/>
                <w:color w:val="0000FF"/>
              </w:rPr>
              <w:t>Act of 2002.</w:t>
            </w: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20" w:type="dxa"/>
            <w:vAlign w:val="bottom"/>
            <w:gridSpan w:val="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7"/>
                <w:szCs w:val="17"/>
                <w:color w:val="auto"/>
              </w:rPr>
              <w:t>32.2*</w:t>
            </w:r>
          </w:p>
        </w:tc>
        <w:tc>
          <w:tcPr>
            <w:tcW w:w="9660" w:type="dxa"/>
            <w:vAlign w:val="bottom"/>
            <w:gridSpan w:val="14"/>
          </w:tcPr>
          <w:p>
            <w:pPr>
              <w:spacing w:after="0"/>
              <w:rPr>
                <w:sz w:val="20"/>
                <w:szCs w:val="20"/>
                <w:color w:val="auto"/>
              </w:rPr>
            </w:pPr>
            <w:r>
              <w:rPr>
                <w:rFonts w:ascii="Arial" w:cs="Arial" w:eastAsia="Arial" w:hAnsi="Arial"/>
                <w:sz w:val="17"/>
                <w:szCs w:val="17"/>
                <w:color w:val="0000FF"/>
                <w:w w:val="93"/>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480" w:type="dxa"/>
            <w:vAlign w:val="bottom"/>
            <w:tcBorders>
              <w:top w:val="single" w:sz="8" w:color="0000FF"/>
            </w:tcBorders>
            <w:gridSpan w:val="8"/>
          </w:tcPr>
          <w:p>
            <w:pPr>
              <w:spacing w:after="0" w:line="148" w:lineRule="exact"/>
              <w:rPr>
                <w:sz w:val="20"/>
                <w:szCs w:val="20"/>
                <w:color w:val="auto"/>
              </w:rPr>
            </w:pPr>
            <w:r>
              <w:rPr>
                <w:rFonts w:ascii="Arial" w:cs="Arial" w:eastAsia="Arial" w:hAnsi="Arial"/>
                <w:sz w:val="17"/>
                <w:szCs w:val="17"/>
                <w:color w:val="0000FF"/>
              </w:rPr>
              <w:t>Act of 2002.</w:t>
            </w:r>
          </w:p>
        </w:tc>
        <w:tc>
          <w:tcPr>
            <w:tcW w:w="1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spacing w:after="0"/>
              <w:rPr>
                <w:sz w:val="20"/>
                <w:szCs w:val="20"/>
                <w:color w:val="auto"/>
              </w:rPr>
            </w:pPr>
            <w:r>
              <w:rPr>
                <w:rFonts w:ascii="Arial" w:cs="Arial" w:eastAsia="Arial" w:hAnsi="Arial"/>
                <w:sz w:val="17"/>
                <w:szCs w:val="17"/>
                <w:color w:val="auto"/>
              </w:rPr>
              <w:t>101.INS</w:t>
            </w:r>
          </w:p>
        </w:tc>
        <w:tc>
          <w:tcPr>
            <w:tcW w:w="9660" w:type="dxa"/>
            <w:vAlign w:val="bottom"/>
            <w:gridSpan w:val="14"/>
          </w:tcPr>
          <w:p>
            <w:pPr>
              <w:spacing w:after="0"/>
              <w:rPr>
                <w:sz w:val="20"/>
                <w:szCs w:val="20"/>
                <w:color w:val="auto"/>
              </w:rPr>
            </w:pPr>
            <w:r>
              <w:rPr>
                <w:rFonts w:ascii="Arial" w:cs="Arial" w:eastAsia="Arial" w:hAnsi="Arial"/>
                <w:sz w:val="17"/>
                <w:szCs w:val="17"/>
                <w:color w:val="auto"/>
                <w:w w:val="92"/>
              </w:rPr>
              <w:t>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9660" w:type="dxa"/>
            <w:vAlign w:val="bottom"/>
            <w:gridSpan w:val="14"/>
          </w:tcPr>
          <w:p>
            <w:pPr>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0"/>
                <w:szCs w:val="20"/>
                <w:color w:val="auto"/>
              </w:rPr>
            </w:pPr>
            <w:r>
              <w:rPr>
                <w:rFonts w:ascii="Arial" w:cs="Arial" w:eastAsia="Arial" w:hAnsi="Arial"/>
                <w:sz w:val="17"/>
                <w:szCs w:val="17"/>
                <w:color w:val="auto"/>
              </w:rPr>
              <w:t>101.SCH</w:t>
            </w:r>
          </w:p>
        </w:tc>
        <w:tc>
          <w:tcPr>
            <w:tcW w:w="9660" w:type="dxa"/>
            <w:vAlign w:val="bottom"/>
            <w:gridSpan w:val="14"/>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Arial" w:cs="Arial" w:eastAsia="Arial" w:hAnsi="Arial"/>
                <w:sz w:val="17"/>
                <w:szCs w:val="17"/>
                <w:color w:val="auto"/>
              </w:rPr>
              <w:t>101.CAL</w:t>
            </w:r>
          </w:p>
        </w:tc>
        <w:tc>
          <w:tcPr>
            <w:tcW w:w="9660" w:type="dxa"/>
            <w:vAlign w:val="bottom"/>
            <w:gridSpan w:val="14"/>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Arial" w:cs="Arial" w:eastAsia="Arial" w:hAnsi="Arial"/>
                <w:sz w:val="17"/>
                <w:szCs w:val="17"/>
                <w:color w:val="auto"/>
              </w:rPr>
              <w:t>101.LAB</w:t>
            </w:r>
          </w:p>
        </w:tc>
        <w:tc>
          <w:tcPr>
            <w:tcW w:w="9660" w:type="dxa"/>
            <w:vAlign w:val="bottom"/>
            <w:gridSpan w:val="14"/>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Arial" w:cs="Arial" w:eastAsia="Arial" w:hAnsi="Arial"/>
                <w:sz w:val="17"/>
                <w:szCs w:val="17"/>
                <w:color w:val="auto"/>
              </w:rPr>
              <w:t>101.PRE</w:t>
            </w:r>
          </w:p>
        </w:tc>
        <w:tc>
          <w:tcPr>
            <w:tcW w:w="9660" w:type="dxa"/>
            <w:vAlign w:val="bottom"/>
            <w:gridSpan w:val="14"/>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Arial" w:cs="Arial" w:eastAsia="Arial" w:hAnsi="Arial"/>
                <w:sz w:val="17"/>
                <w:szCs w:val="17"/>
                <w:color w:val="auto"/>
              </w:rPr>
              <w:t>101.DEF</w:t>
            </w:r>
          </w:p>
        </w:tc>
        <w:tc>
          <w:tcPr>
            <w:tcW w:w="9660" w:type="dxa"/>
            <w:vAlign w:val="bottom"/>
            <w:gridSpan w:val="14"/>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3920" w:firstLine="20"/>
        <w:spacing w:after="0" w:line="378" w:lineRule="auto"/>
        <w:tabs>
          <w:tab w:leader="none" w:pos="1074"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 * Furnished herewith.</w:t>
      </w:r>
    </w:p>
    <w:p>
      <w:pPr>
        <w:spacing w:after="0" w:line="1" w:lineRule="exact"/>
        <w:rPr>
          <w:sz w:val="20"/>
          <w:szCs w:val="20"/>
          <w:color w:val="auto"/>
        </w:rPr>
      </w:pPr>
    </w:p>
    <w:p>
      <w:pPr>
        <w:ind w:left="460" w:hanging="457"/>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6"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ind w:left="1800"/>
              <w:spacing w:after="0"/>
              <w:rPr>
                <w:sz w:val="20"/>
                <w:szCs w:val="20"/>
                <w:color w:val="auto"/>
              </w:rPr>
            </w:pPr>
            <w:r>
              <w:rPr>
                <w:rFonts w:ascii="Arial" w:cs="Arial" w:eastAsia="Arial" w:hAnsi="Arial"/>
                <w:sz w:val="17"/>
                <w:szCs w:val="17"/>
                <w:b w:val="1"/>
                <w:bCs w:val="1"/>
                <w:color w:val="auto"/>
              </w:rPr>
              <w:t>TASKUS, INC.</w:t>
            </w:r>
          </w:p>
        </w:tc>
      </w:tr>
      <w:tr>
        <w:trPr>
          <w:trHeight w:val="219"/>
        </w:trPr>
        <w:tc>
          <w:tcPr>
            <w:tcW w:w="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ind w:left="1960"/>
              <w:spacing w:after="0"/>
              <w:rPr>
                <w:sz w:val="20"/>
                <w:szCs w:val="20"/>
                <w:color w:val="auto"/>
              </w:rPr>
            </w:pPr>
            <w:r>
              <w:rPr>
                <w:rFonts w:ascii="Arial" w:cs="Arial" w:eastAsia="Arial" w:hAnsi="Arial"/>
                <w:sz w:val="17"/>
                <w:szCs w:val="17"/>
                <w:color w:val="auto"/>
              </w:rPr>
              <w:t>(Registrant)</w:t>
            </w:r>
          </w:p>
        </w:tc>
      </w:tr>
      <w:tr>
        <w:trPr>
          <w:trHeight w:val="620"/>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200" w:type="dxa"/>
            <w:vAlign w:val="bottom"/>
          </w:tcPr>
          <w:p>
            <w:pPr>
              <w:ind w:left="140"/>
              <w:spacing w:after="0"/>
              <w:rPr>
                <w:sz w:val="20"/>
                <w:szCs w:val="20"/>
                <w:color w:val="auto"/>
              </w:rPr>
            </w:pPr>
            <w:r>
              <w:rPr>
                <w:rFonts w:ascii="Arial" w:cs="Arial" w:eastAsia="Arial" w:hAnsi="Arial"/>
                <w:sz w:val="17"/>
                <w:szCs w:val="17"/>
                <w:color w:val="auto"/>
              </w:rPr>
              <w:t>November 8, 2022</w:t>
            </w:r>
          </w:p>
        </w:tc>
        <w:tc>
          <w:tcPr>
            <w:tcW w:w="2340" w:type="dxa"/>
            <w:vAlign w:val="bottom"/>
          </w:tcPr>
          <w:p>
            <w:pPr>
              <w:ind w:left="1920"/>
              <w:spacing w:after="0"/>
              <w:rPr>
                <w:sz w:val="20"/>
                <w:szCs w:val="20"/>
                <w:color w:val="auto"/>
              </w:rPr>
            </w:pPr>
            <w:r>
              <w:rPr>
                <w:rFonts w:ascii="Arial" w:cs="Arial" w:eastAsia="Arial" w:hAnsi="Arial"/>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Balaji Sekar</w:t>
            </w:r>
          </w:p>
        </w:tc>
      </w:tr>
      <w:tr>
        <w:trPr>
          <w:trHeight w:val="211"/>
        </w:trPr>
        <w:tc>
          <w:tcPr>
            <w:tcW w:w="5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Balaji Sekar</w:t>
            </w:r>
          </w:p>
        </w:tc>
      </w:tr>
      <w:tr>
        <w:trPr>
          <w:trHeight w:val="219"/>
        </w:trPr>
        <w:tc>
          <w:tcPr>
            <w:tcW w:w="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9"/>
        </w:trPr>
        <w:tc>
          <w:tcPr>
            <w:tcW w:w="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r>
        <w:trPr>
          <w:trHeight w:val="219"/>
        </w:trPr>
        <w:tc>
          <w:tcPr>
            <w:tcW w:w="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(Authorized Signatory)</w:t>
            </w:r>
          </w:p>
        </w:tc>
      </w:tr>
      <w:tr>
        <w:trPr>
          <w:trHeight w:val="478"/>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200" w:type="dxa"/>
            <w:vAlign w:val="bottom"/>
          </w:tcPr>
          <w:p>
            <w:pPr>
              <w:ind w:left="140"/>
              <w:spacing w:after="0"/>
              <w:rPr>
                <w:sz w:val="20"/>
                <w:szCs w:val="20"/>
                <w:color w:val="auto"/>
              </w:rPr>
            </w:pPr>
            <w:r>
              <w:rPr>
                <w:rFonts w:ascii="Arial" w:cs="Arial" w:eastAsia="Arial" w:hAnsi="Arial"/>
                <w:sz w:val="17"/>
                <w:szCs w:val="17"/>
                <w:color w:val="auto"/>
              </w:rPr>
              <w:t>November 8, 2022</w:t>
            </w:r>
          </w:p>
        </w:tc>
        <w:tc>
          <w:tcPr>
            <w:tcW w:w="2340" w:type="dxa"/>
            <w:vAlign w:val="bottom"/>
          </w:tcPr>
          <w:p>
            <w:pPr>
              <w:ind w:left="1920"/>
              <w:spacing w:after="0"/>
              <w:rPr>
                <w:sz w:val="20"/>
                <w:szCs w:val="20"/>
                <w:color w:val="auto"/>
              </w:rPr>
            </w:pPr>
            <w:r>
              <w:rPr>
                <w:rFonts w:ascii="Arial" w:cs="Arial" w:eastAsia="Arial" w:hAnsi="Arial"/>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Steven Amaya</w:t>
            </w:r>
          </w:p>
        </w:tc>
      </w:tr>
      <w:tr>
        <w:trPr>
          <w:trHeight w:val="211"/>
        </w:trPr>
        <w:tc>
          <w:tcPr>
            <w:tcW w:w="5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Steven Amaya</w:t>
            </w:r>
          </w:p>
        </w:tc>
      </w:tr>
      <w:tr>
        <w:trPr>
          <w:trHeight w:val="219"/>
        </w:trPr>
        <w:tc>
          <w:tcPr>
            <w:tcW w:w="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Senior Vice President—Finance</w:t>
            </w:r>
          </w:p>
        </w:tc>
      </w:tr>
      <w:tr>
        <w:trPr>
          <w:trHeight w:val="219"/>
        </w:trPr>
        <w:tc>
          <w:tcPr>
            <w:tcW w:w="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(Principal Accounting Officer)</w:t>
            </w:r>
          </w:p>
        </w:tc>
      </w:tr>
      <w:tr>
        <w:trPr>
          <w:trHeight w:val="864"/>
        </w:trPr>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40" w:type="dxa"/>
            <w:vAlign w:val="bottom"/>
          </w:tcPr>
          <w:p>
            <w:pPr>
              <w:jc w:val="right"/>
              <w:ind w:right="294"/>
              <w:spacing w:after="0"/>
              <w:rPr>
                <w:sz w:val="20"/>
                <w:szCs w:val="20"/>
                <w:color w:val="auto"/>
              </w:rPr>
            </w:pPr>
            <w:r>
              <w:rPr>
                <w:rFonts w:ascii="Arial" w:cs="Arial" w:eastAsia="Arial" w:hAnsi="Arial"/>
                <w:sz w:val="17"/>
                <w:szCs w:val="17"/>
                <w:color w:val="auto"/>
              </w:rPr>
              <w:t>37</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163195</wp:posOffset>
            </wp:positionV>
            <wp:extent cx="7138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AMENDED AND RESTATED CREDIT AGREEMENT</w:t>
      </w:r>
    </w:p>
    <w:p>
      <w:pPr>
        <w:spacing w:after="0" w:line="8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Dated as of September 25, 2019 and</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as amended and restated on September 7, 2022</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among</w:t>
      </w:r>
    </w:p>
    <w:p>
      <w:pPr>
        <w:spacing w:after="0" w:line="154"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TU MIDCO, INC.,</w:t>
      </w:r>
    </w:p>
    <w:p>
      <w:pPr>
        <w:ind w:left="3980"/>
        <w:spacing w:after="0"/>
        <w:rPr>
          <w:sz w:val="20"/>
          <w:szCs w:val="20"/>
          <w:color w:val="auto"/>
        </w:rPr>
      </w:pPr>
      <w:r>
        <w:rPr>
          <w:rFonts w:ascii="Arial" w:cs="Arial" w:eastAsia="Arial" w:hAnsi="Arial"/>
          <w:sz w:val="21"/>
          <w:szCs w:val="21"/>
          <w:color w:val="auto"/>
        </w:rPr>
        <w:t>as Holdings,</w:t>
      </w:r>
    </w:p>
    <w:p>
      <w:pPr>
        <w:spacing w:after="0" w:line="136"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TU BIDCO, INC.,</w:t>
      </w:r>
    </w:p>
    <w:p>
      <w:pPr>
        <w:ind w:left="3820"/>
        <w:spacing w:after="0"/>
        <w:rPr>
          <w:sz w:val="20"/>
          <w:szCs w:val="20"/>
          <w:color w:val="auto"/>
        </w:rPr>
      </w:pPr>
      <w:r>
        <w:rPr>
          <w:rFonts w:ascii="Arial" w:cs="Arial" w:eastAsia="Arial" w:hAnsi="Arial"/>
          <w:sz w:val="21"/>
          <w:szCs w:val="21"/>
          <w:color w:val="auto"/>
        </w:rPr>
        <w:t>as the Borrower,</w:t>
      </w:r>
    </w:p>
    <w:p>
      <w:pPr>
        <w:spacing w:after="0" w:line="153"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THE GUARANTORS PARTY HERETO FROM TIME TO TIME,</w:t>
      </w:r>
    </w:p>
    <w:p>
      <w:pPr>
        <w:spacing w:after="0" w:line="154"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JPMORGAN CHASE BANK, N.A.,</w:t>
      </w:r>
    </w:p>
    <w:p>
      <w:pPr>
        <w:jc w:val="center"/>
        <w:ind w:right="1120"/>
        <w:spacing w:after="0"/>
        <w:rPr>
          <w:sz w:val="20"/>
          <w:szCs w:val="20"/>
          <w:color w:val="auto"/>
        </w:rPr>
      </w:pPr>
      <w:r>
        <w:rPr>
          <w:rFonts w:ascii="Arial" w:cs="Arial" w:eastAsia="Arial" w:hAnsi="Arial"/>
          <w:sz w:val="19"/>
          <w:szCs w:val="19"/>
          <w:color w:val="auto"/>
        </w:rPr>
        <w:t>as Administrative Agent, Collateral Agent, Swing Line Lender and an L/C Issuer,</w:t>
      </w:r>
    </w:p>
    <w:p>
      <w:pPr>
        <w:spacing w:after="0" w:line="176"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and</w:t>
      </w:r>
    </w:p>
    <w:p>
      <w:pPr>
        <w:spacing w:after="0" w:line="223" w:lineRule="exact"/>
        <w:rPr>
          <w:sz w:val="20"/>
          <w:szCs w:val="20"/>
          <w:color w:val="auto"/>
        </w:rPr>
      </w:pPr>
    </w:p>
    <w:p>
      <w:pPr>
        <w:ind w:left="1120"/>
        <w:spacing w:after="0"/>
        <w:rPr>
          <w:sz w:val="20"/>
          <w:szCs w:val="20"/>
          <w:color w:val="auto"/>
        </w:rPr>
      </w:pPr>
      <w:r>
        <w:rPr>
          <w:rFonts w:ascii="Arial" w:cs="Arial" w:eastAsia="Arial" w:hAnsi="Arial"/>
          <w:sz w:val="21"/>
          <w:szCs w:val="21"/>
          <w:color w:val="auto"/>
        </w:rPr>
        <w:t>THE LENDERS AND L/C ISSUERS PARTY HERETO FROM TIME TO TIME</w:t>
      </w:r>
    </w:p>
    <w:p>
      <w:pPr>
        <w:spacing w:after="0" w:line="154"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JPMORGAN CHASE BANK, N.A.,</w:t>
      </w:r>
    </w:p>
    <w:p>
      <w:pPr>
        <w:jc w:val="center"/>
        <w:ind w:right="1120"/>
        <w:spacing w:after="0" w:line="205" w:lineRule="auto"/>
        <w:rPr>
          <w:sz w:val="20"/>
          <w:szCs w:val="20"/>
          <w:color w:val="auto"/>
        </w:rPr>
      </w:pPr>
      <w:r>
        <w:rPr>
          <w:rFonts w:ascii="Arial" w:cs="Arial" w:eastAsia="Arial" w:hAnsi="Arial"/>
          <w:sz w:val="21"/>
          <w:szCs w:val="21"/>
          <w:color w:val="auto"/>
        </w:rPr>
        <w:t>BOFA SECURITIES, INC.,</w:t>
      </w:r>
    </w:p>
    <w:p>
      <w:pPr>
        <w:jc w:val="center"/>
        <w:ind w:right="1120"/>
        <w:spacing w:after="0" w:line="205" w:lineRule="auto"/>
        <w:rPr>
          <w:sz w:val="20"/>
          <w:szCs w:val="20"/>
          <w:color w:val="auto"/>
        </w:rPr>
      </w:pPr>
      <w:r>
        <w:rPr>
          <w:rFonts w:ascii="Arial" w:cs="Arial" w:eastAsia="Arial" w:hAnsi="Arial"/>
          <w:sz w:val="21"/>
          <w:szCs w:val="21"/>
          <w:color w:val="auto"/>
        </w:rPr>
        <w:t>TD SECURITIES (USA) LLC,</w:t>
      </w:r>
    </w:p>
    <w:p>
      <w:pPr>
        <w:jc w:val="center"/>
        <w:ind w:right="1120"/>
        <w:spacing w:after="0" w:line="205" w:lineRule="auto"/>
        <w:rPr>
          <w:sz w:val="20"/>
          <w:szCs w:val="20"/>
          <w:color w:val="auto"/>
        </w:rPr>
      </w:pPr>
      <w:r>
        <w:rPr>
          <w:rFonts w:ascii="Arial" w:cs="Arial" w:eastAsia="Arial" w:hAnsi="Arial"/>
          <w:sz w:val="21"/>
          <w:szCs w:val="21"/>
          <w:color w:val="auto"/>
        </w:rPr>
        <w:t>FIFTH THIRD BANK and</w:t>
      </w:r>
    </w:p>
    <w:p>
      <w:pPr>
        <w:jc w:val="center"/>
        <w:ind w:right="1120"/>
        <w:spacing w:after="0" w:line="205" w:lineRule="auto"/>
        <w:rPr>
          <w:sz w:val="20"/>
          <w:szCs w:val="20"/>
          <w:color w:val="auto"/>
        </w:rPr>
      </w:pPr>
      <w:r>
        <w:rPr>
          <w:rFonts w:ascii="Arial" w:cs="Arial" w:eastAsia="Arial" w:hAnsi="Arial"/>
          <w:sz w:val="21"/>
          <w:szCs w:val="21"/>
          <w:color w:val="auto"/>
        </w:rPr>
        <w:t>U.S. BANK NATIONAL ASSOCIATION,</w:t>
      </w:r>
    </w:p>
    <w:p>
      <w:pPr>
        <w:jc w:val="center"/>
        <w:ind w:right="1120"/>
        <w:spacing w:after="0"/>
        <w:rPr>
          <w:sz w:val="20"/>
          <w:szCs w:val="20"/>
          <w:color w:val="auto"/>
        </w:rPr>
      </w:pPr>
      <w:r>
        <w:rPr>
          <w:rFonts w:ascii="Arial" w:cs="Arial" w:eastAsia="Arial" w:hAnsi="Arial"/>
          <w:sz w:val="21"/>
          <w:szCs w:val="2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4445</wp:posOffset>
            </wp:positionV>
            <wp:extent cx="713867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20"/>
          </w:cols>
          <w:pgMar w:left="1440" w:top="10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70"/>
        </w:trPr>
        <w:tc>
          <w:tcPr>
            <w:tcW w:w="1260" w:type="dxa"/>
            <w:vAlign w:val="bottom"/>
          </w:tcPr>
          <w:p>
            <w:pPr>
              <w:spacing w:after="0"/>
              <w:rPr>
                <w:sz w:val="23"/>
                <w:szCs w:val="23"/>
                <w:color w:val="auto"/>
              </w:rPr>
            </w:pPr>
          </w:p>
        </w:tc>
        <w:tc>
          <w:tcPr>
            <w:tcW w:w="8220" w:type="dxa"/>
            <w:vAlign w:val="bottom"/>
          </w:tcPr>
          <w:p>
            <w:pPr>
              <w:jc w:val="center"/>
              <w:ind w:left="397"/>
              <w:spacing w:after="0"/>
              <w:rPr>
                <w:sz w:val="20"/>
                <w:szCs w:val="20"/>
                <w:color w:val="auto"/>
              </w:rPr>
            </w:pPr>
            <w:r>
              <w:rPr>
                <w:rFonts w:ascii="Arial" w:cs="Arial" w:eastAsia="Arial" w:hAnsi="Arial"/>
                <w:sz w:val="21"/>
                <w:szCs w:val="21"/>
                <w:b w:val="1"/>
                <w:bCs w:val="1"/>
                <w:color w:val="auto"/>
                <w:w w:val="97"/>
              </w:rPr>
              <w:t>TABLE OF CONTENTS</w:t>
            </w: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60"/>
        </w:trPr>
        <w:tc>
          <w:tcPr>
            <w:tcW w:w="1260" w:type="dxa"/>
            <w:vAlign w:val="bottom"/>
            <w:tcBorders>
              <w:bottom w:val="single" w:sz="8" w:color="auto"/>
            </w:tcBorders>
          </w:tcPr>
          <w:p>
            <w:pPr>
              <w:spacing w:after="0"/>
              <w:rPr>
                <w:sz w:val="22"/>
                <w:szCs w:val="22"/>
                <w:color w:val="auto"/>
              </w:rPr>
            </w:pPr>
          </w:p>
        </w:tc>
        <w:tc>
          <w:tcPr>
            <w:tcW w:w="8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r>
      <w:tr>
        <w:trPr>
          <w:trHeight w:val="264"/>
        </w:trPr>
        <w:tc>
          <w:tcPr>
            <w:tcW w:w="1260" w:type="dxa"/>
            <w:vAlign w:val="bottom"/>
          </w:tcPr>
          <w:p>
            <w:pPr>
              <w:spacing w:after="0"/>
              <w:rPr>
                <w:sz w:val="22"/>
                <w:szCs w:val="22"/>
                <w:color w:val="auto"/>
              </w:rPr>
            </w:pPr>
          </w:p>
        </w:tc>
        <w:tc>
          <w:tcPr>
            <w:tcW w:w="8220" w:type="dxa"/>
            <w:vAlign w:val="bottom"/>
          </w:tcPr>
          <w:p>
            <w:pPr>
              <w:spacing w:after="0"/>
              <w:rPr>
                <w:sz w:val="22"/>
                <w:szCs w:val="22"/>
                <w:color w:val="auto"/>
              </w:rPr>
            </w:pPr>
          </w:p>
        </w:tc>
        <w:tc>
          <w:tcPr>
            <w:tcW w:w="1760" w:type="dxa"/>
            <w:vAlign w:val="bottom"/>
            <w:gridSpan w:val="2"/>
          </w:tcPr>
          <w:p>
            <w:pPr>
              <w:ind w:left="1360"/>
              <w:spacing w:after="0"/>
              <w:rPr>
                <w:sz w:val="20"/>
                <w:szCs w:val="20"/>
                <w:color w:val="auto"/>
              </w:rPr>
            </w:pPr>
            <w:r>
              <w:rPr>
                <w:rFonts w:ascii="Arial" w:cs="Arial" w:eastAsia="Arial" w:hAnsi="Arial"/>
                <w:sz w:val="21"/>
                <w:szCs w:val="21"/>
                <w:color w:val="auto"/>
                <w:w w:val="77"/>
              </w:rPr>
              <w:t>Page</w:t>
            </w:r>
          </w:p>
        </w:tc>
      </w:tr>
      <w:tr>
        <w:trPr>
          <w:trHeight w:val="333"/>
        </w:trPr>
        <w:tc>
          <w:tcPr>
            <w:tcW w:w="1260" w:type="dxa"/>
            <w:vAlign w:val="bottom"/>
          </w:tcPr>
          <w:p>
            <w:pPr>
              <w:spacing w:after="0"/>
              <w:rPr>
                <w:sz w:val="24"/>
                <w:szCs w:val="24"/>
                <w:color w:val="auto"/>
              </w:rPr>
            </w:pPr>
          </w:p>
        </w:tc>
        <w:tc>
          <w:tcPr>
            <w:tcW w:w="8220" w:type="dxa"/>
            <w:vAlign w:val="bottom"/>
          </w:tcPr>
          <w:p>
            <w:pPr>
              <w:jc w:val="center"/>
              <w:ind w:left="417"/>
              <w:spacing w:after="0"/>
              <w:rPr>
                <w:sz w:val="20"/>
                <w:szCs w:val="20"/>
                <w:color w:val="auto"/>
              </w:rPr>
            </w:pPr>
            <w:r>
              <w:rPr>
                <w:rFonts w:ascii="Arial" w:cs="Arial" w:eastAsia="Arial" w:hAnsi="Arial"/>
                <w:sz w:val="21"/>
                <w:szCs w:val="21"/>
                <w:color w:val="auto"/>
                <w:w w:val="96"/>
              </w:rPr>
              <w:t>ARTICLE 1</w:t>
            </w:r>
          </w:p>
        </w:tc>
        <w:tc>
          <w:tcPr>
            <w:tcW w:w="13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258"/>
        </w:trPr>
        <w:tc>
          <w:tcPr>
            <w:tcW w:w="1260" w:type="dxa"/>
            <w:vAlign w:val="bottom"/>
          </w:tcPr>
          <w:p>
            <w:pPr>
              <w:spacing w:after="0"/>
              <w:rPr>
                <w:sz w:val="22"/>
                <w:szCs w:val="22"/>
                <w:color w:val="auto"/>
              </w:rPr>
            </w:pPr>
          </w:p>
        </w:tc>
        <w:tc>
          <w:tcPr>
            <w:tcW w:w="8220" w:type="dxa"/>
            <w:vAlign w:val="bottom"/>
          </w:tcPr>
          <w:p>
            <w:pPr>
              <w:jc w:val="center"/>
              <w:ind w:left="417"/>
              <w:spacing w:after="0"/>
              <w:rPr>
                <w:sz w:val="20"/>
                <w:szCs w:val="20"/>
                <w:color w:val="auto"/>
              </w:rPr>
            </w:pPr>
            <w:r>
              <w:rPr>
                <w:rFonts w:ascii="Arial" w:cs="Arial" w:eastAsia="Arial" w:hAnsi="Arial"/>
                <w:sz w:val="21"/>
                <w:szCs w:val="21"/>
                <w:color w:val="auto"/>
                <w:w w:val="96"/>
              </w:rPr>
              <w:t>DEFINITIONS AND ACCOUNTING TERMS</w:t>
            </w: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1.01.</w:t>
            </w:r>
          </w:p>
        </w:tc>
        <w:tc>
          <w:tcPr>
            <w:tcW w:w="8220" w:type="dxa"/>
            <w:vAlign w:val="bottom"/>
          </w:tcPr>
          <w:p>
            <w:pPr>
              <w:ind w:left="100"/>
              <w:spacing w:after="0"/>
              <w:rPr>
                <w:sz w:val="20"/>
                <w:szCs w:val="20"/>
                <w:color w:val="auto"/>
              </w:rPr>
            </w:pPr>
            <w:r>
              <w:rPr>
                <w:rFonts w:ascii="Arial" w:cs="Arial" w:eastAsia="Arial" w:hAnsi="Arial"/>
                <w:sz w:val="21"/>
                <w:szCs w:val="21"/>
                <w:color w:val="auto"/>
              </w:rPr>
              <w:t>Defined Terms</w:t>
            </w:r>
          </w:p>
        </w:tc>
        <w:tc>
          <w:tcPr>
            <w:tcW w:w="1360" w:type="dxa"/>
            <w:vAlign w:val="bottom"/>
          </w:tcPr>
          <w:p>
            <w:pPr>
              <w:ind w:left="1020"/>
              <w:spacing w:after="0"/>
              <w:rPr>
                <w:sz w:val="20"/>
                <w:szCs w:val="20"/>
                <w:color w:val="auto"/>
              </w:rPr>
            </w:pPr>
            <w:r>
              <w:rPr>
                <w:rFonts w:ascii="Arial" w:cs="Arial" w:eastAsia="Arial" w:hAnsi="Arial"/>
                <w:sz w:val="21"/>
                <w:szCs w:val="21"/>
                <w:color w:val="auto"/>
              </w:rPr>
              <w:t>2</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1.02.  Other Interpretive Provisions</w:t>
            </w:r>
          </w:p>
        </w:tc>
        <w:tc>
          <w:tcPr>
            <w:tcW w:w="1360" w:type="dxa"/>
            <w:vAlign w:val="bottom"/>
          </w:tcPr>
          <w:p>
            <w:pPr>
              <w:ind w:left="1020"/>
              <w:spacing w:after="0"/>
              <w:rPr>
                <w:sz w:val="20"/>
                <w:szCs w:val="20"/>
                <w:color w:val="auto"/>
              </w:rPr>
            </w:pPr>
            <w:r>
              <w:rPr>
                <w:rFonts w:ascii="Arial" w:cs="Arial" w:eastAsia="Arial" w:hAnsi="Arial"/>
                <w:sz w:val="21"/>
                <w:szCs w:val="21"/>
                <w:color w:val="auto"/>
              </w:rPr>
              <w:t>83</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1.03.</w:t>
            </w:r>
          </w:p>
        </w:tc>
        <w:tc>
          <w:tcPr>
            <w:tcW w:w="8220" w:type="dxa"/>
            <w:vAlign w:val="bottom"/>
          </w:tcPr>
          <w:p>
            <w:pPr>
              <w:ind w:left="100"/>
              <w:spacing w:after="0"/>
              <w:rPr>
                <w:sz w:val="20"/>
                <w:szCs w:val="20"/>
                <w:color w:val="auto"/>
              </w:rPr>
            </w:pPr>
            <w:r>
              <w:rPr>
                <w:rFonts w:ascii="Arial" w:cs="Arial" w:eastAsia="Arial" w:hAnsi="Arial"/>
                <w:sz w:val="21"/>
                <w:szCs w:val="21"/>
                <w:color w:val="auto"/>
              </w:rPr>
              <w:t>Accounting Terms</w:t>
            </w:r>
          </w:p>
        </w:tc>
        <w:tc>
          <w:tcPr>
            <w:tcW w:w="1360" w:type="dxa"/>
            <w:vAlign w:val="bottom"/>
          </w:tcPr>
          <w:p>
            <w:pPr>
              <w:ind w:left="1020"/>
              <w:spacing w:after="0"/>
              <w:rPr>
                <w:sz w:val="20"/>
                <w:szCs w:val="20"/>
                <w:color w:val="auto"/>
              </w:rPr>
            </w:pPr>
            <w:r>
              <w:rPr>
                <w:rFonts w:ascii="Arial" w:cs="Arial" w:eastAsia="Arial" w:hAnsi="Arial"/>
                <w:sz w:val="21"/>
                <w:szCs w:val="21"/>
                <w:color w:val="auto"/>
              </w:rPr>
              <w:t>85</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1.04.</w:t>
            </w:r>
          </w:p>
        </w:tc>
        <w:tc>
          <w:tcPr>
            <w:tcW w:w="8220" w:type="dxa"/>
            <w:vAlign w:val="bottom"/>
          </w:tcPr>
          <w:p>
            <w:pPr>
              <w:ind w:left="100"/>
              <w:spacing w:after="0"/>
              <w:rPr>
                <w:sz w:val="20"/>
                <w:szCs w:val="20"/>
                <w:color w:val="auto"/>
              </w:rPr>
            </w:pPr>
            <w:r>
              <w:rPr>
                <w:rFonts w:ascii="Arial" w:cs="Arial" w:eastAsia="Arial" w:hAnsi="Arial"/>
                <w:sz w:val="21"/>
                <w:szCs w:val="21"/>
                <w:color w:val="auto"/>
              </w:rPr>
              <w:t>Rounding</w:t>
            </w:r>
          </w:p>
        </w:tc>
        <w:tc>
          <w:tcPr>
            <w:tcW w:w="1360" w:type="dxa"/>
            <w:vAlign w:val="bottom"/>
          </w:tcPr>
          <w:p>
            <w:pPr>
              <w:ind w:left="1020"/>
              <w:spacing w:after="0"/>
              <w:rPr>
                <w:sz w:val="20"/>
                <w:szCs w:val="20"/>
                <w:color w:val="auto"/>
              </w:rPr>
            </w:pPr>
            <w:r>
              <w:rPr>
                <w:rFonts w:ascii="Arial" w:cs="Arial" w:eastAsia="Arial" w:hAnsi="Arial"/>
                <w:sz w:val="21"/>
                <w:szCs w:val="21"/>
                <w:color w:val="auto"/>
              </w:rPr>
              <w:t>86</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1.05.  References to Agreements, Laws, Etc.</w:t>
            </w:r>
          </w:p>
        </w:tc>
        <w:tc>
          <w:tcPr>
            <w:tcW w:w="1360" w:type="dxa"/>
            <w:vAlign w:val="bottom"/>
          </w:tcPr>
          <w:p>
            <w:pPr>
              <w:ind w:left="1020"/>
              <w:spacing w:after="0"/>
              <w:rPr>
                <w:sz w:val="20"/>
                <w:szCs w:val="20"/>
                <w:color w:val="auto"/>
              </w:rPr>
            </w:pPr>
            <w:r>
              <w:rPr>
                <w:rFonts w:ascii="Arial" w:cs="Arial" w:eastAsia="Arial" w:hAnsi="Arial"/>
                <w:sz w:val="21"/>
                <w:szCs w:val="21"/>
                <w:color w:val="auto"/>
              </w:rPr>
              <w:t>86</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1.06.</w:t>
            </w:r>
          </w:p>
        </w:tc>
        <w:tc>
          <w:tcPr>
            <w:tcW w:w="8220" w:type="dxa"/>
            <w:vAlign w:val="bottom"/>
          </w:tcPr>
          <w:p>
            <w:pPr>
              <w:ind w:left="100"/>
              <w:spacing w:after="0"/>
              <w:rPr>
                <w:sz w:val="20"/>
                <w:szCs w:val="20"/>
                <w:color w:val="auto"/>
              </w:rPr>
            </w:pPr>
            <w:r>
              <w:rPr>
                <w:rFonts w:ascii="Arial" w:cs="Arial" w:eastAsia="Arial" w:hAnsi="Arial"/>
                <w:sz w:val="21"/>
                <w:szCs w:val="21"/>
                <w:color w:val="auto"/>
              </w:rPr>
              <w:t>Times of Day</w:t>
            </w:r>
          </w:p>
        </w:tc>
        <w:tc>
          <w:tcPr>
            <w:tcW w:w="1360" w:type="dxa"/>
            <w:vAlign w:val="bottom"/>
          </w:tcPr>
          <w:p>
            <w:pPr>
              <w:ind w:left="1020"/>
              <w:spacing w:after="0"/>
              <w:rPr>
                <w:sz w:val="20"/>
                <w:szCs w:val="20"/>
                <w:color w:val="auto"/>
              </w:rPr>
            </w:pPr>
            <w:r>
              <w:rPr>
                <w:rFonts w:ascii="Arial" w:cs="Arial" w:eastAsia="Arial" w:hAnsi="Arial"/>
                <w:sz w:val="21"/>
                <w:szCs w:val="21"/>
                <w:color w:val="auto"/>
              </w:rPr>
              <w:t>86</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1.07.  Timing of Payment or Performance</w:t>
            </w:r>
          </w:p>
        </w:tc>
        <w:tc>
          <w:tcPr>
            <w:tcW w:w="1360" w:type="dxa"/>
            <w:vAlign w:val="bottom"/>
          </w:tcPr>
          <w:p>
            <w:pPr>
              <w:ind w:left="1020"/>
              <w:spacing w:after="0"/>
              <w:rPr>
                <w:sz w:val="20"/>
                <w:szCs w:val="20"/>
                <w:color w:val="auto"/>
              </w:rPr>
            </w:pPr>
            <w:r>
              <w:rPr>
                <w:rFonts w:ascii="Arial" w:cs="Arial" w:eastAsia="Arial" w:hAnsi="Arial"/>
                <w:sz w:val="21"/>
                <w:szCs w:val="21"/>
                <w:color w:val="auto"/>
              </w:rPr>
              <w:t>86</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1.08.  Cumulative Credit Transactions</w:t>
            </w:r>
          </w:p>
        </w:tc>
        <w:tc>
          <w:tcPr>
            <w:tcW w:w="1360" w:type="dxa"/>
            <w:vAlign w:val="bottom"/>
          </w:tcPr>
          <w:p>
            <w:pPr>
              <w:ind w:left="1020"/>
              <w:spacing w:after="0"/>
              <w:rPr>
                <w:sz w:val="20"/>
                <w:szCs w:val="20"/>
                <w:color w:val="auto"/>
              </w:rPr>
            </w:pPr>
            <w:r>
              <w:rPr>
                <w:rFonts w:ascii="Arial" w:cs="Arial" w:eastAsia="Arial" w:hAnsi="Arial"/>
                <w:sz w:val="21"/>
                <w:szCs w:val="21"/>
                <w:color w:val="auto"/>
              </w:rPr>
              <w:t>86</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1.09.  Additional Approved Currencies</w:t>
            </w:r>
          </w:p>
        </w:tc>
        <w:tc>
          <w:tcPr>
            <w:tcW w:w="1360" w:type="dxa"/>
            <w:vAlign w:val="bottom"/>
          </w:tcPr>
          <w:p>
            <w:pPr>
              <w:ind w:left="1020"/>
              <w:spacing w:after="0"/>
              <w:rPr>
                <w:sz w:val="20"/>
                <w:szCs w:val="20"/>
                <w:color w:val="auto"/>
              </w:rPr>
            </w:pPr>
            <w:r>
              <w:rPr>
                <w:rFonts w:ascii="Arial" w:cs="Arial" w:eastAsia="Arial" w:hAnsi="Arial"/>
                <w:sz w:val="21"/>
                <w:szCs w:val="21"/>
                <w:color w:val="auto"/>
              </w:rPr>
              <w:t>86</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1.10.  Interest Rates; Benchmark Notification</w:t>
            </w:r>
          </w:p>
        </w:tc>
        <w:tc>
          <w:tcPr>
            <w:tcW w:w="1360" w:type="dxa"/>
            <w:vAlign w:val="bottom"/>
          </w:tcPr>
          <w:p>
            <w:pPr>
              <w:ind w:left="1020"/>
              <w:spacing w:after="0"/>
              <w:rPr>
                <w:sz w:val="20"/>
                <w:szCs w:val="20"/>
                <w:color w:val="auto"/>
              </w:rPr>
            </w:pPr>
            <w:r>
              <w:rPr>
                <w:rFonts w:ascii="Arial" w:cs="Arial" w:eastAsia="Arial" w:hAnsi="Arial"/>
                <w:sz w:val="21"/>
                <w:szCs w:val="21"/>
                <w:color w:val="auto"/>
              </w:rPr>
              <w:t>87</w:t>
            </w:r>
          </w:p>
        </w:tc>
        <w:tc>
          <w:tcPr>
            <w:tcW w:w="400" w:type="dxa"/>
            <w:vAlign w:val="bottom"/>
          </w:tcPr>
          <w:p>
            <w:pPr>
              <w:spacing w:after="0"/>
              <w:rPr>
                <w:sz w:val="22"/>
                <w:szCs w:val="22"/>
                <w:color w:val="auto"/>
              </w:rPr>
            </w:pPr>
          </w:p>
        </w:tc>
      </w:tr>
      <w:tr>
        <w:trPr>
          <w:trHeight w:val="206"/>
        </w:trPr>
        <w:tc>
          <w:tcPr>
            <w:tcW w:w="1260" w:type="dxa"/>
            <w:vAlign w:val="bottom"/>
          </w:tcPr>
          <w:p>
            <w:pPr>
              <w:spacing w:after="0"/>
              <w:rPr>
                <w:sz w:val="17"/>
                <w:szCs w:val="17"/>
                <w:color w:val="auto"/>
              </w:rPr>
            </w:pPr>
          </w:p>
        </w:tc>
        <w:tc>
          <w:tcPr>
            <w:tcW w:w="8220" w:type="dxa"/>
            <w:vAlign w:val="bottom"/>
          </w:tcPr>
          <w:p>
            <w:pPr>
              <w:jc w:val="center"/>
              <w:ind w:left="417"/>
              <w:spacing w:after="0" w:line="207" w:lineRule="exact"/>
              <w:rPr>
                <w:sz w:val="20"/>
                <w:szCs w:val="20"/>
                <w:color w:val="auto"/>
              </w:rPr>
            </w:pPr>
            <w:r>
              <w:rPr>
                <w:rFonts w:ascii="Arial" w:cs="Arial" w:eastAsia="Arial" w:hAnsi="Arial"/>
                <w:sz w:val="21"/>
                <w:szCs w:val="21"/>
                <w:color w:val="auto"/>
                <w:w w:val="96"/>
              </w:rPr>
              <w:t>ARTICLE 2</w:t>
            </w: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8"/>
        </w:trPr>
        <w:tc>
          <w:tcPr>
            <w:tcW w:w="1260" w:type="dxa"/>
            <w:vAlign w:val="bottom"/>
          </w:tcPr>
          <w:p>
            <w:pPr>
              <w:spacing w:after="0"/>
              <w:rPr>
                <w:sz w:val="22"/>
                <w:szCs w:val="22"/>
                <w:color w:val="auto"/>
              </w:rPr>
            </w:pPr>
          </w:p>
        </w:tc>
        <w:tc>
          <w:tcPr>
            <w:tcW w:w="8220" w:type="dxa"/>
            <w:vAlign w:val="bottom"/>
          </w:tcPr>
          <w:p>
            <w:pPr>
              <w:jc w:val="center"/>
              <w:ind w:left="417"/>
              <w:spacing w:after="0"/>
              <w:rPr>
                <w:sz w:val="20"/>
                <w:szCs w:val="20"/>
                <w:color w:val="auto"/>
              </w:rPr>
            </w:pPr>
            <w:r>
              <w:rPr>
                <w:rFonts w:ascii="Arial" w:cs="Arial" w:eastAsia="Arial" w:hAnsi="Arial"/>
                <w:sz w:val="21"/>
                <w:szCs w:val="21"/>
                <w:color w:val="auto"/>
                <w:w w:val="95"/>
              </w:rPr>
              <w:t>THE COMMITMENTS AND CREDIT EXTENSIONS</w:t>
            </w: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2.01.</w:t>
            </w:r>
          </w:p>
        </w:tc>
        <w:tc>
          <w:tcPr>
            <w:tcW w:w="8220" w:type="dxa"/>
            <w:vAlign w:val="bottom"/>
          </w:tcPr>
          <w:p>
            <w:pPr>
              <w:ind w:left="100"/>
              <w:spacing w:after="0"/>
              <w:rPr>
                <w:sz w:val="20"/>
                <w:szCs w:val="20"/>
                <w:color w:val="auto"/>
              </w:rPr>
            </w:pPr>
            <w:r>
              <w:rPr>
                <w:rFonts w:ascii="Arial" w:cs="Arial" w:eastAsia="Arial" w:hAnsi="Arial"/>
                <w:sz w:val="21"/>
                <w:szCs w:val="21"/>
                <w:color w:val="auto"/>
              </w:rPr>
              <w:t>The Loans</w:t>
            </w:r>
          </w:p>
        </w:tc>
        <w:tc>
          <w:tcPr>
            <w:tcW w:w="1360" w:type="dxa"/>
            <w:vAlign w:val="bottom"/>
          </w:tcPr>
          <w:p>
            <w:pPr>
              <w:ind w:left="1020"/>
              <w:spacing w:after="0"/>
              <w:rPr>
                <w:sz w:val="20"/>
                <w:szCs w:val="20"/>
                <w:color w:val="auto"/>
              </w:rPr>
            </w:pPr>
            <w:r>
              <w:rPr>
                <w:rFonts w:ascii="Arial" w:cs="Arial" w:eastAsia="Arial" w:hAnsi="Arial"/>
                <w:sz w:val="21"/>
                <w:szCs w:val="21"/>
                <w:color w:val="auto"/>
              </w:rPr>
              <w:t>88</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2.02.  Borrowings, Conversions and Continuations of Loans</w:t>
            </w:r>
          </w:p>
        </w:tc>
        <w:tc>
          <w:tcPr>
            <w:tcW w:w="1360" w:type="dxa"/>
            <w:vAlign w:val="bottom"/>
          </w:tcPr>
          <w:p>
            <w:pPr>
              <w:ind w:left="1020"/>
              <w:spacing w:after="0"/>
              <w:rPr>
                <w:sz w:val="20"/>
                <w:szCs w:val="20"/>
                <w:color w:val="auto"/>
              </w:rPr>
            </w:pPr>
            <w:r>
              <w:rPr>
                <w:rFonts w:ascii="Arial" w:cs="Arial" w:eastAsia="Arial" w:hAnsi="Arial"/>
                <w:sz w:val="21"/>
                <w:szCs w:val="21"/>
                <w:color w:val="auto"/>
              </w:rPr>
              <w:t>89</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2.03.  Letters of Credit</w:t>
            </w:r>
          </w:p>
        </w:tc>
        <w:tc>
          <w:tcPr>
            <w:tcW w:w="1360" w:type="dxa"/>
            <w:vAlign w:val="bottom"/>
          </w:tcPr>
          <w:p>
            <w:pPr>
              <w:ind w:left="1020"/>
              <w:spacing w:after="0"/>
              <w:rPr>
                <w:sz w:val="20"/>
                <w:szCs w:val="20"/>
                <w:color w:val="auto"/>
              </w:rPr>
            </w:pPr>
            <w:r>
              <w:rPr>
                <w:rFonts w:ascii="Arial" w:cs="Arial" w:eastAsia="Arial" w:hAnsi="Arial"/>
                <w:sz w:val="21"/>
                <w:szCs w:val="21"/>
                <w:color w:val="auto"/>
              </w:rPr>
              <w:t>91</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2.04.  Swing Line Loans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103</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2.05.</w:t>
            </w:r>
          </w:p>
        </w:tc>
        <w:tc>
          <w:tcPr>
            <w:tcW w:w="8220" w:type="dxa"/>
            <w:vAlign w:val="bottom"/>
          </w:tcPr>
          <w:p>
            <w:pPr>
              <w:ind w:left="100"/>
              <w:spacing w:after="0"/>
              <w:rPr>
                <w:sz w:val="20"/>
                <w:szCs w:val="20"/>
                <w:color w:val="auto"/>
              </w:rPr>
            </w:pPr>
            <w:r>
              <w:rPr>
                <w:rFonts w:ascii="Arial" w:cs="Arial" w:eastAsia="Arial" w:hAnsi="Arial"/>
                <w:sz w:val="21"/>
                <w:szCs w:val="21"/>
                <w:color w:val="auto"/>
              </w:rPr>
              <w:t>Prepayments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107</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2.06.  Termination or Reduction of Commitments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120</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2.07.  Repayment of Loans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121</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2.08.</w:t>
            </w:r>
          </w:p>
        </w:tc>
        <w:tc>
          <w:tcPr>
            <w:tcW w:w="8220" w:type="dxa"/>
            <w:vAlign w:val="bottom"/>
          </w:tcPr>
          <w:p>
            <w:pPr>
              <w:ind w:left="100"/>
              <w:spacing w:after="0"/>
              <w:rPr>
                <w:sz w:val="20"/>
                <w:szCs w:val="20"/>
                <w:color w:val="auto"/>
              </w:rPr>
            </w:pPr>
            <w:r>
              <w:rPr>
                <w:rFonts w:ascii="Arial" w:cs="Arial" w:eastAsia="Arial" w:hAnsi="Arial"/>
                <w:sz w:val="21"/>
                <w:szCs w:val="21"/>
                <w:color w:val="auto"/>
              </w:rPr>
              <w:t>Interest</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122</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2.09.</w:t>
            </w:r>
          </w:p>
        </w:tc>
        <w:tc>
          <w:tcPr>
            <w:tcW w:w="8220" w:type="dxa"/>
            <w:vAlign w:val="bottom"/>
          </w:tcPr>
          <w:p>
            <w:pPr>
              <w:ind w:left="100"/>
              <w:spacing w:after="0"/>
              <w:rPr>
                <w:sz w:val="20"/>
                <w:szCs w:val="20"/>
                <w:color w:val="auto"/>
              </w:rPr>
            </w:pPr>
            <w:r>
              <w:rPr>
                <w:rFonts w:ascii="Arial" w:cs="Arial" w:eastAsia="Arial" w:hAnsi="Arial"/>
                <w:sz w:val="21"/>
                <w:szCs w:val="21"/>
                <w:color w:val="auto"/>
              </w:rPr>
              <w:t>Fees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123</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2.10.  Computation of Interest and Fees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123</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2.11.  Evidence of Indebtedness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124</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2.12.</w:t>
            </w:r>
          </w:p>
        </w:tc>
        <w:tc>
          <w:tcPr>
            <w:tcW w:w="8220" w:type="dxa"/>
            <w:vAlign w:val="bottom"/>
          </w:tcPr>
          <w:p>
            <w:pPr>
              <w:ind w:left="100"/>
              <w:spacing w:after="0"/>
              <w:rPr>
                <w:sz w:val="20"/>
                <w:szCs w:val="20"/>
                <w:color w:val="auto"/>
              </w:rPr>
            </w:pPr>
            <w:r>
              <w:rPr>
                <w:rFonts w:ascii="Arial" w:cs="Arial" w:eastAsia="Arial" w:hAnsi="Arial"/>
                <w:sz w:val="21"/>
                <w:szCs w:val="21"/>
                <w:color w:val="auto"/>
              </w:rPr>
              <w:t>Payments Generally</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124</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2.13.  Sharing of Payments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127</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2.14.  Incremental Credit Extensions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128</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2.15.</w:t>
            </w:r>
          </w:p>
        </w:tc>
        <w:tc>
          <w:tcPr>
            <w:tcW w:w="8220" w:type="dxa"/>
            <w:vAlign w:val="bottom"/>
          </w:tcPr>
          <w:p>
            <w:pPr>
              <w:ind w:left="100"/>
              <w:spacing w:after="0"/>
              <w:rPr>
                <w:sz w:val="20"/>
                <w:szCs w:val="20"/>
                <w:color w:val="auto"/>
              </w:rPr>
            </w:pPr>
            <w:r>
              <w:rPr>
                <w:rFonts w:ascii="Arial" w:cs="Arial" w:eastAsia="Arial" w:hAnsi="Arial"/>
                <w:sz w:val="21"/>
                <w:szCs w:val="21"/>
                <w:color w:val="auto"/>
              </w:rPr>
              <w:t>Refinancing Amendments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135</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2.16.  Extension of Term Loans; Extension of Revolving Credit Loans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137</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2.17.</w:t>
            </w:r>
          </w:p>
        </w:tc>
        <w:tc>
          <w:tcPr>
            <w:tcW w:w="8220" w:type="dxa"/>
            <w:vAlign w:val="bottom"/>
          </w:tcPr>
          <w:p>
            <w:pPr>
              <w:ind w:left="100"/>
              <w:spacing w:after="0"/>
              <w:rPr>
                <w:sz w:val="20"/>
                <w:szCs w:val="20"/>
                <w:color w:val="auto"/>
              </w:rPr>
            </w:pPr>
            <w:r>
              <w:rPr>
                <w:rFonts w:ascii="Arial" w:cs="Arial" w:eastAsia="Arial" w:hAnsi="Arial"/>
                <w:sz w:val="21"/>
                <w:szCs w:val="21"/>
                <w:color w:val="auto"/>
              </w:rPr>
              <w:t>Defaulting Lenders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141</w:t>
            </w:r>
          </w:p>
        </w:tc>
        <w:tc>
          <w:tcPr>
            <w:tcW w:w="400" w:type="dxa"/>
            <w:vAlign w:val="bottom"/>
          </w:tcPr>
          <w:p>
            <w:pPr>
              <w:spacing w:after="0"/>
              <w:rPr>
                <w:sz w:val="22"/>
                <w:szCs w:val="22"/>
                <w:color w:val="auto"/>
              </w:rPr>
            </w:pPr>
          </w:p>
        </w:tc>
      </w:tr>
      <w:tr>
        <w:trPr>
          <w:trHeight w:val="206"/>
        </w:trPr>
        <w:tc>
          <w:tcPr>
            <w:tcW w:w="1260" w:type="dxa"/>
            <w:vAlign w:val="bottom"/>
          </w:tcPr>
          <w:p>
            <w:pPr>
              <w:spacing w:after="0"/>
              <w:rPr>
                <w:sz w:val="17"/>
                <w:szCs w:val="17"/>
                <w:color w:val="auto"/>
              </w:rPr>
            </w:pPr>
          </w:p>
        </w:tc>
        <w:tc>
          <w:tcPr>
            <w:tcW w:w="8220" w:type="dxa"/>
            <w:vAlign w:val="bottom"/>
          </w:tcPr>
          <w:p>
            <w:pPr>
              <w:jc w:val="center"/>
              <w:ind w:left="417"/>
              <w:spacing w:after="0" w:line="207" w:lineRule="exact"/>
              <w:rPr>
                <w:sz w:val="20"/>
                <w:szCs w:val="20"/>
                <w:color w:val="auto"/>
              </w:rPr>
            </w:pPr>
            <w:r>
              <w:rPr>
                <w:rFonts w:ascii="Arial" w:cs="Arial" w:eastAsia="Arial" w:hAnsi="Arial"/>
                <w:sz w:val="21"/>
                <w:szCs w:val="21"/>
                <w:color w:val="auto"/>
                <w:w w:val="96"/>
              </w:rPr>
              <w:t>ARTICLE 3</w:t>
            </w: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8"/>
        </w:trPr>
        <w:tc>
          <w:tcPr>
            <w:tcW w:w="1260" w:type="dxa"/>
            <w:vAlign w:val="bottom"/>
          </w:tcPr>
          <w:p>
            <w:pPr>
              <w:spacing w:after="0"/>
              <w:rPr>
                <w:sz w:val="22"/>
                <w:szCs w:val="22"/>
                <w:color w:val="auto"/>
              </w:rPr>
            </w:pPr>
          </w:p>
        </w:tc>
        <w:tc>
          <w:tcPr>
            <w:tcW w:w="8220" w:type="dxa"/>
            <w:vAlign w:val="bottom"/>
          </w:tcPr>
          <w:p>
            <w:pPr>
              <w:jc w:val="center"/>
              <w:ind w:left="417"/>
              <w:spacing w:after="0"/>
              <w:rPr>
                <w:sz w:val="20"/>
                <w:szCs w:val="20"/>
                <w:color w:val="auto"/>
              </w:rPr>
            </w:pPr>
            <w:r>
              <w:rPr>
                <w:rFonts w:ascii="Arial" w:cs="Arial" w:eastAsia="Arial" w:hAnsi="Arial"/>
                <w:sz w:val="21"/>
                <w:szCs w:val="21"/>
                <w:color w:val="auto"/>
                <w:w w:val="95"/>
              </w:rPr>
              <w:t>TAXES, INCREASED COSTS PROTECTION AND ILLEGALITY</w:t>
            </w: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3.01.</w:t>
            </w:r>
          </w:p>
        </w:tc>
        <w:tc>
          <w:tcPr>
            <w:tcW w:w="8220" w:type="dxa"/>
            <w:vAlign w:val="bottom"/>
          </w:tcPr>
          <w:p>
            <w:pPr>
              <w:ind w:left="100"/>
              <w:spacing w:after="0"/>
              <w:rPr>
                <w:sz w:val="20"/>
                <w:szCs w:val="20"/>
                <w:color w:val="auto"/>
              </w:rPr>
            </w:pPr>
            <w:r>
              <w:rPr>
                <w:rFonts w:ascii="Arial" w:cs="Arial" w:eastAsia="Arial" w:hAnsi="Arial"/>
                <w:sz w:val="21"/>
                <w:szCs w:val="21"/>
                <w:color w:val="auto"/>
              </w:rPr>
              <w:t>Taxes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143</w:t>
            </w:r>
          </w:p>
        </w:tc>
        <w:tc>
          <w:tcPr>
            <w:tcW w:w="400" w:type="dxa"/>
            <w:vAlign w:val="bottom"/>
          </w:tcPr>
          <w:p>
            <w:pPr>
              <w:spacing w:after="0"/>
              <w:rPr>
                <w:sz w:val="22"/>
                <w:szCs w:val="22"/>
                <w:color w:val="auto"/>
              </w:rPr>
            </w:pPr>
          </w:p>
        </w:tc>
      </w:tr>
      <w:tr>
        <w:trPr>
          <w:trHeight w:val="258"/>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3.02.</w:t>
            </w:r>
          </w:p>
        </w:tc>
        <w:tc>
          <w:tcPr>
            <w:tcW w:w="8220" w:type="dxa"/>
            <w:vAlign w:val="bottom"/>
          </w:tcPr>
          <w:p>
            <w:pPr>
              <w:ind w:left="100"/>
              <w:spacing w:after="0"/>
              <w:rPr>
                <w:sz w:val="20"/>
                <w:szCs w:val="20"/>
                <w:color w:val="auto"/>
              </w:rPr>
            </w:pPr>
            <w:r>
              <w:rPr>
                <w:rFonts w:ascii="Arial" w:cs="Arial" w:eastAsia="Arial" w:hAnsi="Arial"/>
                <w:sz w:val="21"/>
                <w:szCs w:val="21"/>
                <w:color w:val="auto"/>
              </w:rPr>
              <w:t>Illegality</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147</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3.03.  Inability to Determine Rates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147</w:t>
            </w:r>
          </w:p>
        </w:tc>
        <w:tc>
          <w:tcPr>
            <w:tcW w:w="400" w:type="dxa"/>
            <w:vAlign w:val="bottom"/>
          </w:tcPr>
          <w:p>
            <w:pPr>
              <w:spacing w:after="0"/>
              <w:rPr>
                <w:sz w:val="22"/>
                <w:szCs w:val="22"/>
                <w:color w:val="auto"/>
              </w:rPr>
            </w:pPr>
          </w:p>
        </w:tc>
      </w:tr>
      <w:tr>
        <w:trPr>
          <w:trHeight w:val="258"/>
        </w:trPr>
        <w:tc>
          <w:tcPr>
            <w:tcW w:w="9480" w:type="dxa"/>
            <w:vAlign w:val="bottom"/>
            <w:gridSpan w:val="2"/>
          </w:tcPr>
          <w:p>
            <w:pPr>
              <w:ind w:left="60"/>
              <w:spacing w:after="0"/>
              <w:rPr>
                <w:sz w:val="20"/>
                <w:szCs w:val="20"/>
                <w:color w:val="auto"/>
              </w:rPr>
            </w:pPr>
            <w:r>
              <w:rPr>
                <w:rFonts w:ascii="Arial" w:cs="Arial" w:eastAsia="Arial" w:hAnsi="Arial"/>
                <w:sz w:val="21"/>
                <w:szCs w:val="21"/>
                <w:color w:val="auto"/>
              </w:rPr>
              <w:t>Section 3.04.  Increased Cost and Reduced Return; Capital Adequacy; Reserves on Loans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148</w:t>
            </w:r>
          </w:p>
        </w:tc>
        <w:tc>
          <w:tcPr>
            <w:tcW w:w="400" w:type="dxa"/>
            <w:vAlign w:val="bottom"/>
          </w:tcPr>
          <w:p>
            <w:pPr>
              <w:spacing w:after="0"/>
              <w:rPr>
                <w:sz w:val="22"/>
                <w:szCs w:val="22"/>
                <w:color w:val="auto"/>
              </w:rPr>
            </w:pPr>
          </w:p>
        </w:tc>
      </w:tr>
      <w:tr>
        <w:trPr>
          <w:trHeight w:val="264"/>
        </w:trPr>
        <w:tc>
          <w:tcPr>
            <w:tcW w:w="1260" w:type="dxa"/>
            <w:vAlign w:val="bottom"/>
          </w:tcPr>
          <w:p>
            <w:pPr>
              <w:ind w:left="60"/>
              <w:spacing w:after="0"/>
              <w:rPr>
                <w:sz w:val="20"/>
                <w:szCs w:val="20"/>
                <w:color w:val="auto"/>
              </w:rPr>
            </w:pPr>
            <w:r>
              <w:rPr>
                <w:rFonts w:ascii="Arial" w:cs="Arial" w:eastAsia="Arial" w:hAnsi="Arial"/>
                <w:sz w:val="21"/>
                <w:szCs w:val="21"/>
                <w:color w:val="auto"/>
                <w:w w:val="96"/>
              </w:rPr>
              <w:t>Section 3.05.</w:t>
            </w:r>
          </w:p>
        </w:tc>
        <w:tc>
          <w:tcPr>
            <w:tcW w:w="8220" w:type="dxa"/>
            <w:vAlign w:val="bottom"/>
          </w:tcPr>
          <w:p>
            <w:pPr>
              <w:ind w:left="100"/>
              <w:spacing w:after="0"/>
              <w:rPr>
                <w:sz w:val="20"/>
                <w:szCs w:val="20"/>
                <w:color w:val="auto"/>
              </w:rPr>
            </w:pPr>
            <w:r>
              <w:rPr>
                <w:rFonts w:ascii="Arial" w:cs="Arial" w:eastAsia="Arial" w:hAnsi="Arial"/>
                <w:sz w:val="21"/>
                <w:szCs w:val="21"/>
                <w:color w:val="auto"/>
              </w:rPr>
              <w:t>Funding Losses</w:t>
            </w:r>
          </w:p>
        </w:tc>
        <w:tc>
          <w:tcPr>
            <w:tcW w:w="1360" w:type="dxa"/>
            <w:vAlign w:val="bottom"/>
          </w:tcPr>
          <w:p>
            <w:pPr>
              <w:ind w:left="1020"/>
              <w:spacing w:after="0"/>
              <w:rPr>
                <w:sz w:val="20"/>
                <w:szCs w:val="20"/>
                <w:color w:val="auto"/>
              </w:rPr>
            </w:pPr>
            <w:r>
              <w:rPr>
                <w:rFonts w:ascii="Arial" w:cs="Arial" w:eastAsia="Arial" w:hAnsi="Arial"/>
                <w:sz w:val="21"/>
                <w:szCs w:val="21"/>
                <w:color w:val="auto"/>
                <w:w w:val="91"/>
              </w:rPr>
              <w:t>149</w:t>
            </w:r>
          </w:p>
        </w:tc>
        <w:tc>
          <w:tcPr>
            <w:tcW w:w="4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240"/>
          </w:cols>
          <w:pgMar w:left="320" w:top="133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3.06.  Matters Applicable to All Requests for Compensation</w:t>
            </w:r>
          </w:p>
        </w:tc>
        <w:tc>
          <w:tcPr>
            <w:tcW w:w="1500" w:type="dxa"/>
            <w:vAlign w:val="bottom"/>
          </w:tcPr>
          <w:p>
            <w:pPr>
              <w:jc w:val="right"/>
              <w:spacing w:after="0"/>
              <w:rPr>
                <w:sz w:val="20"/>
                <w:szCs w:val="20"/>
                <w:color w:val="auto"/>
              </w:rPr>
            </w:pPr>
            <w:r>
              <w:rPr>
                <w:rFonts w:ascii="Arial" w:cs="Arial" w:eastAsia="Arial" w:hAnsi="Arial"/>
                <w:sz w:val="21"/>
                <w:szCs w:val="21"/>
                <w:color w:val="auto"/>
              </w:rPr>
              <w:t>150</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3.07.  Replacement of Lenders under Certain Circumstances</w:t>
            </w:r>
          </w:p>
        </w:tc>
        <w:tc>
          <w:tcPr>
            <w:tcW w:w="1500" w:type="dxa"/>
            <w:vAlign w:val="bottom"/>
          </w:tcPr>
          <w:p>
            <w:pPr>
              <w:jc w:val="right"/>
              <w:spacing w:after="0"/>
              <w:rPr>
                <w:sz w:val="20"/>
                <w:szCs w:val="20"/>
                <w:color w:val="auto"/>
              </w:rPr>
            </w:pPr>
            <w:r>
              <w:rPr>
                <w:rFonts w:ascii="Arial" w:cs="Arial" w:eastAsia="Arial" w:hAnsi="Arial"/>
                <w:sz w:val="21"/>
                <w:szCs w:val="21"/>
                <w:color w:val="auto"/>
              </w:rPr>
              <w:t>151</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3.08.</w:t>
            </w:r>
          </w:p>
        </w:tc>
        <w:tc>
          <w:tcPr>
            <w:tcW w:w="8040" w:type="dxa"/>
            <w:vAlign w:val="bottom"/>
          </w:tcPr>
          <w:p>
            <w:pPr>
              <w:ind w:left="100"/>
              <w:spacing w:after="0"/>
              <w:rPr>
                <w:sz w:val="20"/>
                <w:szCs w:val="20"/>
                <w:color w:val="auto"/>
              </w:rPr>
            </w:pPr>
            <w:r>
              <w:rPr>
                <w:rFonts w:ascii="Arial" w:cs="Arial" w:eastAsia="Arial" w:hAnsi="Arial"/>
                <w:sz w:val="21"/>
                <w:szCs w:val="21"/>
                <w:color w:val="auto"/>
              </w:rPr>
              <w:t>Survival</w:t>
            </w:r>
          </w:p>
        </w:tc>
        <w:tc>
          <w:tcPr>
            <w:tcW w:w="1500" w:type="dxa"/>
            <w:vAlign w:val="bottom"/>
          </w:tcPr>
          <w:p>
            <w:pPr>
              <w:jc w:val="right"/>
              <w:spacing w:after="0"/>
              <w:rPr>
                <w:sz w:val="20"/>
                <w:szCs w:val="20"/>
                <w:color w:val="auto"/>
              </w:rPr>
            </w:pPr>
            <w:r>
              <w:rPr>
                <w:rFonts w:ascii="Arial" w:cs="Arial" w:eastAsia="Arial" w:hAnsi="Arial"/>
                <w:sz w:val="21"/>
                <w:szCs w:val="21"/>
                <w:color w:val="auto"/>
              </w:rPr>
              <w:t>153</w:t>
            </w:r>
          </w:p>
        </w:tc>
      </w:tr>
      <w:tr>
        <w:trPr>
          <w:trHeight w:val="206"/>
        </w:trPr>
        <w:tc>
          <w:tcPr>
            <w:tcW w:w="1200" w:type="dxa"/>
            <w:vAlign w:val="bottom"/>
          </w:tcPr>
          <w:p>
            <w:pPr>
              <w:spacing w:after="0"/>
              <w:rPr>
                <w:sz w:val="17"/>
                <w:szCs w:val="17"/>
                <w:color w:val="auto"/>
              </w:rPr>
            </w:pPr>
          </w:p>
        </w:tc>
        <w:tc>
          <w:tcPr>
            <w:tcW w:w="8040" w:type="dxa"/>
            <w:vAlign w:val="bottom"/>
          </w:tcPr>
          <w:p>
            <w:pPr>
              <w:jc w:val="center"/>
              <w:ind w:left="597"/>
              <w:spacing w:after="0" w:line="207" w:lineRule="exact"/>
              <w:rPr>
                <w:sz w:val="20"/>
                <w:szCs w:val="20"/>
                <w:color w:val="auto"/>
              </w:rPr>
            </w:pPr>
            <w:r>
              <w:rPr>
                <w:rFonts w:ascii="Arial" w:cs="Arial" w:eastAsia="Arial" w:hAnsi="Arial"/>
                <w:sz w:val="21"/>
                <w:szCs w:val="21"/>
                <w:color w:val="auto"/>
                <w:w w:val="96"/>
              </w:rPr>
              <w:t>ARTICLE 4</w:t>
            </w:r>
          </w:p>
        </w:tc>
        <w:tc>
          <w:tcPr>
            <w:tcW w:w="1500" w:type="dxa"/>
            <w:vAlign w:val="bottom"/>
          </w:tcPr>
          <w:p>
            <w:pPr>
              <w:spacing w:after="0"/>
              <w:rPr>
                <w:sz w:val="17"/>
                <w:szCs w:val="17"/>
                <w:color w:val="auto"/>
              </w:rPr>
            </w:pPr>
          </w:p>
        </w:tc>
      </w:tr>
      <w:tr>
        <w:trPr>
          <w:trHeight w:val="258"/>
        </w:trPr>
        <w:tc>
          <w:tcPr>
            <w:tcW w:w="1200" w:type="dxa"/>
            <w:vAlign w:val="bottom"/>
          </w:tcPr>
          <w:p>
            <w:pPr>
              <w:spacing w:after="0"/>
              <w:rPr>
                <w:sz w:val="22"/>
                <w:szCs w:val="22"/>
                <w:color w:val="auto"/>
              </w:rPr>
            </w:pPr>
          </w:p>
        </w:tc>
        <w:tc>
          <w:tcPr>
            <w:tcW w:w="8040" w:type="dxa"/>
            <w:vAlign w:val="bottom"/>
          </w:tcPr>
          <w:p>
            <w:pPr>
              <w:jc w:val="center"/>
              <w:ind w:left="597"/>
              <w:spacing w:after="0"/>
              <w:rPr>
                <w:sz w:val="20"/>
                <w:szCs w:val="20"/>
                <w:color w:val="auto"/>
              </w:rPr>
            </w:pPr>
            <w:r>
              <w:rPr>
                <w:rFonts w:ascii="Arial" w:cs="Arial" w:eastAsia="Arial" w:hAnsi="Arial"/>
                <w:sz w:val="21"/>
                <w:szCs w:val="21"/>
                <w:color w:val="auto"/>
                <w:w w:val="93"/>
              </w:rPr>
              <w:t>CONDITIONS PRECEDENT TO CREDIT EXTENSIONS</w:t>
            </w:r>
          </w:p>
        </w:tc>
        <w:tc>
          <w:tcPr>
            <w:tcW w:w="1500" w:type="dxa"/>
            <w:vAlign w:val="bottom"/>
          </w:tcPr>
          <w:p>
            <w:pPr>
              <w:spacing w:after="0"/>
              <w:rPr>
                <w:sz w:val="22"/>
                <w:szCs w:val="22"/>
                <w:color w:val="auto"/>
              </w:rPr>
            </w:pP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4.01.  Conditions to Initial Credit Extension</w:t>
            </w:r>
          </w:p>
        </w:tc>
        <w:tc>
          <w:tcPr>
            <w:tcW w:w="1500" w:type="dxa"/>
            <w:vAlign w:val="bottom"/>
          </w:tcPr>
          <w:p>
            <w:pPr>
              <w:jc w:val="right"/>
              <w:spacing w:after="0"/>
              <w:rPr>
                <w:sz w:val="20"/>
                <w:szCs w:val="20"/>
                <w:color w:val="auto"/>
              </w:rPr>
            </w:pPr>
            <w:r>
              <w:rPr>
                <w:rFonts w:ascii="Arial" w:cs="Arial" w:eastAsia="Arial" w:hAnsi="Arial"/>
                <w:sz w:val="21"/>
                <w:szCs w:val="21"/>
                <w:color w:val="auto"/>
              </w:rPr>
              <w:t>153</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4.02.  Conditions to All Credit Extensions</w:t>
            </w:r>
          </w:p>
        </w:tc>
        <w:tc>
          <w:tcPr>
            <w:tcW w:w="1500" w:type="dxa"/>
            <w:vAlign w:val="bottom"/>
          </w:tcPr>
          <w:p>
            <w:pPr>
              <w:jc w:val="right"/>
              <w:spacing w:after="0"/>
              <w:rPr>
                <w:sz w:val="20"/>
                <w:szCs w:val="20"/>
                <w:color w:val="auto"/>
              </w:rPr>
            </w:pPr>
            <w:r>
              <w:rPr>
                <w:rFonts w:ascii="Arial" w:cs="Arial" w:eastAsia="Arial" w:hAnsi="Arial"/>
                <w:sz w:val="21"/>
                <w:szCs w:val="21"/>
                <w:color w:val="auto"/>
              </w:rPr>
              <w:t>155</w:t>
            </w:r>
          </w:p>
        </w:tc>
      </w:tr>
      <w:tr>
        <w:trPr>
          <w:trHeight w:val="206"/>
        </w:trPr>
        <w:tc>
          <w:tcPr>
            <w:tcW w:w="1200" w:type="dxa"/>
            <w:vAlign w:val="bottom"/>
          </w:tcPr>
          <w:p>
            <w:pPr>
              <w:spacing w:after="0"/>
              <w:rPr>
                <w:sz w:val="17"/>
                <w:szCs w:val="17"/>
                <w:color w:val="auto"/>
              </w:rPr>
            </w:pPr>
          </w:p>
        </w:tc>
        <w:tc>
          <w:tcPr>
            <w:tcW w:w="8040" w:type="dxa"/>
            <w:vAlign w:val="bottom"/>
          </w:tcPr>
          <w:p>
            <w:pPr>
              <w:jc w:val="center"/>
              <w:ind w:left="597"/>
              <w:spacing w:after="0" w:line="207" w:lineRule="exact"/>
              <w:rPr>
                <w:sz w:val="20"/>
                <w:szCs w:val="20"/>
                <w:color w:val="auto"/>
              </w:rPr>
            </w:pPr>
            <w:r>
              <w:rPr>
                <w:rFonts w:ascii="Arial" w:cs="Arial" w:eastAsia="Arial" w:hAnsi="Arial"/>
                <w:sz w:val="21"/>
                <w:szCs w:val="21"/>
                <w:color w:val="auto"/>
                <w:w w:val="96"/>
              </w:rPr>
              <w:t>ARTICLE 5</w:t>
            </w:r>
          </w:p>
        </w:tc>
        <w:tc>
          <w:tcPr>
            <w:tcW w:w="1500" w:type="dxa"/>
            <w:vAlign w:val="bottom"/>
          </w:tcPr>
          <w:p>
            <w:pPr>
              <w:spacing w:after="0"/>
              <w:rPr>
                <w:sz w:val="17"/>
                <w:szCs w:val="17"/>
                <w:color w:val="auto"/>
              </w:rPr>
            </w:pPr>
          </w:p>
        </w:tc>
      </w:tr>
      <w:tr>
        <w:trPr>
          <w:trHeight w:val="258"/>
        </w:trPr>
        <w:tc>
          <w:tcPr>
            <w:tcW w:w="1200" w:type="dxa"/>
            <w:vAlign w:val="bottom"/>
          </w:tcPr>
          <w:p>
            <w:pPr>
              <w:spacing w:after="0"/>
              <w:rPr>
                <w:sz w:val="22"/>
                <w:szCs w:val="22"/>
                <w:color w:val="auto"/>
              </w:rPr>
            </w:pPr>
          </w:p>
        </w:tc>
        <w:tc>
          <w:tcPr>
            <w:tcW w:w="8040" w:type="dxa"/>
            <w:vAlign w:val="bottom"/>
          </w:tcPr>
          <w:p>
            <w:pPr>
              <w:jc w:val="center"/>
              <w:ind w:left="577"/>
              <w:spacing w:after="0"/>
              <w:rPr>
                <w:sz w:val="20"/>
                <w:szCs w:val="20"/>
                <w:color w:val="auto"/>
              </w:rPr>
            </w:pPr>
            <w:r>
              <w:rPr>
                <w:rFonts w:ascii="Arial" w:cs="Arial" w:eastAsia="Arial" w:hAnsi="Arial"/>
                <w:sz w:val="21"/>
                <w:szCs w:val="21"/>
                <w:color w:val="auto"/>
                <w:w w:val="93"/>
              </w:rPr>
              <w:t>REPRESENTATIONS AND WARRANTIES</w:t>
            </w:r>
          </w:p>
        </w:tc>
        <w:tc>
          <w:tcPr>
            <w:tcW w:w="1500" w:type="dxa"/>
            <w:vAlign w:val="bottom"/>
          </w:tcPr>
          <w:p>
            <w:pPr>
              <w:spacing w:after="0"/>
              <w:rPr>
                <w:sz w:val="22"/>
                <w:szCs w:val="22"/>
                <w:color w:val="auto"/>
              </w:rPr>
            </w:pP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5.01.  Existence, Qualification and Power; Compliance with Laws</w:t>
            </w:r>
          </w:p>
        </w:tc>
        <w:tc>
          <w:tcPr>
            <w:tcW w:w="1500" w:type="dxa"/>
            <w:vAlign w:val="bottom"/>
          </w:tcPr>
          <w:p>
            <w:pPr>
              <w:jc w:val="right"/>
              <w:spacing w:after="0"/>
              <w:rPr>
                <w:sz w:val="20"/>
                <w:szCs w:val="20"/>
                <w:color w:val="auto"/>
              </w:rPr>
            </w:pPr>
            <w:r>
              <w:rPr>
                <w:rFonts w:ascii="Arial" w:cs="Arial" w:eastAsia="Arial" w:hAnsi="Arial"/>
                <w:sz w:val="21"/>
                <w:szCs w:val="21"/>
                <w:color w:val="auto"/>
              </w:rPr>
              <w:t>156</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5.02.  Authorization; No Contravention</w:t>
            </w:r>
          </w:p>
        </w:tc>
        <w:tc>
          <w:tcPr>
            <w:tcW w:w="1500" w:type="dxa"/>
            <w:vAlign w:val="bottom"/>
          </w:tcPr>
          <w:p>
            <w:pPr>
              <w:jc w:val="right"/>
              <w:spacing w:after="0"/>
              <w:rPr>
                <w:sz w:val="20"/>
                <w:szCs w:val="20"/>
                <w:color w:val="auto"/>
              </w:rPr>
            </w:pPr>
            <w:r>
              <w:rPr>
                <w:rFonts w:ascii="Arial" w:cs="Arial" w:eastAsia="Arial" w:hAnsi="Arial"/>
                <w:sz w:val="21"/>
                <w:szCs w:val="21"/>
                <w:color w:val="auto"/>
              </w:rPr>
              <w:t>156</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5.03.  Governmental Authorization; Other Consents</w:t>
            </w:r>
          </w:p>
        </w:tc>
        <w:tc>
          <w:tcPr>
            <w:tcW w:w="1500" w:type="dxa"/>
            <w:vAlign w:val="bottom"/>
          </w:tcPr>
          <w:p>
            <w:pPr>
              <w:jc w:val="right"/>
              <w:spacing w:after="0"/>
              <w:rPr>
                <w:sz w:val="20"/>
                <w:szCs w:val="20"/>
                <w:color w:val="auto"/>
              </w:rPr>
            </w:pPr>
            <w:r>
              <w:rPr>
                <w:rFonts w:ascii="Arial" w:cs="Arial" w:eastAsia="Arial" w:hAnsi="Arial"/>
                <w:sz w:val="21"/>
                <w:szCs w:val="21"/>
                <w:color w:val="auto"/>
              </w:rPr>
              <w:t>156</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5.04.  Execution, Delivery and Enforceability</w:t>
            </w:r>
          </w:p>
        </w:tc>
        <w:tc>
          <w:tcPr>
            <w:tcW w:w="1500" w:type="dxa"/>
            <w:vAlign w:val="bottom"/>
          </w:tcPr>
          <w:p>
            <w:pPr>
              <w:jc w:val="right"/>
              <w:spacing w:after="0"/>
              <w:rPr>
                <w:sz w:val="20"/>
                <w:szCs w:val="20"/>
                <w:color w:val="auto"/>
              </w:rPr>
            </w:pPr>
            <w:r>
              <w:rPr>
                <w:rFonts w:ascii="Arial" w:cs="Arial" w:eastAsia="Arial" w:hAnsi="Arial"/>
                <w:sz w:val="21"/>
                <w:szCs w:val="21"/>
                <w:color w:val="auto"/>
              </w:rPr>
              <w:t>157</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5.05.  Financial Statements; No Material Adverse Effect</w:t>
            </w:r>
          </w:p>
        </w:tc>
        <w:tc>
          <w:tcPr>
            <w:tcW w:w="1500" w:type="dxa"/>
            <w:vAlign w:val="bottom"/>
          </w:tcPr>
          <w:p>
            <w:pPr>
              <w:jc w:val="right"/>
              <w:spacing w:after="0"/>
              <w:rPr>
                <w:sz w:val="20"/>
                <w:szCs w:val="20"/>
                <w:color w:val="auto"/>
              </w:rPr>
            </w:pPr>
            <w:r>
              <w:rPr>
                <w:rFonts w:ascii="Arial" w:cs="Arial" w:eastAsia="Arial" w:hAnsi="Arial"/>
                <w:sz w:val="21"/>
                <w:szCs w:val="21"/>
                <w:color w:val="auto"/>
              </w:rPr>
              <w:t>157</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5.06.</w:t>
            </w:r>
          </w:p>
        </w:tc>
        <w:tc>
          <w:tcPr>
            <w:tcW w:w="8040" w:type="dxa"/>
            <w:vAlign w:val="bottom"/>
          </w:tcPr>
          <w:p>
            <w:pPr>
              <w:ind w:left="100"/>
              <w:spacing w:after="0"/>
              <w:rPr>
                <w:sz w:val="20"/>
                <w:szCs w:val="20"/>
                <w:color w:val="auto"/>
              </w:rPr>
            </w:pPr>
            <w:r>
              <w:rPr>
                <w:rFonts w:ascii="Arial" w:cs="Arial" w:eastAsia="Arial" w:hAnsi="Arial"/>
                <w:sz w:val="21"/>
                <w:szCs w:val="21"/>
                <w:color w:val="auto"/>
              </w:rPr>
              <w:t>Litigation</w:t>
            </w:r>
          </w:p>
        </w:tc>
        <w:tc>
          <w:tcPr>
            <w:tcW w:w="1500" w:type="dxa"/>
            <w:vAlign w:val="bottom"/>
          </w:tcPr>
          <w:p>
            <w:pPr>
              <w:jc w:val="right"/>
              <w:spacing w:after="0"/>
              <w:rPr>
                <w:sz w:val="20"/>
                <w:szCs w:val="20"/>
                <w:color w:val="auto"/>
              </w:rPr>
            </w:pPr>
            <w:r>
              <w:rPr>
                <w:rFonts w:ascii="Arial" w:cs="Arial" w:eastAsia="Arial" w:hAnsi="Arial"/>
                <w:sz w:val="21"/>
                <w:szCs w:val="21"/>
                <w:color w:val="auto"/>
              </w:rPr>
              <w:t>157</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5.07.  Ownership of Property; Liens; Real Property</w:t>
            </w:r>
          </w:p>
        </w:tc>
        <w:tc>
          <w:tcPr>
            <w:tcW w:w="1500" w:type="dxa"/>
            <w:vAlign w:val="bottom"/>
          </w:tcPr>
          <w:p>
            <w:pPr>
              <w:jc w:val="right"/>
              <w:spacing w:after="0"/>
              <w:rPr>
                <w:sz w:val="20"/>
                <w:szCs w:val="20"/>
                <w:color w:val="auto"/>
              </w:rPr>
            </w:pPr>
            <w:r>
              <w:rPr>
                <w:rFonts w:ascii="Arial" w:cs="Arial" w:eastAsia="Arial" w:hAnsi="Arial"/>
                <w:sz w:val="21"/>
                <w:szCs w:val="21"/>
                <w:color w:val="auto"/>
              </w:rPr>
              <w:t>158</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5.08.</w:t>
            </w:r>
          </w:p>
        </w:tc>
        <w:tc>
          <w:tcPr>
            <w:tcW w:w="8040" w:type="dxa"/>
            <w:vAlign w:val="bottom"/>
          </w:tcPr>
          <w:p>
            <w:pPr>
              <w:ind w:left="100"/>
              <w:spacing w:after="0"/>
              <w:rPr>
                <w:sz w:val="20"/>
                <w:szCs w:val="20"/>
                <w:color w:val="auto"/>
              </w:rPr>
            </w:pPr>
            <w:r>
              <w:rPr>
                <w:rFonts w:ascii="Arial" w:cs="Arial" w:eastAsia="Arial" w:hAnsi="Arial"/>
                <w:sz w:val="21"/>
                <w:szCs w:val="21"/>
                <w:color w:val="auto"/>
              </w:rPr>
              <w:t>Environmental Matters</w:t>
            </w:r>
          </w:p>
        </w:tc>
        <w:tc>
          <w:tcPr>
            <w:tcW w:w="1500" w:type="dxa"/>
            <w:vAlign w:val="bottom"/>
          </w:tcPr>
          <w:p>
            <w:pPr>
              <w:jc w:val="right"/>
              <w:spacing w:after="0"/>
              <w:rPr>
                <w:sz w:val="20"/>
                <w:szCs w:val="20"/>
                <w:color w:val="auto"/>
              </w:rPr>
            </w:pPr>
            <w:r>
              <w:rPr>
                <w:rFonts w:ascii="Arial" w:cs="Arial" w:eastAsia="Arial" w:hAnsi="Arial"/>
                <w:sz w:val="21"/>
                <w:szCs w:val="21"/>
                <w:color w:val="auto"/>
              </w:rPr>
              <w:t>158</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5.09.</w:t>
            </w:r>
          </w:p>
        </w:tc>
        <w:tc>
          <w:tcPr>
            <w:tcW w:w="8040" w:type="dxa"/>
            <w:vAlign w:val="bottom"/>
          </w:tcPr>
          <w:p>
            <w:pPr>
              <w:ind w:left="100"/>
              <w:spacing w:after="0"/>
              <w:rPr>
                <w:sz w:val="20"/>
                <w:szCs w:val="20"/>
                <w:color w:val="auto"/>
              </w:rPr>
            </w:pPr>
            <w:r>
              <w:rPr>
                <w:rFonts w:ascii="Arial" w:cs="Arial" w:eastAsia="Arial" w:hAnsi="Arial"/>
                <w:sz w:val="21"/>
                <w:szCs w:val="21"/>
                <w:color w:val="auto"/>
              </w:rPr>
              <w:t>Taxes</w:t>
            </w:r>
          </w:p>
        </w:tc>
        <w:tc>
          <w:tcPr>
            <w:tcW w:w="1500" w:type="dxa"/>
            <w:vAlign w:val="bottom"/>
          </w:tcPr>
          <w:p>
            <w:pPr>
              <w:jc w:val="right"/>
              <w:spacing w:after="0"/>
              <w:rPr>
                <w:sz w:val="20"/>
                <w:szCs w:val="20"/>
                <w:color w:val="auto"/>
              </w:rPr>
            </w:pPr>
            <w:r>
              <w:rPr>
                <w:rFonts w:ascii="Arial" w:cs="Arial" w:eastAsia="Arial" w:hAnsi="Arial"/>
                <w:sz w:val="21"/>
                <w:szCs w:val="21"/>
                <w:color w:val="auto"/>
              </w:rPr>
              <w:t>159</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5.10.</w:t>
            </w:r>
          </w:p>
        </w:tc>
        <w:tc>
          <w:tcPr>
            <w:tcW w:w="8040" w:type="dxa"/>
            <w:vAlign w:val="bottom"/>
          </w:tcPr>
          <w:p>
            <w:pPr>
              <w:ind w:left="100"/>
              <w:spacing w:after="0"/>
              <w:rPr>
                <w:sz w:val="20"/>
                <w:szCs w:val="20"/>
                <w:color w:val="auto"/>
              </w:rPr>
            </w:pPr>
            <w:r>
              <w:rPr>
                <w:rFonts w:ascii="Arial" w:cs="Arial" w:eastAsia="Arial" w:hAnsi="Arial"/>
                <w:sz w:val="21"/>
                <w:szCs w:val="21"/>
                <w:color w:val="auto"/>
              </w:rPr>
              <w:t>ERISA Compliance</w:t>
            </w:r>
          </w:p>
        </w:tc>
        <w:tc>
          <w:tcPr>
            <w:tcW w:w="1500" w:type="dxa"/>
            <w:vAlign w:val="bottom"/>
          </w:tcPr>
          <w:p>
            <w:pPr>
              <w:jc w:val="right"/>
              <w:spacing w:after="0"/>
              <w:rPr>
                <w:sz w:val="20"/>
                <w:szCs w:val="20"/>
                <w:color w:val="auto"/>
              </w:rPr>
            </w:pPr>
            <w:r>
              <w:rPr>
                <w:rFonts w:ascii="Arial" w:cs="Arial" w:eastAsia="Arial" w:hAnsi="Arial"/>
                <w:sz w:val="21"/>
                <w:szCs w:val="21"/>
                <w:color w:val="auto"/>
              </w:rPr>
              <w:t>159</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5.11.  Subsidiaries; Equity Interests</w:t>
            </w:r>
          </w:p>
        </w:tc>
        <w:tc>
          <w:tcPr>
            <w:tcW w:w="1500" w:type="dxa"/>
            <w:vAlign w:val="bottom"/>
          </w:tcPr>
          <w:p>
            <w:pPr>
              <w:jc w:val="right"/>
              <w:spacing w:after="0"/>
              <w:rPr>
                <w:sz w:val="20"/>
                <w:szCs w:val="20"/>
                <w:color w:val="auto"/>
              </w:rPr>
            </w:pPr>
            <w:r>
              <w:rPr>
                <w:rFonts w:ascii="Arial" w:cs="Arial" w:eastAsia="Arial" w:hAnsi="Arial"/>
                <w:sz w:val="21"/>
                <w:szCs w:val="21"/>
                <w:color w:val="auto"/>
              </w:rPr>
              <w:t>159</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5.12.  Margin Regulations; Investment Company Act</w:t>
            </w:r>
          </w:p>
        </w:tc>
        <w:tc>
          <w:tcPr>
            <w:tcW w:w="1500" w:type="dxa"/>
            <w:vAlign w:val="bottom"/>
          </w:tcPr>
          <w:p>
            <w:pPr>
              <w:jc w:val="right"/>
              <w:spacing w:after="0"/>
              <w:rPr>
                <w:sz w:val="20"/>
                <w:szCs w:val="20"/>
                <w:color w:val="auto"/>
              </w:rPr>
            </w:pPr>
            <w:r>
              <w:rPr>
                <w:rFonts w:ascii="Arial" w:cs="Arial" w:eastAsia="Arial" w:hAnsi="Arial"/>
                <w:sz w:val="21"/>
                <w:szCs w:val="21"/>
                <w:color w:val="auto"/>
              </w:rPr>
              <w:t>160</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5.13.</w:t>
            </w:r>
          </w:p>
        </w:tc>
        <w:tc>
          <w:tcPr>
            <w:tcW w:w="8040" w:type="dxa"/>
            <w:vAlign w:val="bottom"/>
          </w:tcPr>
          <w:p>
            <w:pPr>
              <w:ind w:left="100"/>
              <w:spacing w:after="0"/>
              <w:rPr>
                <w:sz w:val="20"/>
                <w:szCs w:val="20"/>
                <w:color w:val="auto"/>
              </w:rPr>
            </w:pPr>
            <w:r>
              <w:rPr>
                <w:rFonts w:ascii="Arial" w:cs="Arial" w:eastAsia="Arial" w:hAnsi="Arial"/>
                <w:sz w:val="21"/>
                <w:szCs w:val="21"/>
                <w:color w:val="auto"/>
              </w:rPr>
              <w:t>Disclosure</w:t>
            </w:r>
          </w:p>
        </w:tc>
        <w:tc>
          <w:tcPr>
            <w:tcW w:w="1500" w:type="dxa"/>
            <w:vAlign w:val="bottom"/>
          </w:tcPr>
          <w:p>
            <w:pPr>
              <w:jc w:val="right"/>
              <w:spacing w:after="0"/>
              <w:rPr>
                <w:sz w:val="20"/>
                <w:szCs w:val="20"/>
                <w:color w:val="auto"/>
              </w:rPr>
            </w:pPr>
            <w:r>
              <w:rPr>
                <w:rFonts w:ascii="Arial" w:cs="Arial" w:eastAsia="Arial" w:hAnsi="Arial"/>
                <w:sz w:val="21"/>
                <w:szCs w:val="21"/>
                <w:color w:val="auto"/>
              </w:rPr>
              <w:t>160</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5.14.</w:t>
            </w:r>
          </w:p>
        </w:tc>
        <w:tc>
          <w:tcPr>
            <w:tcW w:w="8040" w:type="dxa"/>
            <w:vAlign w:val="bottom"/>
          </w:tcPr>
          <w:p>
            <w:pPr>
              <w:ind w:left="100"/>
              <w:spacing w:after="0"/>
              <w:rPr>
                <w:sz w:val="20"/>
                <w:szCs w:val="20"/>
                <w:color w:val="auto"/>
              </w:rPr>
            </w:pPr>
            <w:r>
              <w:rPr>
                <w:rFonts w:ascii="Arial" w:cs="Arial" w:eastAsia="Arial" w:hAnsi="Arial"/>
                <w:sz w:val="21"/>
                <w:szCs w:val="21"/>
                <w:color w:val="auto"/>
              </w:rPr>
              <w:t>Labor Matters</w:t>
            </w:r>
          </w:p>
        </w:tc>
        <w:tc>
          <w:tcPr>
            <w:tcW w:w="1500" w:type="dxa"/>
            <w:vAlign w:val="bottom"/>
          </w:tcPr>
          <w:p>
            <w:pPr>
              <w:jc w:val="right"/>
              <w:spacing w:after="0"/>
              <w:rPr>
                <w:sz w:val="20"/>
                <w:szCs w:val="20"/>
                <w:color w:val="auto"/>
              </w:rPr>
            </w:pPr>
            <w:r>
              <w:rPr>
                <w:rFonts w:ascii="Arial" w:cs="Arial" w:eastAsia="Arial" w:hAnsi="Arial"/>
                <w:sz w:val="21"/>
                <w:szCs w:val="21"/>
                <w:color w:val="auto"/>
              </w:rPr>
              <w:t>160</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5.15.  Intellectual Property; Licenses, Etc.</w:t>
            </w:r>
          </w:p>
        </w:tc>
        <w:tc>
          <w:tcPr>
            <w:tcW w:w="1500" w:type="dxa"/>
            <w:vAlign w:val="bottom"/>
          </w:tcPr>
          <w:p>
            <w:pPr>
              <w:jc w:val="right"/>
              <w:spacing w:after="0"/>
              <w:rPr>
                <w:sz w:val="20"/>
                <w:szCs w:val="20"/>
                <w:color w:val="auto"/>
              </w:rPr>
            </w:pPr>
            <w:r>
              <w:rPr>
                <w:rFonts w:ascii="Arial" w:cs="Arial" w:eastAsia="Arial" w:hAnsi="Arial"/>
                <w:sz w:val="21"/>
                <w:szCs w:val="21"/>
                <w:color w:val="auto"/>
              </w:rPr>
              <w:t>160</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5.16.</w:t>
            </w:r>
          </w:p>
        </w:tc>
        <w:tc>
          <w:tcPr>
            <w:tcW w:w="8040" w:type="dxa"/>
            <w:vAlign w:val="bottom"/>
          </w:tcPr>
          <w:p>
            <w:pPr>
              <w:ind w:left="100"/>
              <w:spacing w:after="0"/>
              <w:rPr>
                <w:sz w:val="20"/>
                <w:szCs w:val="20"/>
                <w:color w:val="auto"/>
              </w:rPr>
            </w:pPr>
            <w:r>
              <w:rPr>
                <w:rFonts w:ascii="Arial" w:cs="Arial" w:eastAsia="Arial" w:hAnsi="Arial"/>
                <w:sz w:val="21"/>
                <w:szCs w:val="21"/>
                <w:color w:val="auto"/>
              </w:rPr>
              <w:t>Solvency</w:t>
            </w:r>
          </w:p>
        </w:tc>
        <w:tc>
          <w:tcPr>
            <w:tcW w:w="1500" w:type="dxa"/>
            <w:vAlign w:val="bottom"/>
          </w:tcPr>
          <w:p>
            <w:pPr>
              <w:jc w:val="right"/>
              <w:spacing w:after="0"/>
              <w:rPr>
                <w:sz w:val="20"/>
                <w:szCs w:val="20"/>
                <w:color w:val="auto"/>
              </w:rPr>
            </w:pPr>
            <w:r>
              <w:rPr>
                <w:rFonts w:ascii="Arial" w:cs="Arial" w:eastAsia="Arial" w:hAnsi="Arial"/>
                <w:sz w:val="21"/>
                <w:szCs w:val="21"/>
                <w:color w:val="auto"/>
              </w:rPr>
              <w:t>161</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5.17.  Subordination of Junior Financing</w:t>
            </w:r>
          </w:p>
        </w:tc>
        <w:tc>
          <w:tcPr>
            <w:tcW w:w="1500" w:type="dxa"/>
            <w:vAlign w:val="bottom"/>
          </w:tcPr>
          <w:p>
            <w:pPr>
              <w:jc w:val="right"/>
              <w:spacing w:after="0"/>
              <w:rPr>
                <w:sz w:val="20"/>
                <w:szCs w:val="20"/>
                <w:color w:val="auto"/>
              </w:rPr>
            </w:pPr>
            <w:r>
              <w:rPr>
                <w:rFonts w:ascii="Arial" w:cs="Arial" w:eastAsia="Arial" w:hAnsi="Arial"/>
                <w:sz w:val="21"/>
                <w:szCs w:val="21"/>
                <w:color w:val="auto"/>
              </w:rPr>
              <w:t>161</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5.18.  OFAC; USA PATRIOT Act; FCPA</w:t>
            </w:r>
          </w:p>
        </w:tc>
        <w:tc>
          <w:tcPr>
            <w:tcW w:w="1500" w:type="dxa"/>
            <w:vAlign w:val="bottom"/>
          </w:tcPr>
          <w:p>
            <w:pPr>
              <w:jc w:val="right"/>
              <w:spacing w:after="0"/>
              <w:rPr>
                <w:sz w:val="20"/>
                <w:szCs w:val="20"/>
                <w:color w:val="auto"/>
              </w:rPr>
            </w:pPr>
            <w:r>
              <w:rPr>
                <w:rFonts w:ascii="Arial" w:cs="Arial" w:eastAsia="Arial" w:hAnsi="Arial"/>
                <w:sz w:val="21"/>
                <w:szCs w:val="21"/>
                <w:color w:val="auto"/>
              </w:rPr>
              <w:t>161</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5.19.</w:t>
            </w:r>
          </w:p>
        </w:tc>
        <w:tc>
          <w:tcPr>
            <w:tcW w:w="8040" w:type="dxa"/>
            <w:vAlign w:val="bottom"/>
          </w:tcPr>
          <w:p>
            <w:pPr>
              <w:ind w:left="100"/>
              <w:spacing w:after="0"/>
              <w:rPr>
                <w:sz w:val="20"/>
                <w:szCs w:val="20"/>
                <w:color w:val="auto"/>
              </w:rPr>
            </w:pPr>
            <w:r>
              <w:rPr>
                <w:rFonts w:ascii="Arial" w:cs="Arial" w:eastAsia="Arial" w:hAnsi="Arial"/>
                <w:sz w:val="21"/>
                <w:szCs w:val="21"/>
                <w:color w:val="auto"/>
              </w:rPr>
              <w:t>Security Documents</w:t>
            </w:r>
          </w:p>
        </w:tc>
        <w:tc>
          <w:tcPr>
            <w:tcW w:w="1500" w:type="dxa"/>
            <w:vAlign w:val="bottom"/>
          </w:tcPr>
          <w:p>
            <w:pPr>
              <w:jc w:val="right"/>
              <w:spacing w:after="0"/>
              <w:rPr>
                <w:sz w:val="20"/>
                <w:szCs w:val="20"/>
                <w:color w:val="auto"/>
              </w:rPr>
            </w:pPr>
            <w:r>
              <w:rPr>
                <w:rFonts w:ascii="Arial" w:cs="Arial" w:eastAsia="Arial" w:hAnsi="Arial"/>
                <w:sz w:val="21"/>
                <w:szCs w:val="21"/>
                <w:color w:val="auto"/>
              </w:rPr>
              <w:t>161</w:t>
            </w:r>
          </w:p>
        </w:tc>
      </w:tr>
      <w:tr>
        <w:trPr>
          <w:trHeight w:val="206"/>
        </w:trPr>
        <w:tc>
          <w:tcPr>
            <w:tcW w:w="1200" w:type="dxa"/>
            <w:vAlign w:val="bottom"/>
          </w:tcPr>
          <w:p>
            <w:pPr>
              <w:spacing w:after="0"/>
              <w:rPr>
                <w:sz w:val="17"/>
                <w:szCs w:val="17"/>
                <w:color w:val="auto"/>
              </w:rPr>
            </w:pPr>
          </w:p>
        </w:tc>
        <w:tc>
          <w:tcPr>
            <w:tcW w:w="8040" w:type="dxa"/>
            <w:vAlign w:val="bottom"/>
          </w:tcPr>
          <w:p>
            <w:pPr>
              <w:jc w:val="center"/>
              <w:ind w:left="597"/>
              <w:spacing w:after="0" w:line="207" w:lineRule="exact"/>
              <w:rPr>
                <w:sz w:val="20"/>
                <w:szCs w:val="20"/>
                <w:color w:val="auto"/>
              </w:rPr>
            </w:pPr>
            <w:r>
              <w:rPr>
                <w:rFonts w:ascii="Arial" w:cs="Arial" w:eastAsia="Arial" w:hAnsi="Arial"/>
                <w:sz w:val="21"/>
                <w:szCs w:val="21"/>
                <w:color w:val="auto"/>
                <w:w w:val="96"/>
              </w:rPr>
              <w:t>ARTICLE 6</w:t>
            </w:r>
          </w:p>
        </w:tc>
        <w:tc>
          <w:tcPr>
            <w:tcW w:w="1500" w:type="dxa"/>
            <w:vAlign w:val="bottom"/>
          </w:tcPr>
          <w:p>
            <w:pPr>
              <w:spacing w:after="0"/>
              <w:rPr>
                <w:sz w:val="17"/>
                <w:szCs w:val="17"/>
                <w:color w:val="auto"/>
              </w:rPr>
            </w:pPr>
          </w:p>
        </w:tc>
      </w:tr>
      <w:tr>
        <w:trPr>
          <w:trHeight w:val="258"/>
        </w:trPr>
        <w:tc>
          <w:tcPr>
            <w:tcW w:w="1200" w:type="dxa"/>
            <w:vAlign w:val="bottom"/>
          </w:tcPr>
          <w:p>
            <w:pPr>
              <w:spacing w:after="0"/>
              <w:rPr>
                <w:sz w:val="22"/>
                <w:szCs w:val="22"/>
                <w:color w:val="auto"/>
              </w:rPr>
            </w:pPr>
          </w:p>
        </w:tc>
        <w:tc>
          <w:tcPr>
            <w:tcW w:w="8040" w:type="dxa"/>
            <w:vAlign w:val="bottom"/>
          </w:tcPr>
          <w:p>
            <w:pPr>
              <w:jc w:val="center"/>
              <w:ind w:left="597"/>
              <w:spacing w:after="0"/>
              <w:rPr>
                <w:sz w:val="20"/>
                <w:szCs w:val="20"/>
                <w:color w:val="auto"/>
              </w:rPr>
            </w:pPr>
            <w:r>
              <w:rPr>
                <w:rFonts w:ascii="Arial" w:cs="Arial" w:eastAsia="Arial" w:hAnsi="Arial"/>
                <w:sz w:val="21"/>
                <w:szCs w:val="21"/>
                <w:color w:val="auto"/>
                <w:w w:val="96"/>
              </w:rPr>
              <w:t>AFFIRMATIVE COVENANTS</w:t>
            </w:r>
          </w:p>
        </w:tc>
        <w:tc>
          <w:tcPr>
            <w:tcW w:w="1500" w:type="dxa"/>
            <w:vAlign w:val="bottom"/>
          </w:tcPr>
          <w:p>
            <w:pPr>
              <w:spacing w:after="0"/>
              <w:rPr>
                <w:sz w:val="22"/>
                <w:szCs w:val="22"/>
                <w:color w:val="auto"/>
              </w:rPr>
            </w:pP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6.01.</w:t>
            </w:r>
          </w:p>
        </w:tc>
        <w:tc>
          <w:tcPr>
            <w:tcW w:w="8040" w:type="dxa"/>
            <w:vAlign w:val="bottom"/>
          </w:tcPr>
          <w:p>
            <w:pPr>
              <w:ind w:left="100"/>
              <w:spacing w:after="0"/>
              <w:rPr>
                <w:sz w:val="20"/>
                <w:szCs w:val="20"/>
                <w:color w:val="auto"/>
              </w:rPr>
            </w:pPr>
            <w:r>
              <w:rPr>
                <w:rFonts w:ascii="Arial" w:cs="Arial" w:eastAsia="Arial" w:hAnsi="Arial"/>
                <w:sz w:val="21"/>
                <w:szCs w:val="21"/>
                <w:color w:val="auto"/>
              </w:rPr>
              <w:t>Financial Statements</w:t>
            </w:r>
          </w:p>
        </w:tc>
        <w:tc>
          <w:tcPr>
            <w:tcW w:w="1500" w:type="dxa"/>
            <w:vAlign w:val="bottom"/>
          </w:tcPr>
          <w:p>
            <w:pPr>
              <w:jc w:val="right"/>
              <w:spacing w:after="0"/>
              <w:rPr>
                <w:sz w:val="20"/>
                <w:szCs w:val="20"/>
                <w:color w:val="auto"/>
              </w:rPr>
            </w:pPr>
            <w:r>
              <w:rPr>
                <w:rFonts w:ascii="Arial" w:cs="Arial" w:eastAsia="Arial" w:hAnsi="Arial"/>
                <w:sz w:val="21"/>
                <w:szCs w:val="21"/>
                <w:color w:val="auto"/>
              </w:rPr>
              <w:t>163</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6.02.  Certificates; Other Information</w:t>
            </w:r>
          </w:p>
        </w:tc>
        <w:tc>
          <w:tcPr>
            <w:tcW w:w="1500" w:type="dxa"/>
            <w:vAlign w:val="bottom"/>
          </w:tcPr>
          <w:p>
            <w:pPr>
              <w:jc w:val="right"/>
              <w:spacing w:after="0"/>
              <w:rPr>
                <w:sz w:val="20"/>
                <w:szCs w:val="20"/>
                <w:color w:val="auto"/>
              </w:rPr>
            </w:pPr>
            <w:r>
              <w:rPr>
                <w:rFonts w:ascii="Arial" w:cs="Arial" w:eastAsia="Arial" w:hAnsi="Arial"/>
                <w:sz w:val="21"/>
                <w:szCs w:val="21"/>
                <w:color w:val="auto"/>
              </w:rPr>
              <w:t>164</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6.03.</w:t>
            </w:r>
          </w:p>
        </w:tc>
        <w:tc>
          <w:tcPr>
            <w:tcW w:w="8040" w:type="dxa"/>
            <w:vAlign w:val="bottom"/>
          </w:tcPr>
          <w:p>
            <w:pPr>
              <w:ind w:left="100"/>
              <w:spacing w:after="0"/>
              <w:rPr>
                <w:sz w:val="20"/>
                <w:szCs w:val="20"/>
                <w:color w:val="auto"/>
              </w:rPr>
            </w:pPr>
            <w:r>
              <w:rPr>
                <w:rFonts w:ascii="Arial" w:cs="Arial" w:eastAsia="Arial" w:hAnsi="Arial"/>
                <w:sz w:val="21"/>
                <w:szCs w:val="21"/>
                <w:color w:val="auto"/>
              </w:rPr>
              <w:t>Notices</w:t>
            </w:r>
          </w:p>
        </w:tc>
        <w:tc>
          <w:tcPr>
            <w:tcW w:w="1500" w:type="dxa"/>
            <w:vAlign w:val="bottom"/>
          </w:tcPr>
          <w:p>
            <w:pPr>
              <w:jc w:val="right"/>
              <w:spacing w:after="0"/>
              <w:rPr>
                <w:sz w:val="20"/>
                <w:szCs w:val="20"/>
                <w:color w:val="auto"/>
              </w:rPr>
            </w:pPr>
            <w:r>
              <w:rPr>
                <w:rFonts w:ascii="Arial" w:cs="Arial" w:eastAsia="Arial" w:hAnsi="Arial"/>
                <w:sz w:val="21"/>
                <w:szCs w:val="21"/>
                <w:color w:val="auto"/>
              </w:rPr>
              <w:t>166</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6.04.  Payment of Taxes</w:t>
            </w:r>
          </w:p>
        </w:tc>
        <w:tc>
          <w:tcPr>
            <w:tcW w:w="1500" w:type="dxa"/>
            <w:vAlign w:val="bottom"/>
          </w:tcPr>
          <w:p>
            <w:pPr>
              <w:jc w:val="right"/>
              <w:spacing w:after="0"/>
              <w:rPr>
                <w:sz w:val="20"/>
                <w:szCs w:val="20"/>
                <w:color w:val="auto"/>
              </w:rPr>
            </w:pPr>
            <w:r>
              <w:rPr>
                <w:rFonts w:ascii="Arial" w:cs="Arial" w:eastAsia="Arial" w:hAnsi="Arial"/>
                <w:sz w:val="21"/>
                <w:szCs w:val="21"/>
                <w:color w:val="auto"/>
              </w:rPr>
              <w:t>166</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6.05.  Preservation of Existence, Etc.</w:t>
            </w:r>
          </w:p>
        </w:tc>
        <w:tc>
          <w:tcPr>
            <w:tcW w:w="1500" w:type="dxa"/>
            <w:vAlign w:val="bottom"/>
          </w:tcPr>
          <w:p>
            <w:pPr>
              <w:jc w:val="right"/>
              <w:spacing w:after="0"/>
              <w:rPr>
                <w:sz w:val="20"/>
                <w:szCs w:val="20"/>
                <w:color w:val="auto"/>
              </w:rPr>
            </w:pPr>
            <w:r>
              <w:rPr>
                <w:rFonts w:ascii="Arial" w:cs="Arial" w:eastAsia="Arial" w:hAnsi="Arial"/>
                <w:sz w:val="21"/>
                <w:szCs w:val="21"/>
                <w:color w:val="auto"/>
              </w:rPr>
              <w:t>167</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6.06.  Maintenance of Properties</w:t>
            </w:r>
          </w:p>
        </w:tc>
        <w:tc>
          <w:tcPr>
            <w:tcW w:w="1500" w:type="dxa"/>
            <w:vAlign w:val="bottom"/>
          </w:tcPr>
          <w:p>
            <w:pPr>
              <w:jc w:val="right"/>
              <w:spacing w:after="0"/>
              <w:rPr>
                <w:sz w:val="20"/>
                <w:szCs w:val="20"/>
                <w:color w:val="auto"/>
              </w:rPr>
            </w:pPr>
            <w:r>
              <w:rPr>
                <w:rFonts w:ascii="Arial" w:cs="Arial" w:eastAsia="Arial" w:hAnsi="Arial"/>
                <w:sz w:val="21"/>
                <w:szCs w:val="21"/>
                <w:color w:val="auto"/>
              </w:rPr>
              <w:t>167</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6.07.  Maintenance of Insurance</w:t>
            </w:r>
          </w:p>
        </w:tc>
        <w:tc>
          <w:tcPr>
            <w:tcW w:w="1500" w:type="dxa"/>
            <w:vAlign w:val="bottom"/>
          </w:tcPr>
          <w:p>
            <w:pPr>
              <w:jc w:val="right"/>
              <w:spacing w:after="0"/>
              <w:rPr>
                <w:sz w:val="20"/>
                <w:szCs w:val="20"/>
                <w:color w:val="auto"/>
              </w:rPr>
            </w:pPr>
            <w:r>
              <w:rPr>
                <w:rFonts w:ascii="Arial" w:cs="Arial" w:eastAsia="Arial" w:hAnsi="Arial"/>
                <w:sz w:val="21"/>
                <w:szCs w:val="21"/>
                <w:color w:val="auto"/>
              </w:rPr>
              <w:t>167</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6.08.  Compliance with Laws</w:t>
            </w:r>
          </w:p>
        </w:tc>
        <w:tc>
          <w:tcPr>
            <w:tcW w:w="1500" w:type="dxa"/>
            <w:vAlign w:val="bottom"/>
          </w:tcPr>
          <w:p>
            <w:pPr>
              <w:jc w:val="right"/>
              <w:spacing w:after="0"/>
              <w:rPr>
                <w:sz w:val="20"/>
                <w:szCs w:val="20"/>
                <w:color w:val="auto"/>
              </w:rPr>
            </w:pPr>
            <w:r>
              <w:rPr>
                <w:rFonts w:ascii="Arial" w:cs="Arial" w:eastAsia="Arial" w:hAnsi="Arial"/>
                <w:sz w:val="21"/>
                <w:szCs w:val="21"/>
                <w:color w:val="auto"/>
              </w:rPr>
              <w:t>167</w:t>
            </w:r>
          </w:p>
        </w:tc>
      </w:tr>
      <w:tr>
        <w:trPr>
          <w:trHeight w:val="258"/>
        </w:trPr>
        <w:tc>
          <w:tcPr>
            <w:tcW w:w="9240" w:type="dxa"/>
            <w:vAlign w:val="bottom"/>
            <w:gridSpan w:val="2"/>
          </w:tcPr>
          <w:p>
            <w:pPr>
              <w:spacing w:after="0"/>
              <w:rPr>
                <w:sz w:val="20"/>
                <w:szCs w:val="20"/>
                <w:color w:val="auto"/>
              </w:rPr>
            </w:pPr>
            <w:r>
              <w:rPr>
                <w:rFonts w:ascii="Arial" w:cs="Arial" w:eastAsia="Arial" w:hAnsi="Arial"/>
                <w:sz w:val="21"/>
                <w:szCs w:val="21"/>
                <w:color w:val="auto"/>
              </w:rPr>
              <w:t>Section 6.09.  Books and Records</w:t>
            </w:r>
          </w:p>
        </w:tc>
        <w:tc>
          <w:tcPr>
            <w:tcW w:w="1500" w:type="dxa"/>
            <w:vAlign w:val="bottom"/>
          </w:tcPr>
          <w:p>
            <w:pPr>
              <w:jc w:val="right"/>
              <w:spacing w:after="0"/>
              <w:rPr>
                <w:sz w:val="20"/>
                <w:szCs w:val="20"/>
                <w:color w:val="auto"/>
              </w:rPr>
            </w:pPr>
            <w:r>
              <w:rPr>
                <w:rFonts w:ascii="Arial" w:cs="Arial" w:eastAsia="Arial" w:hAnsi="Arial"/>
                <w:sz w:val="21"/>
                <w:szCs w:val="21"/>
                <w:color w:val="auto"/>
              </w:rPr>
              <w:t>167</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6.10.</w:t>
            </w:r>
          </w:p>
        </w:tc>
        <w:tc>
          <w:tcPr>
            <w:tcW w:w="8040" w:type="dxa"/>
            <w:vAlign w:val="bottom"/>
          </w:tcPr>
          <w:p>
            <w:pPr>
              <w:ind w:left="100"/>
              <w:spacing w:after="0"/>
              <w:rPr>
                <w:sz w:val="20"/>
                <w:szCs w:val="20"/>
                <w:color w:val="auto"/>
              </w:rPr>
            </w:pPr>
            <w:r>
              <w:rPr>
                <w:rFonts w:ascii="Arial" w:cs="Arial" w:eastAsia="Arial" w:hAnsi="Arial"/>
                <w:sz w:val="21"/>
                <w:szCs w:val="21"/>
                <w:color w:val="auto"/>
              </w:rPr>
              <w:t>Inspection Rights</w:t>
            </w:r>
          </w:p>
        </w:tc>
        <w:tc>
          <w:tcPr>
            <w:tcW w:w="1500" w:type="dxa"/>
            <w:vAlign w:val="bottom"/>
          </w:tcPr>
          <w:p>
            <w:pPr>
              <w:jc w:val="right"/>
              <w:spacing w:after="0"/>
              <w:rPr>
                <w:sz w:val="20"/>
                <w:szCs w:val="20"/>
                <w:color w:val="auto"/>
              </w:rPr>
            </w:pPr>
            <w:r>
              <w:rPr>
                <w:rFonts w:ascii="Arial" w:cs="Arial" w:eastAsia="Arial" w:hAnsi="Arial"/>
                <w:sz w:val="21"/>
                <w:szCs w:val="21"/>
                <w:color w:val="auto"/>
              </w:rPr>
              <w:t>168</w:t>
            </w:r>
          </w:p>
        </w:tc>
      </w:tr>
      <w:tr>
        <w:trPr>
          <w:trHeight w:val="264"/>
        </w:trPr>
        <w:tc>
          <w:tcPr>
            <w:tcW w:w="1200" w:type="dxa"/>
            <w:vAlign w:val="bottom"/>
          </w:tcPr>
          <w:p>
            <w:pPr>
              <w:spacing w:after="0"/>
              <w:rPr>
                <w:sz w:val="20"/>
                <w:szCs w:val="20"/>
                <w:color w:val="auto"/>
              </w:rPr>
            </w:pPr>
            <w:r>
              <w:rPr>
                <w:rFonts w:ascii="Arial" w:cs="Arial" w:eastAsia="Arial" w:hAnsi="Arial"/>
                <w:sz w:val="21"/>
                <w:szCs w:val="21"/>
                <w:color w:val="auto"/>
                <w:w w:val="96"/>
              </w:rPr>
              <w:t>Section 6.11.</w:t>
            </w:r>
          </w:p>
        </w:tc>
        <w:tc>
          <w:tcPr>
            <w:tcW w:w="8040" w:type="dxa"/>
            <w:vAlign w:val="bottom"/>
          </w:tcPr>
          <w:p>
            <w:pPr>
              <w:ind w:left="100"/>
              <w:spacing w:after="0"/>
              <w:rPr>
                <w:sz w:val="20"/>
                <w:szCs w:val="20"/>
                <w:color w:val="auto"/>
              </w:rPr>
            </w:pPr>
            <w:r>
              <w:rPr>
                <w:rFonts w:ascii="Arial" w:cs="Arial" w:eastAsia="Arial" w:hAnsi="Arial"/>
                <w:sz w:val="21"/>
                <w:szCs w:val="21"/>
                <w:color w:val="auto"/>
              </w:rPr>
              <w:t>Additional Collateral; Additional Guarantors</w:t>
            </w:r>
          </w:p>
        </w:tc>
        <w:tc>
          <w:tcPr>
            <w:tcW w:w="1500" w:type="dxa"/>
            <w:vAlign w:val="bottom"/>
          </w:tcPr>
          <w:p>
            <w:pPr>
              <w:jc w:val="right"/>
              <w:spacing w:after="0"/>
              <w:rPr>
                <w:sz w:val="20"/>
                <w:szCs w:val="20"/>
                <w:color w:val="auto"/>
              </w:rPr>
            </w:pPr>
            <w:r>
              <w:rPr>
                <w:rFonts w:ascii="Arial" w:cs="Arial" w:eastAsia="Arial" w:hAnsi="Arial"/>
                <w:sz w:val="21"/>
                <w:szCs w:val="21"/>
                <w:color w:val="auto"/>
              </w:rPr>
              <w:t>168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740"/>
          </w:cols>
          <w:pgMar w:left="380" w:top="1395" w:right="7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6.12.  Compliance with Environmental Laws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169</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6.13.</w:t>
            </w:r>
          </w:p>
        </w:tc>
        <w:tc>
          <w:tcPr>
            <w:tcW w:w="7940" w:type="dxa"/>
            <w:vAlign w:val="bottom"/>
          </w:tcPr>
          <w:p>
            <w:pPr>
              <w:ind w:left="100"/>
              <w:spacing w:after="0"/>
              <w:rPr>
                <w:sz w:val="20"/>
                <w:szCs w:val="20"/>
                <w:color w:val="auto"/>
              </w:rPr>
            </w:pPr>
            <w:r>
              <w:rPr>
                <w:rFonts w:ascii="Arial" w:cs="Arial" w:eastAsia="Arial" w:hAnsi="Arial"/>
                <w:sz w:val="21"/>
                <w:szCs w:val="21"/>
                <w:color w:val="auto"/>
              </w:rPr>
              <w:t>Further Assurances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170</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6.14.  Designation of Subsidiaries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170</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6.15.</w:t>
            </w:r>
          </w:p>
        </w:tc>
        <w:tc>
          <w:tcPr>
            <w:tcW w:w="7940" w:type="dxa"/>
            <w:vAlign w:val="bottom"/>
          </w:tcPr>
          <w:p>
            <w:pPr>
              <w:ind w:left="100"/>
              <w:spacing w:after="0"/>
              <w:rPr>
                <w:sz w:val="20"/>
                <w:szCs w:val="20"/>
                <w:color w:val="auto"/>
              </w:rPr>
            </w:pPr>
            <w:r>
              <w:rPr>
                <w:rFonts w:ascii="Arial" w:cs="Arial" w:eastAsia="Arial" w:hAnsi="Arial"/>
                <w:sz w:val="21"/>
                <w:szCs w:val="21"/>
                <w:color w:val="auto"/>
              </w:rPr>
              <w:t>[Reserved]</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170</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6.16.</w:t>
            </w:r>
          </w:p>
        </w:tc>
        <w:tc>
          <w:tcPr>
            <w:tcW w:w="7940" w:type="dxa"/>
            <w:vAlign w:val="bottom"/>
          </w:tcPr>
          <w:p>
            <w:pPr>
              <w:ind w:left="100"/>
              <w:spacing w:after="0"/>
              <w:rPr>
                <w:sz w:val="20"/>
                <w:szCs w:val="20"/>
                <w:color w:val="auto"/>
              </w:rPr>
            </w:pPr>
            <w:r>
              <w:rPr>
                <w:rFonts w:ascii="Arial" w:cs="Arial" w:eastAsia="Arial" w:hAnsi="Arial"/>
                <w:sz w:val="21"/>
                <w:szCs w:val="21"/>
                <w:color w:val="auto"/>
              </w:rPr>
              <w:t>Post-Closing Covenants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170</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6.17.  Change in Nature of Business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170</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6.18.  Use of Proceeds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171</w:t>
            </w:r>
          </w:p>
        </w:tc>
      </w:tr>
      <w:tr>
        <w:trPr>
          <w:trHeight w:val="258"/>
        </w:trPr>
        <w:tc>
          <w:tcPr>
            <w:tcW w:w="1200" w:type="dxa"/>
            <w:vAlign w:val="bottom"/>
          </w:tcPr>
          <w:p>
            <w:pPr>
              <w:spacing w:after="0"/>
              <w:rPr>
                <w:sz w:val="20"/>
                <w:szCs w:val="20"/>
                <w:color w:val="auto"/>
              </w:rPr>
            </w:pPr>
            <w:r>
              <w:rPr>
                <w:rFonts w:ascii="Arial" w:cs="Arial" w:eastAsia="Arial" w:hAnsi="Arial"/>
                <w:sz w:val="21"/>
                <w:szCs w:val="21"/>
                <w:color w:val="auto"/>
                <w:w w:val="96"/>
              </w:rPr>
              <w:t>Section 6.19.</w:t>
            </w:r>
          </w:p>
        </w:tc>
        <w:tc>
          <w:tcPr>
            <w:tcW w:w="7940" w:type="dxa"/>
            <w:vAlign w:val="bottom"/>
          </w:tcPr>
          <w:p>
            <w:pPr>
              <w:ind w:left="100"/>
              <w:spacing w:after="0"/>
              <w:rPr>
                <w:sz w:val="20"/>
                <w:szCs w:val="20"/>
                <w:color w:val="auto"/>
              </w:rPr>
            </w:pPr>
            <w:r>
              <w:rPr>
                <w:rFonts w:ascii="Arial" w:cs="Arial" w:eastAsia="Arial" w:hAnsi="Arial"/>
                <w:sz w:val="21"/>
                <w:szCs w:val="21"/>
                <w:color w:val="auto"/>
              </w:rPr>
              <w:t>Accounting Changes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171</w:t>
            </w:r>
          </w:p>
        </w:tc>
      </w:tr>
      <w:tr>
        <w:trPr>
          <w:trHeight w:val="206"/>
        </w:trPr>
        <w:tc>
          <w:tcPr>
            <w:tcW w:w="1200" w:type="dxa"/>
            <w:vAlign w:val="bottom"/>
          </w:tcPr>
          <w:p>
            <w:pPr>
              <w:spacing w:after="0"/>
              <w:rPr>
                <w:sz w:val="17"/>
                <w:szCs w:val="17"/>
                <w:color w:val="auto"/>
              </w:rPr>
            </w:pPr>
          </w:p>
        </w:tc>
        <w:tc>
          <w:tcPr>
            <w:tcW w:w="7940" w:type="dxa"/>
            <w:vAlign w:val="bottom"/>
          </w:tcPr>
          <w:p>
            <w:pPr>
              <w:jc w:val="center"/>
              <w:ind w:left="697"/>
              <w:spacing w:after="0" w:line="207" w:lineRule="exact"/>
              <w:rPr>
                <w:sz w:val="20"/>
                <w:szCs w:val="20"/>
                <w:color w:val="auto"/>
              </w:rPr>
            </w:pPr>
            <w:r>
              <w:rPr>
                <w:rFonts w:ascii="Arial" w:cs="Arial" w:eastAsia="Arial" w:hAnsi="Arial"/>
                <w:sz w:val="21"/>
                <w:szCs w:val="21"/>
                <w:color w:val="auto"/>
                <w:w w:val="96"/>
              </w:rPr>
              <w:t>ARTICLE 7</w:t>
            </w:r>
          </w:p>
        </w:tc>
        <w:tc>
          <w:tcPr>
            <w:tcW w:w="1620" w:type="dxa"/>
            <w:vAlign w:val="bottom"/>
          </w:tcPr>
          <w:p>
            <w:pPr>
              <w:spacing w:after="0"/>
              <w:rPr>
                <w:sz w:val="17"/>
                <w:szCs w:val="17"/>
                <w:color w:val="auto"/>
              </w:rPr>
            </w:pPr>
          </w:p>
        </w:tc>
      </w:tr>
      <w:tr>
        <w:trPr>
          <w:trHeight w:val="258"/>
        </w:trPr>
        <w:tc>
          <w:tcPr>
            <w:tcW w:w="1200" w:type="dxa"/>
            <w:vAlign w:val="bottom"/>
          </w:tcPr>
          <w:p>
            <w:pPr>
              <w:spacing w:after="0"/>
              <w:rPr>
                <w:sz w:val="22"/>
                <w:szCs w:val="22"/>
                <w:color w:val="auto"/>
              </w:rPr>
            </w:pPr>
          </w:p>
        </w:tc>
        <w:tc>
          <w:tcPr>
            <w:tcW w:w="7940" w:type="dxa"/>
            <w:vAlign w:val="bottom"/>
          </w:tcPr>
          <w:p>
            <w:pPr>
              <w:jc w:val="center"/>
              <w:ind w:left="677"/>
              <w:spacing w:after="0"/>
              <w:rPr>
                <w:sz w:val="20"/>
                <w:szCs w:val="20"/>
                <w:color w:val="auto"/>
              </w:rPr>
            </w:pPr>
            <w:r>
              <w:rPr>
                <w:rFonts w:ascii="Arial" w:cs="Arial" w:eastAsia="Arial" w:hAnsi="Arial"/>
                <w:sz w:val="21"/>
                <w:szCs w:val="21"/>
                <w:color w:val="auto"/>
                <w:w w:val="95"/>
              </w:rPr>
              <w:t>NEGATIVE COVENANTS</w:t>
            </w:r>
          </w:p>
        </w:tc>
        <w:tc>
          <w:tcPr>
            <w:tcW w:w="1620" w:type="dxa"/>
            <w:vAlign w:val="bottom"/>
          </w:tcPr>
          <w:p>
            <w:pPr>
              <w:spacing w:after="0"/>
              <w:rPr>
                <w:sz w:val="22"/>
                <w:szCs w:val="22"/>
                <w:color w:val="auto"/>
              </w:rPr>
            </w:pP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7.01. Liens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171</w:t>
            </w:r>
          </w:p>
        </w:tc>
      </w:tr>
      <w:tr>
        <w:trPr>
          <w:trHeight w:val="258"/>
        </w:trPr>
        <w:tc>
          <w:tcPr>
            <w:tcW w:w="9140" w:type="dxa"/>
            <w:vAlign w:val="bottom"/>
            <w:gridSpan w:val="2"/>
          </w:tcPr>
          <w:p>
            <w:pPr>
              <w:ind w:left="20"/>
              <w:spacing w:after="0"/>
              <w:rPr>
                <w:sz w:val="20"/>
                <w:szCs w:val="20"/>
                <w:color w:val="auto"/>
              </w:rPr>
            </w:pPr>
            <w:r>
              <w:rPr>
                <w:rFonts w:ascii="Arial" w:cs="Arial" w:eastAsia="Arial" w:hAnsi="Arial"/>
                <w:sz w:val="21"/>
                <w:szCs w:val="21"/>
                <w:color w:val="auto"/>
              </w:rPr>
              <w:t>Section 7.02. Investments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177</w:t>
            </w:r>
          </w:p>
        </w:tc>
      </w:tr>
      <w:tr>
        <w:trPr>
          <w:trHeight w:val="258"/>
        </w:trPr>
        <w:tc>
          <w:tcPr>
            <w:tcW w:w="9140" w:type="dxa"/>
            <w:vAlign w:val="bottom"/>
            <w:gridSpan w:val="2"/>
          </w:tcPr>
          <w:p>
            <w:pPr>
              <w:ind w:left="20"/>
              <w:spacing w:after="0"/>
              <w:rPr>
                <w:sz w:val="20"/>
                <w:szCs w:val="20"/>
                <w:color w:val="auto"/>
              </w:rPr>
            </w:pPr>
            <w:r>
              <w:rPr>
                <w:rFonts w:ascii="Arial" w:cs="Arial" w:eastAsia="Arial" w:hAnsi="Arial"/>
                <w:sz w:val="21"/>
                <w:szCs w:val="21"/>
                <w:color w:val="auto"/>
              </w:rPr>
              <w:t>Section 7.03. Indebtedness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181</w:t>
            </w:r>
          </w:p>
        </w:tc>
      </w:tr>
      <w:tr>
        <w:trPr>
          <w:trHeight w:val="258"/>
        </w:trPr>
        <w:tc>
          <w:tcPr>
            <w:tcW w:w="9140" w:type="dxa"/>
            <w:vAlign w:val="bottom"/>
            <w:gridSpan w:val="2"/>
          </w:tcPr>
          <w:p>
            <w:pPr>
              <w:ind w:left="20"/>
              <w:spacing w:after="0"/>
              <w:rPr>
                <w:sz w:val="20"/>
                <w:szCs w:val="20"/>
                <w:color w:val="auto"/>
              </w:rPr>
            </w:pPr>
            <w:r>
              <w:rPr>
                <w:rFonts w:ascii="Arial" w:cs="Arial" w:eastAsia="Arial" w:hAnsi="Arial"/>
                <w:sz w:val="21"/>
                <w:szCs w:val="21"/>
                <w:color w:val="auto"/>
              </w:rPr>
              <w:t>Section 7.04. Fundamental Changes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187</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7.05. Dispositions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189</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7.06. Restricted Payments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192</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7.07. [Reserved]</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197</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7.08. Transactions with Affiliates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197</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7.09. Burdensome Agreements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199</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7.10. [Reserved]</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200</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7.11. Financial Covenant</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200</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7.12. [Reserved]</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200</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7.13. Prepayments, Etc. of Indebtedness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200</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7.14. Permitted Activities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202</w:t>
            </w:r>
          </w:p>
        </w:tc>
      </w:tr>
      <w:tr>
        <w:trPr>
          <w:trHeight w:val="206"/>
        </w:trPr>
        <w:tc>
          <w:tcPr>
            <w:tcW w:w="1200" w:type="dxa"/>
            <w:vAlign w:val="bottom"/>
          </w:tcPr>
          <w:p>
            <w:pPr>
              <w:spacing w:after="0"/>
              <w:rPr>
                <w:sz w:val="17"/>
                <w:szCs w:val="17"/>
                <w:color w:val="auto"/>
              </w:rPr>
            </w:pPr>
          </w:p>
        </w:tc>
        <w:tc>
          <w:tcPr>
            <w:tcW w:w="7940" w:type="dxa"/>
            <w:vAlign w:val="bottom"/>
          </w:tcPr>
          <w:p>
            <w:pPr>
              <w:jc w:val="center"/>
              <w:ind w:left="697"/>
              <w:spacing w:after="0" w:line="207" w:lineRule="exact"/>
              <w:rPr>
                <w:sz w:val="20"/>
                <w:szCs w:val="20"/>
                <w:color w:val="auto"/>
              </w:rPr>
            </w:pPr>
            <w:r>
              <w:rPr>
                <w:rFonts w:ascii="Arial" w:cs="Arial" w:eastAsia="Arial" w:hAnsi="Arial"/>
                <w:sz w:val="21"/>
                <w:szCs w:val="21"/>
                <w:color w:val="auto"/>
                <w:w w:val="96"/>
              </w:rPr>
              <w:t>ARTICLE 8</w:t>
            </w:r>
          </w:p>
        </w:tc>
        <w:tc>
          <w:tcPr>
            <w:tcW w:w="1620" w:type="dxa"/>
            <w:vAlign w:val="bottom"/>
          </w:tcPr>
          <w:p>
            <w:pPr>
              <w:spacing w:after="0"/>
              <w:rPr>
                <w:sz w:val="17"/>
                <w:szCs w:val="17"/>
                <w:color w:val="auto"/>
              </w:rPr>
            </w:pPr>
          </w:p>
        </w:tc>
      </w:tr>
      <w:tr>
        <w:trPr>
          <w:trHeight w:val="258"/>
        </w:trPr>
        <w:tc>
          <w:tcPr>
            <w:tcW w:w="1200" w:type="dxa"/>
            <w:vAlign w:val="bottom"/>
          </w:tcPr>
          <w:p>
            <w:pPr>
              <w:spacing w:after="0"/>
              <w:rPr>
                <w:sz w:val="22"/>
                <w:szCs w:val="22"/>
                <w:color w:val="auto"/>
              </w:rPr>
            </w:pPr>
          </w:p>
        </w:tc>
        <w:tc>
          <w:tcPr>
            <w:tcW w:w="7940" w:type="dxa"/>
            <w:vAlign w:val="bottom"/>
          </w:tcPr>
          <w:p>
            <w:pPr>
              <w:jc w:val="center"/>
              <w:ind w:left="677"/>
              <w:spacing w:after="0"/>
              <w:rPr>
                <w:sz w:val="20"/>
                <w:szCs w:val="20"/>
                <w:color w:val="auto"/>
              </w:rPr>
            </w:pPr>
            <w:r>
              <w:rPr>
                <w:rFonts w:ascii="Arial" w:cs="Arial" w:eastAsia="Arial" w:hAnsi="Arial"/>
                <w:sz w:val="21"/>
                <w:szCs w:val="21"/>
                <w:color w:val="auto"/>
                <w:w w:val="94"/>
              </w:rPr>
              <w:t>EVENTS OF DEFAULT AND REMEDIES</w:t>
            </w:r>
          </w:p>
        </w:tc>
        <w:tc>
          <w:tcPr>
            <w:tcW w:w="1620" w:type="dxa"/>
            <w:vAlign w:val="bottom"/>
          </w:tcPr>
          <w:p>
            <w:pPr>
              <w:spacing w:after="0"/>
              <w:rPr>
                <w:sz w:val="22"/>
                <w:szCs w:val="22"/>
                <w:color w:val="auto"/>
              </w:rPr>
            </w:pP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8.01. Events of Default</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202</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8.02. Remedies Upon Event of Default</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205</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8.03. Exclusion of Immaterial Subsidiaries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205</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8.04. Application of Funds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205</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8.05. Borrower’s Right to Cure</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206</w:t>
            </w:r>
          </w:p>
        </w:tc>
      </w:tr>
      <w:tr>
        <w:trPr>
          <w:trHeight w:val="206"/>
        </w:trPr>
        <w:tc>
          <w:tcPr>
            <w:tcW w:w="1200" w:type="dxa"/>
            <w:vAlign w:val="bottom"/>
          </w:tcPr>
          <w:p>
            <w:pPr>
              <w:spacing w:after="0"/>
              <w:rPr>
                <w:sz w:val="17"/>
                <w:szCs w:val="17"/>
                <w:color w:val="auto"/>
              </w:rPr>
            </w:pPr>
          </w:p>
        </w:tc>
        <w:tc>
          <w:tcPr>
            <w:tcW w:w="7940" w:type="dxa"/>
            <w:vAlign w:val="bottom"/>
          </w:tcPr>
          <w:p>
            <w:pPr>
              <w:jc w:val="center"/>
              <w:ind w:left="697"/>
              <w:spacing w:after="0" w:line="207" w:lineRule="exact"/>
              <w:rPr>
                <w:sz w:val="20"/>
                <w:szCs w:val="20"/>
                <w:color w:val="auto"/>
              </w:rPr>
            </w:pPr>
            <w:r>
              <w:rPr>
                <w:rFonts w:ascii="Arial" w:cs="Arial" w:eastAsia="Arial" w:hAnsi="Arial"/>
                <w:sz w:val="21"/>
                <w:szCs w:val="21"/>
                <w:color w:val="auto"/>
                <w:w w:val="96"/>
              </w:rPr>
              <w:t>ARTICLE 9</w:t>
            </w:r>
          </w:p>
        </w:tc>
        <w:tc>
          <w:tcPr>
            <w:tcW w:w="1620" w:type="dxa"/>
            <w:vAlign w:val="bottom"/>
          </w:tcPr>
          <w:p>
            <w:pPr>
              <w:spacing w:after="0"/>
              <w:rPr>
                <w:sz w:val="17"/>
                <w:szCs w:val="17"/>
                <w:color w:val="auto"/>
              </w:rPr>
            </w:pPr>
          </w:p>
        </w:tc>
      </w:tr>
      <w:tr>
        <w:trPr>
          <w:trHeight w:val="258"/>
        </w:trPr>
        <w:tc>
          <w:tcPr>
            <w:tcW w:w="1200" w:type="dxa"/>
            <w:vAlign w:val="bottom"/>
          </w:tcPr>
          <w:p>
            <w:pPr>
              <w:spacing w:after="0"/>
              <w:rPr>
                <w:sz w:val="22"/>
                <w:szCs w:val="22"/>
                <w:color w:val="auto"/>
              </w:rPr>
            </w:pPr>
          </w:p>
        </w:tc>
        <w:tc>
          <w:tcPr>
            <w:tcW w:w="7940" w:type="dxa"/>
            <w:vAlign w:val="bottom"/>
          </w:tcPr>
          <w:p>
            <w:pPr>
              <w:jc w:val="center"/>
              <w:ind w:left="677"/>
              <w:spacing w:after="0"/>
              <w:rPr>
                <w:sz w:val="20"/>
                <w:szCs w:val="20"/>
                <w:color w:val="auto"/>
              </w:rPr>
            </w:pPr>
            <w:r>
              <w:rPr>
                <w:rFonts w:ascii="Arial" w:cs="Arial" w:eastAsia="Arial" w:hAnsi="Arial"/>
                <w:sz w:val="21"/>
                <w:szCs w:val="21"/>
                <w:color w:val="auto"/>
                <w:w w:val="96"/>
              </w:rPr>
              <w:t>ADMINISTRATIVE AGENT AND OTHER AGENTS</w:t>
            </w:r>
          </w:p>
        </w:tc>
        <w:tc>
          <w:tcPr>
            <w:tcW w:w="1620" w:type="dxa"/>
            <w:vAlign w:val="bottom"/>
          </w:tcPr>
          <w:p>
            <w:pPr>
              <w:spacing w:after="0"/>
              <w:rPr>
                <w:sz w:val="22"/>
                <w:szCs w:val="22"/>
                <w:color w:val="auto"/>
              </w:rPr>
            </w:pP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9.01. Appointment and Authorization of Agents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208</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9.02. Delegation of Duties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209</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9.03. Liability of Agents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209</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9.04. Reliance by Agents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210</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9.05. Notice of Default</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211</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9.06. Credit Decision; Disclosure of Information by Agents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211</w:t>
            </w:r>
          </w:p>
        </w:tc>
      </w:tr>
      <w:tr>
        <w:trPr>
          <w:trHeight w:val="258"/>
        </w:trPr>
        <w:tc>
          <w:tcPr>
            <w:tcW w:w="9140" w:type="dxa"/>
            <w:vAlign w:val="bottom"/>
            <w:gridSpan w:val="2"/>
          </w:tcPr>
          <w:p>
            <w:pPr>
              <w:spacing w:after="0"/>
              <w:rPr>
                <w:sz w:val="20"/>
                <w:szCs w:val="20"/>
                <w:color w:val="auto"/>
              </w:rPr>
            </w:pPr>
            <w:r>
              <w:rPr>
                <w:rFonts w:ascii="Arial" w:cs="Arial" w:eastAsia="Arial" w:hAnsi="Arial"/>
                <w:sz w:val="21"/>
                <w:szCs w:val="21"/>
                <w:color w:val="auto"/>
              </w:rPr>
              <w:t>Section 9.07. Indemnification of Agents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212</w:t>
            </w:r>
          </w:p>
        </w:tc>
      </w:tr>
      <w:tr>
        <w:trPr>
          <w:trHeight w:val="264"/>
        </w:trPr>
        <w:tc>
          <w:tcPr>
            <w:tcW w:w="9140" w:type="dxa"/>
            <w:vAlign w:val="bottom"/>
            <w:gridSpan w:val="2"/>
          </w:tcPr>
          <w:p>
            <w:pPr>
              <w:spacing w:after="0"/>
              <w:rPr>
                <w:sz w:val="20"/>
                <w:szCs w:val="20"/>
                <w:color w:val="auto"/>
              </w:rPr>
            </w:pPr>
            <w:r>
              <w:rPr>
                <w:rFonts w:ascii="Arial" w:cs="Arial" w:eastAsia="Arial" w:hAnsi="Arial"/>
                <w:sz w:val="21"/>
                <w:szCs w:val="21"/>
                <w:color w:val="auto"/>
              </w:rPr>
              <w:t>Section 9.08. Agents in Their Individual Capacities</w:t>
            </w:r>
          </w:p>
        </w:tc>
        <w:tc>
          <w:tcPr>
            <w:tcW w:w="1620" w:type="dxa"/>
            <w:vAlign w:val="bottom"/>
          </w:tcPr>
          <w:p>
            <w:pPr>
              <w:ind w:left="1300"/>
              <w:spacing w:after="0"/>
              <w:rPr>
                <w:sz w:val="20"/>
                <w:szCs w:val="20"/>
                <w:color w:val="auto"/>
              </w:rPr>
            </w:pPr>
            <w:r>
              <w:rPr>
                <w:rFonts w:ascii="Arial" w:cs="Arial" w:eastAsia="Arial" w:hAnsi="Arial"/>
                <w:sz w:val="21"/>
                <w:szCs w:val="21"/>
                <w:color w:val="auto"/>
                <w:w w:val="85"/>
              </w:rPr>
              <w:t>212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0760"/>
          </w:cols>
          <w:pgMar w:left="380" w:top="1395" w:right="7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9.09. Successor Agents</w:t>
            </w:r>
          </w:p>
        </w:tc>
        <w:tc>
          <w:tcPr>
            <w:tcW w:w="1780" w:type="dxa"/>
            <w:vAlign w:val="bottom"/>
          </w:tcPr>
          <w:p>
            <w:pPr>
              <w:jc w:val="right"/>
              <w:spacing w:after="0"/>
              <w:rPr>
                <w:sz w:val="20"/>
                <w:szCs w:val="20"/>
                <w:color w:val="auto"/>
              </w:rPr>
            </w:pPr>
            <w:r>
              <w:rPr>
                <w:rFonts w:ascii="Arial" w:cs="Arial" w:eastAsia="Arial" w:hAnsi="Arial"/>
                <w:sz w:val="21"/>
                <w:szCs w:val="21"/>
                <w:color w:val="auto"/>
              </w:rPr>
              <w:t>213</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9.10. Administrative Agent May File Proofs of Claim</w:t>
            </w:r>
          </w:p>
        </w:tc>
        <w:tc>
          <w:tcPr>
            <w:tcW w:w="1780" w:type="dxa"/>
            <w:vAlign w:val="bottom"/>
          </w:tcPr>
          <w:p>
            <w:pPr>
              <w:jc w:val="right"/>
              <w:spacing w:after="0"/>
              <w:rPr>
                <w:sz w:val="20"/>
                <w:szCs w:val="20"/>
                <w:color w:val="auto"/>
              </w:rPr>
            </w:pPr>
            <w:r>
              <w:rPr>
                <w:rFonts w:ascii="Arial" w:cs="Arial" w:eastAsia="Arial" w:hAnsi="Arial"/>
                <w:sz w:val="21"/>
                <w:szCs w:val="21"/>
                <w:color w:val="auto"/>
              </w:rPr>
              <w:t>214</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9.11. Collateral and Guaranty Matters</w:t>
            </w:r>
          </w:p>
        </w:tc>
        <w:tc>
          <w:tcPr>
            <w:tcW w:w="1780" w:type="dxa"/>
            <w:vAlign w:val="bottom"/>
          </w:tcPr>
          <w:p>
            <w:pPr>
              <w:jc w:val="right"/>
              <w:spacing w:after="0"/>
              <w:rPr>
                <w:sz w:val="20"/>
                <w:szCs w:val="20"/>
                <w:color w:val="auto"/>
              </w:rPr>
            </w:pPr>
            <w:r>
              <w:rPr>
                <w:rFonts w:ascii="Arial" w:cs="Arial" w:eastAsia="Arial" w:hAnsi="Arial"/>
                <w:sz w:val="21"/>
                <w:szCs w:val="21"/>
                <w:color w:val="auto"/>
              </w:rPr>
              <w:t>215</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9.12. Other Agents; Arrangers and Managers</w:t>
            </w:r>
          </w:p>
        </w:tc>
        <w:tc>
          <w:tcPr>
            <w:tcW w:w="1780" w:type="dxa"/>
            <w:vAlign w:val="bottom"/>
          </w:tcPr>
          <w:p>
            <w:pPr>
              <w:jc w:val="right"/>
              <w:spacing w:after="0"/>
              <w:rPr>
                <w:sz w:val="20"/>
                <w:szCs w:val="20"/>
                <w:color w:val="auto"/>
              </w:rPr>
            </w:pPr>
            <w:r>
              <w:rPr>
                <w:rFonts w:ascii="Arial" w:cs="Arial" w:eastAsia="Arial" w:hAnsi="Arial"/>
                <w:sz w:val="21"/>
                <w:szCs w:val="21"/>
                <w:color w:val="auto"/>
              </w:rPr>
              <w:t>218</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9.13. Withholding Tax Indemnity</w:t>
            </w:r>
          </w:p>
        </w:tc>
        <w:tc>
          <w:tcPr>
            <w:tcW w:w="1780" w:type="dxa"/>
            <w:vAlign w:val="bottom"/>
          </w:tcPr>
          <w:p>
            <w:pPr>
              <w:jc w:val="right"/>
              <w:spacing w:after="0"/>
              <w:rPr>
                <w:sz w:val="20"/>
                <w:szCs w:val="20"/>
                <w:color w:val="auto"/>
              </w:rPr>
            </w:pPr>
            <w:r>
              <w:rPr>
                <w:rFonts w:ascii="Arial" w:cs="Arial" w:eastAsia="Arial" w:hAnsi="Arial"/>
                <w:sz w:val="21"/>
                <w:szCs w:val="21"/>
                <w:color w:val="auto"/>
              </w:rPr>
              <w:t>218</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9.14. Appointment of Supplemental Agents</w:t>
            </w:r>
          </w:p>
        </w:tc>
        <w:tc>
          <w:tcPr>
            <w:tcW w:w="1780" w:type="dxa"/>
            <w:vAlign w:val="bottom"/>
          </w:tcPr>
          <w:p>
            <w:pPr>
              <w:jc w:val="right"/>
              <w:spacing w:after="0"/>
              <w:rPr>
                <w:sz w:val="20"/>
                <w:szCs w:val="20"/>
                <w:color w:val="auto"/>
              </w:rPr>
            </w:pPr>
            <w:r>
              <w:rPr>
                <w:rFonts w:ascii="Arial" w:cs="Arial" w:eastAsia="Arial" w:hAnsi="Arial"/>
                <w:sz w:val="21"/>
                <w:szCs w:val="21"/>
                <w:color w:val="auto"/>
              </w:rPr>
              <w:t>218</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9.15. ERISA Representation</w:t>
            </w:r>
          </w:p>
        </w:tc>
        <w:tc>
          <w:tcPr>
            <w:tcW w:w="1780" w:type="dxa"/>
            <w:vAlign w:val="bottom"/>
          </w:tcPr>
          <w:p>
            <w:pPr>
              <w:jc w:val="right"/>
              <w:spacing w:after="0"/>
              <w:rPr>
                <w:sz w:val="20"/>
                <w:szCs w:val="20"/>
                <w:color w:val="auto"/>
              </w:rPr>
            </w:pPr>
            <w:r>
              <w:rPr>
                <w:rFonts w:ascii="Arial" w:cs="Arial" w:eastAsia="Arial" w:hAnsi="Arial"/>
                <w:sz w:val="21"/>
                <w:szCs w:val="21"/>
                <w:color w:val="auto"/>
              </w:rPr>
              <w:t>219</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9.16. Erroneous Payments</w:t>
            </w:r>
          </w:p>
        </w:tc>
        <w:tc>
          <w:tcPr>
            <w:tcW w:w="1780" w:type="dxa"/>
            <w:vAlign w:val="bottom"/>
          </w:tcPr>
          <w:p>
            <w:pPr>
              <w:jc w:val="right"/>
              <w:spacing w:after="0"/>
              <w:rPr>
                <w:sz w:val="20"/>
                <w:szCs w:val="20"/>
                <w:color w:val="auto"/>
              </w:rPr>
            </w:pPr>
            <w:r>
              <w:rPr>
                <w:rFonts w:ascii="Arial" w:cs="Arial" w:eastAsia="Arial" w:hAnsi="Arial"/>
                <w:sz w:val="21"/>
                <w:szCs w:val="21"/>
                <w:color w:val="auto"/>
              </w:rPr>
              <w:t>220</w:t>
            </w:r>
          </w:p>
        </w:tc>
      </w:tr>
      <w:tr>
        <w:trPr>
          <w:trHeight w:val="206"/>
        </w:trPr>
        <w:tc>
          <w:tcPr>
            <w:tcW w:w="1300" w:type="dxa"/>
            <w:vAlign w:val="bottom"/>
          </w:tcPr>
          <w:p>
            <w:pPr>
              <w:spacing w:after="0"/>
              <w:rPr>
                <w:sz w:val="17"/>
                <w:szCs w:val="17"/>
                <w:color w:val="auto"/>
              </w:rPr>
            </w:pPr>
          </w:p>
        </w:tc>
        <w:tc>
          <w:tcPr>
            <w:tcW w:w="7680" w:type="dxa"/>
            <w:vAlign w:val="bottom"/>
          </w:tcPr>
          <w:p>
            <w:pPr>
              <w:jc w:val="center"/>
              <w:ind w:left="737"/>
              <w:spacing w:after="0" w:line="207" w:lineRule="exact"/>
              <w:rPr>
                <w:sz w:val="20"/>
                <w:szCs w:val="20"/>
                <w:color w:val="auto"/>
              </w:rPr>
            </w:pPr>
            <w:r>
              <w:rPr>
                <w:rFonts w:ascii="Arial" w:cs="Arial" w:eastAsia="Arial" w:hAnsi="Arial"/>
                <w:sz w:val="21"/>
                <w:szCs w:val="21"/>
                <w:color w:val="auto"/>
                <w:w w:val="94"/>
              </w:rPr>
              <w:t>ARTICLE 10</w:t>
            </w:r>
          </w:p>
        </w:tc>
        <w:tc>
          <w:tcPr>
            <w:tcW w:w="1780" w:type="dxa"/>
            <w:vAlign w:val="bottom"/>
          </w:tcPr>
          <w:p>
            <w:pPr>
              <w:spacing w:after="0"/>
              <w:rPr>
                <w:sz w:val="17"/>
                <w:szCs w:val="17"/>
                <w:color w:val="auto"/>
              </w:rPr>
            </w:pPr>
          </w:p>
        </w:tc>
      </w:tr>
      <w:tr>
        <w:trPr>
          <w:trHeight w:val="258"/>
        </w:trPr>
        <w:tc>
          <w:tcPr>
            <w:tcW w:w="1300" w:type="dxa"/>
            <w:vAlign w:val="bottom"/>
          </w:tcPr>
          <w:p>
            <w:pPr>
              <w:spacing w:after="0"/>
              <w:rPr>
                <w:sz w:val="22"/>
                <w:szCs w:val="22"/>
                <w:color w:val="auto"/>
              </w:rPr>
            </w:pPr>
          </w:p>
        </w:tc>
        <w:tc>
          <w:tcPr>
            <w:tcW w:w="7680" w:type="dxa"/>
            <w:vAlign w:val="bottom"/>
          </w:tcPr>
          <w:p>
            <w:pPr>
              <w:jc w:val="center"/>
              <w:ind w:left="737"/>
              <w:spacing w:after="0"/>
              <w:rPr>
                <w:sz w:val="20"/>
                <w:szCs w:val="20"/>
                <w:color w:val="auto"/>
              </w:rPr>
            </w:pPr>
            <w:r>
              <w:rPr>
                <w:rFonts w:ascii="Arial" w:cs="Arial" w:eastAsia="Arial" w:hAnsi="Arial"/>
                <w:sz w:val="21"/>
                <w:szCs w:val="21"/>
                <w:color w:val="auto"/>
                <w:w w:val="96"/>
              </w:rPr>
              <w:t>MISCELLANEOUS</w:t>
            </w:r>
          </w:p>
        </w:tc>
        <w:tc>
          <w:tcPr>
            <w:tcW w:w="1780" w:type="dxa"/>
            <w:vAlign w:val="bottom"/>
          </w:tcPr>
          <w:p>
            <w:pPr>
              <w:spacing w:after="0"/>
              <w:rPr>
                <w:sz w:val="22"/>
                <w:szCs w:val="22"/>
                <w:color w:val="auto"/>
              </w:rPr>
            </w:pP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10.01. Amendments, Etc.</w:t>
            </w:r>
          </w:p>
        </w:tc>
        <w:tc>
          <w:tcPr>
            <w:tcW w:w="1780" w:type="dxa"/>
            <w:vAlign w:val="bottom"/>
          </w:tcPr>
          <w:p>
            <w:pPr>
              <w:jc w:val="right"/>
              <w:spacing w:after="0"/>
              <w:rPr>
                <w:sz w:val="20"/>
                <w:szCs w:val="20"/>
                <w:color w:val="auto"/>
              </w:rPr>
            </w:pPr>
            <w:r>
              <w:rPr>
                <w:rFonts w:ascii="Arial" w:cs="Arial" w:eastAsia="Arial" w:hAnsi="Arial"/>
                <w:sz w:val="21"/>
                <w:szCs w:val="21"/>
                <w:color w:val="auto"/>
              </w:rPr>
              <w:t>223</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10.02. Notices and Other Communications; Facsimile Copies</w:t>
            </w:r>
          </w:p>
        </w:tc>
        <w:tc>
          <w:tcPr>
            <w:tcW w:w="1780" w:type="dxa"/>
            <w:vAlign w:val="bottom"/>
          </w:tcPr>
          <w:p>
            <w:pPr>
              <w:jc w:val="right"/>
              <w:spacing w:after="0"/>
              <w:rPr>
                <w:sz w:val="20"/>
                <w:szCs w:val="20"/>
                <w:color w:val="auto"/>
              </w:rPr>
            </w:pPr>
            <w:r>
              <w:rPr>
                <w:rFonts w:ascii="Arial" w:cs="Arial" w:eastAsia="Arial" w:hAnsi="Arial"/>
                <w:sz w:val="21"/>
                <w:szCs w:val="21"/>
                <w:color w:val="auto"/>
              </w:rPr>
              <w:t>227</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10.03. No Waiver; Cumulative Remedies</w:t>
            </w:r>
          </w:p>
        </w:tc>
        <w:tc>
          <w:tcPr>
            <w:tcW w:w="1780" w:type="dxa"/>
            <w:vAlign w:val="bottom"/>
          </w:tcPr>
          <w:p>
            <w:pPr>
              <w:jc w:val="right"/>
              <w:spacing w:after="0"/>
              <w:rPr>
                <w:sz w:val="20"/>
                <w:szCs w:val="20"/>
                <w:color w:val="auto"/>
              </w:rPr>
            </w:pPr>
            <w:r>
              <w:rPr>
                <w:rFonts w:ascii="Arial" w:cs="Arial" w:eastAsia="Arial" w:hAnsi="Arial"/>
                <w:sz w:val="21"/>
                <w:szCs w:val="21"/>
                <w:color w:val="auto"/>
              </w:rPr>
              <w:t>229</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10.04. Attorney Costs and Expenses</w:t>
            </w:r>
          </w:p>
        </w:tc>
        <w:tc>
          <w:tcPr>
            <w:tcW w:w="1780" w:type="dxa"/>
            <w:vAlign w:val="bottom"/>
          </w:tcPr>
          <w:p>
            <w:pPr>
              <w:jc w:val="right"/>
              <w:spacing w:after="0"/>
              <w:rPr>
                <w:sz w:val="20"/>
                <w:szCs w:val="20"/>
                <w:color w:val="auto"/>
              </w:rPr>
            </w:pPr>
            <w:r>
              <w:rPr>
                <w:rFonts w:ascii="Arial" w:cs="Arial" w:eastAsia="Arial" w:hAnsi="Arial"/>
                <w:sz w:val="21"/>
                <w:szCs w:val="21"/>
                <w:color w:val="auto"/>
              </w:rPr>
              <w:t>229</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10.05. Indemnification by the Borrower</w:t>
            </w:r>
          </w:p>
        </w:tc>
        <w:tc>
          <w:tcPr>
            <w:tcW w:w="1780" w:type="dxa"/>
            <w:vAlign w:val="bottom"/>
          </w:tcPr>
          <w:p>
            <w:pPr>
              <w:jc w:val="right"/>
              <w:spacing w:after="0"/>
              <w:rPr>
                <w:sz w:val="20"/>
                <w:szCs w:val="20"/>
                <w:color w:val="auto"/>
              </w:rPr>
            </w:pPr>
            <w:r>
              <w:rPr>
                <w:rFonts w:ascii="Arial" w:cs="Arial" w:eastAsia="Arial" w:hAnsi="Arial"/>
                <w:sz w:val="21"/>
                <w:szCs w:val="21"/>
                <w:color w:val="auto"/>
              </w:rPr>
              <w:t>230</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10.06. Payments Set Aside</w:t>
            </w:r>
          </w:p>
        </w:tc>
        <w:tc>
          <w:tcPr>
            <w:tcW w:w="1780" w:type="dxa"/>
            <w:vAlign w:val="bottom"/>
          </w:tcPr>
          <w:p>
            <w:pPr>
              <w:jc w:val="right"/>
              <w:spacing w:after="0"/>
              <w:rPr>
                <w:sz w:val="20"/>
                <w:szCs w:val="20"/>
                <w:color w:val="auto"/>
              </w:rPr>
            </w:pPr>
            <w:r>
              <w:rPr>
                <w:rFonts w:ascii="Arial" w:cs="Arial" w:eastAsia="Arial" w:hAnsi="Arial"/>
                <w:sz w:val="21"/>
                <w:szCs w:val="21"/>
                <w:color w:val="auto"/>
              </w:rPr>
              <w:t>231</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10.07. Successors and Assigns</w:t>
            </w:r>
          </w:p>
        </w:tc>
        <w:tc>
          <w:tcPr>
            <w:tcW w:w="1780" w:type="dxa"/>
            <w:vAlign w:val="bottom"/>
          </w:tcPr>
          <w:p>
            <w:pPr>
              <w:jc w:val="right"/>
              <w:spacing w:after="0"/>
              <w:rPr>
                <w:sz w:val="20"/>
                <w:szCs w:val="20"/>
                <w:color w:val="auto"/>
              </w:rPr>
            </w:pPr>
            <w:r>
              <w:rPr>
                <w:rFonts w:ascii="Arial" w:cs="Arial" w:eastAsia="Arial" w:hAnsi="Arial"/>
                <w:sz w:val="21"/>
                <w:szCs w:val="21"/>
                <w:color w:val="auto"/>
              </w:rPr>
              <w:t>232</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10.08. Confidentiality</w:t>
            </w:r>
          </w:p>
        </w:tc>
        <w:tc>
          <w:tcPr>
            <w:tcW w:w="1780" w:type="dxa"/>
            <w:vAlign w:val="bottom"/>
          </w:tcPr>
          <w:p>
            <w:pPr>
              <w:jc w:val="right"/>
              <w:spacing w:after="0"/>
              <w:rPr>
                <w:sz w:val="20"/>
                <w:szCs w:val="20"/>
                <w:color w:val="auto"/>
              </w:rPr>
            </w:pPr>
            <w:r>
              <w:rPr>
                <w:rFonts w:ascii="Arial" w:cs="Arial" w:eastAsia="Arial" w:hAnsi="Arial"/>
                <w:sz w:val="21"/>
                <w:szCs w:val="21"/>
                <w:color w:val="auto"/>
              </w:rPr>
              <w:t>242</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10.09. Setoff</w:t>
            </w:r>
          </w:p>
        </w:tc>
        <w:tc>
          <w:tcPr>
            <w:tcW w:w="1780" w:type="dxa"/>
            <w:vAlign w:val="bottom"/>
          </w:tcPr>
          <w:p>
            <w:pPr>
              <w:jc w:val="right"/>
              <w:spacing w:after="0"/>
              <w:rPr>
                <w:sz w:val="20"/>
                <w:szCs w:val="20"/>
                <w:color w:val="auto"/>
              </w:rPr>
            </w:pPr>
            <w:r>
              <w:rPr>
                <w:rFonts w:ascii="Arial" w:cs="Arial" w:eastAsia="Arial" w:hAnsi="Arial"/>
                <w:sz w:val="21"/>
                <w:szCs w:val="21"/>
                <w:color w:val="auto"/>
              </w:rPr>
              <w:t>244</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10.10. Interest Rate Limitation</w:t>
            </w:r>
          </w:p>
        </w:tc>
        <w:tc>
          <w:tcPr>
            <w:tcW w:w="1780" w:type="dxa"/>
            <w:vAlign w:val="bottom"/>
          </w:tcPr>
          <w:p>
            <w:pPr>
              <w:jc w:val="right"/>
              <w:spacing w:after="0"/>
              <w:rPr>
                <w:sz w:val="20"/>
                <w:szCs w:val="20"/>
                <w:color w:val="auto"/>
              </w:rPr>
            </w:pPr>
            <w:r>
              <w:rPr>
                <w:rFonts w:ascii="Arial" w:cs="Arial" w:eastAsia="Arial" w:hAnsi="Arial"/>
                <w:sz w:val="21"/>
                <w:szCs w:val="21"/>
                <w:color w:val="auto"/>
              </w:rPr>
              <w:t>244</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10.11. Counterparts</w:t>
            </w:r>
          </w:p>
        </w:tc>
        <w:tc>
          <w:tcPr>
            <w:tcW w:w="1780" w:type="dxa"/>
            <w:vAlign w:val="bottom"/>
          </w:tcPr>
          <w:p>
            <w:pPr>
              <w:jc w:val="right"/>
              <w:spacing w:after="0"/>
              <w:rPr>
                <w:sz w:val="20"/>
                <w:szCs w:val="20"/>
                <w:color w:val="auto"/>
              </w:rPr>
            </w:pPr>
            <w:r>
              <w:rPr>
                <w:rFonts w:ascii="Arial" w:cs="Arial" w:eastAsia="Arial" w:hAnsi="Arial"/>
                <w:sz w:val="21"/>
                <w:szCs w:val="21"/>
                <w:color w:val="auto"/>
              </w:rPr>
              <w:t>245</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10.12. Integration; Termination</w:t>
            </w:r>
          </w:p>
        </w:tc>
        <w:tc>
          <w:tcPr>
            <w:tcW w:w="1780" w:type="dxa"/>
            <w:vAlign w:val="bottom"/>
          </w:tcPr>
          <w:p>
            <w:pPr>
              <w:jc w:val="right"/>
              <w:spacing w:after="0"/>
              <w:rPr>
                <w:sz w:val="20"/>
                <w:szCs w:val="20"/>
                <w:color w:val="auto"/>
              </w:rPr>
            </w:pPr>
            <w:r>
              <w:rPr>
                <w:rFonts w:ascii="Arial" w:cs="Arial" w:eastAsia="Arial" w:hAnsi="Arial"/>
                <w:sz w:val="21"/>
                <w:szCs w:val="21"/>
                <w:color w:val="auto"/>
              </w:rPr>
              <w:t>245</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10.13. Survival of Representations and Warranties</w:t>
            </w:r>
          </w:p>
        </w:tc>
        <w:tc>
          <w:tcPr>
            <w:tcW w:w="1780" w:type="dxa"/>
            <w:vAlign w:val="bottom"/>
          </w:tcPr>
          <w:p>
            <w:pPr>
              <w:jc w:val="right"/>
              <w:spacing w:after="0"/>
              <w:rPr>
                <w:sz w:val="20"/>
                <w:szCs w:val="20"/>
                <w:color w:val="auto"/>
              </w:rPr>
            </w:pPr>
            <w:r>
              <w:rPr>
                <w:rFonts w:ascii="Arial" w:cs="Arial" w:eastAsia="Arial" w:hAnsi="Arial"/>
                <w:sz w:val="21"/>
                <w:szCs w:val="21"/>
                <w:color w:val="auto"/>
              </w:rPr>
              <w:t>245</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10.14. Severability</w:t>
            </w:r>
          </w:p>
        </w:tc>
        <w:tc>
          <w:tcPr>
            <w:tcW w:w="1780" w:type="dxa"/>
            <w:vAlign w:val="bottom"/>
          </w:tcPr>
          <w:p>
            <w:pPr>
              <w:jc w:val="right"/>
              <w:spacing w:after="0"/>
              <w:rPr>
                <w:sz w:val="20"/>
                <w:szCs w:val="20"/>
                <w:color w:val="auto"/>
              </w:rPr>
            </w:pPr>
            <w:r>
              <w:rPr>
                <w:rFonts w:ascii="Arial" w:cs="Arial" w:eastAsia="Arial" w:hAnsi="Arial"/>
                <w:sz w:val="21"/>
                <w:szCs w:val="21"/>
                <w:color w:val="auto"/>
              </w:rPr>
              <w:t>245</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10.15. GOVERNING LAW</w:t>
            </w:r>
          </w:p>
        </w:tc>
        <w:tc>
          <w:tcPr>
            <w:tcW w:w="1780" w:type="dxa"/>
            <w:vAlign w:val="bottom"/>
          </w:tcPr>
          <w:p>
            <w:pPr>
              <w:jc w:val="right"/>
              <w:spacing w:after="0"/>
              <w:rPr>
                <w:sz w:val="20"/>
                <w:szCs w:val="20"/>
                <w:color w:val="auto"/>
              </w:rPr>
            </w:pPr>
            <w:r>
              <w:rPr>
                <w:rFonts w:ascii="Arial" w:cs="Arial" w:eastAsia="Arial" w:hAnsi="Arial"/>
                <w:sz w:val="21"/>
                <w:szCs w:val="21"/>
                <w:color w:val="auto"/>
              </w:rPr>
              <w:t>246</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10.16. WAIVER OF RIGHT TO TRIAL BY JURY</w:t>
            </w:r>
          </w:p>
        </w:tc>
        <w:tc>
          <w:tcPr>
            <w:tcW w:w="1780" w:type="dxa"/>
            <w:vAlign w:val="bottom"/>
          </w:tcPr>
          <w:p>
            <w:pPr>
              <w:jc w:val="right"/>
              <w:spacing w:after="0"/>
              <w:rPr>
                <w:sz w:val="20"/>
                <w:szCs w:val="20"/>
                <w:color w:val="auto"/>
              </w:rPr>
            </w:pPr>
            <w:r>
              <w:rPr>
                <w:rFonts w:ascii="Arial" w:cs="Arial" w:eastAsia="Arial" w:hAnsi="Arial"/>
                <w:sz w:val="21"/>
                <w:szCs w:val="21"/>
                <w:color w:val="auto"/>
              </w:rPr>
              <w:t>246</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10.17. Binding Effect</w:t>
            </w:r>
          </w:p>
        </w:tc>
        <w:tc>
          <w:tcPr>
            <w:tcW w:w="1780" w:type="dxa"/>
            <w:vAlign w:val="bottom"/>
          </w:tcPr>
          <w:p>
            <w:pPr>
              <w:jc w:val="right"/>
              <w:spacing w:after="0"/>
              <w:rPr>
                <w:sz w:val="20"/>
                <w:szCs w:val="20"/>
                <w:color w:val="auto"/>
              </w:rPr>
            </w:pPr>
            <w:r>
              <w:rPr>
                <w:rFonts w:ascii="Arial" w:cs="Arial" w:eastAsia="Arial" w:hAnsi="Arial"/>
                <w:sz w:val="21"/>
                <w:szCs w:val="21"/>
                <w:color w:val="auto"/>
              </w:rPr>
              <w:t>247</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10.18. USA PATRIOT Act</w:t>
            </w:r>
          </w:p>
        </w:tc>
        <w:tc>
          <w:tcPr>
            <w:tcW w:w="1780" w:type="dxa"/>
            <w:vAlign w:val="bottom"/>
          </w:tcPr>
          <w:p>
            <w:pPr>
              <w:jc w:val="right"/>
              <w:spacing w:after="0"/>
              <w:rPr>
                <w:sz w:val="20"/>
                <w:szCs w:val="20"/>
                <w:color w:val="auto"/>
              </w:rPr>
            </w:pPr>
            <w:r>
              <w:rPr>
                <w:rFonts w:ascii="Arial" w:cs="Arial" w:eastAsia="Arial" w:hAnsi="Arial"/>
                <w:sz w:val="21"/>
                <w:szCs w:val="21"/>
                <w:color w:val="auto"/>
              </w:rPr>
              <w:t>247</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10.19. No Advisory or Fiduciary Responsibility</w:t>
            </w:r>
          </w:p>
        </w:tc>
        <w:tc>
          <w:tcPr>
            <w:tcW w:w="1780" w:type="dxa"/>
            <w:vAlign w:val="bottom"/>
          </w:tcPr>
          <w:p>
            <w:pPr>
              <w:jc w:val="right"/>
              <w:spacing w:after="0"/>
              <w:rPr>
                <w:sz w:val="20"/>
                <w:szCs w:val="20"/>
                <w:color w:val="auto"/>
              </w:rPr>
            </w:pPr>
            <w:r>
              <w:rPr>
                <w:rFonts w:ascii="Arial" w:cs="Arial" w:eastAsia="Arial" w:hAnsi="Arial"/>
                <w:sz w:val="21"/>
                <w:szCs w:val="21"/>
                <w:color w:val="auto"/>
              </w:rPr>
              <w:t>247</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10.20. Electronic Execution of Assignments</w:t>
            </w:r>
          </w:p>
        </w:tc>
        <w:tc>
          <w:tcPr>
            <w:tcW w:w="1780" w:type="dxa"/>
            <w:vAlign w:val="bottom"/>
          </w:tcPr>
          <w:p>
            <w:pPr>
              <w:jc w:val="right"/>
              <w:spacing w:after="0"/>
              <w:rPr>
                <w:sz w:val="20"/>
                <w:szCs w:val="20"/>
                <w:color w:val="auto"/>
              </w:rPr>
            </w:pPr>
            <w:r>
              <w:rPr>
                <w:rFonts w:ascii="Arial" w:cs="Arial" w:eastAsia="Arial" w:hAnsi="Arial"/>
                <w:sz w:val="21"/>
                <w:szCs w:val="21"/>
                <w:color w:val="auto"/>
              </w:rPr>
              <w:t>248</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10.21. Effect of Certain Inaccuracies</w:t>
            </w:r>
          </w:p>
        </w:tc>
        <w:tc>
          <w:tcPr>
            <w:tcW w:w="1780" w:type="dxa"/>
            <w:vAlign w:val="bottom"/>
          </w:tcPr>
          <w:p>
            <w:pPr>
              <w:jc w:val="right"/>
              <w:spacing w:after="0"/>
              <w:rPr>
                <w:sz w:val="20"/>
                <w:szCs w:val="20"/>
                <w:color w:val="auto"/>
              </w:rPr>
            </w:pPr>
            <w:r>
              <w:rPr>
                <w:rFonts w:ascii="Arial" w:cs="Arial" w:eastAsia="Arial" w:hAnsi="Arial"/>
                <w:sz w:val="21"/>
                <w:szCs w:val="21"/>
                <w:color w:val="auto"/>
              </w:rPr>
              <w:t>249</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10.22. Judgment Currency</w:t>
            </w:r>
          </w:p>
        </w:tc>
        <w:tc>
          <w:tcPr>
            <w:tcW w:w="1780" w:type="dxa"/>
            <w:vAlign w:val="bottom"/>
          </w:tcPr>
          <w:p>
            <w:pPr>
              <w:jc w:val="right"/>
              <w:spacing w:after="0"/>
              <w:rPr>
                <w:sz w:val="20"/>
                <w:szCs w:val="20"/>
                <w:color w:val="auto"/>
              </w:rPr>
            </w:pPr>
            <w:r>
              <w:rPr>
                <w:rFonts w:ascii="Arial" w:cs="Arial" w:eastAsia="Arial" w:hAnsi="Arial"/>
                <w:sz w:val="21"/>
                <w:szCs w:val="21"/>
                <w:color w:val="auto"/>
              </w:rPr>
              <w:t>249</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10.23. Acknowledgement and Consent to Bail-In of Affected Financial Institutions</w:t>
            </w:r>
          </w:p>
        </w:tc>
        <w:tc>
          <w:tcPr>
            <w:tcW w:w="1780" w:type="dxa"/>
            <w:vAlign w:val="bottom"/>
          </w:tcPr>
          <w:p>
            <w:pPr>
              <w:jc w:val="right"/>
              <w:spacing w:after="0"/>
              <w:rPr>
                <w:sz w:val="20"/>
                <w:szCs w:val="20"/>
                <w:color w:val="auto"/>
              </w:rPr>
            </w:pPr>
            <w:r>
              <w:rPr>
                <w:rFonts w:ascii="Arial" w:cs="Arial" w:eastAsia="Arial" w:hAnsi="Arial"/>
                <w:sz w:val="21"/>
                <w:szCs w:val="21"/>
                <w:color w:val="auto"/>
              </w:rPr>
              <w:t>249</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10.24. Cashless Rollovers</w:t>
            </w:r>
          </w:p>
        </w:tc>
        <w:tc>
          <w:tcPr>
            <w:tcW w:w="1780" w:type="dxa"/>
            <w:vAlign w:val="bottom"/>
          </w:tcPr>
          <w:p>
            <w:pPr>
              <w:jc w:val="right"/>
              <w:spacing w:after="0"/>
              <w:rPr>
                <w:sz w:val="20"/>
                <w:szCs w:val="20"/>
                <w:color w:val="auto"/>
              </w:rPr>
            </w:pPr>
            <w:r>
              <w:rPr>
                <w:rFonts w:ascii="Arial" w:cs="Arial" w:eastAsia="Arial" w:hAnsi="Arial"/>
                <w:sz w:val="21"/>
                <w:szCs w:val="21"/>
                <w:color w:val="auto"/>
              </w:rPr>
              <w:t>250</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10.25. Acknowledgement Regarding Any Supported QFCs</w:t>
            </w:r>
          </w:p>
        </w:tc>
        <w:tc>
          <w:tcPr>
            <w:tcW w:w="1780" w:type="dxa"/>
            <w:vAlign w:val="bottom"/>
          </w:tcPr>
          <w:p>
            <w:pPr>
              <w:jc w:val="right"/>
              <w:spacing w:after="0"/>
              <w:rPr>
                <w:sz w:val="20"/>
                <w:szCs w:val="20"/>
                <w:color w:val="auto"/>
              </w:rPr>
            </w:pPr>
            <w:r>
              <w:rPr>
                <w:rFonts w:ascii="Arial" w:cs="Arial" w:eastAsia="Arial" w:hAnsi="Arial"/>
                <w:sz w:val="21"/>
                <w:szCs w:val="21"/>
                <w:color w:val="auto"/>
              </w:rPr>
              <w:t>250</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10.26. Assumption, Release and Reaffirmation</w:t>
            </w:r>
          </w:p>
        </w:tc>
        <w:tc>
          <w:tcPr>
            <w:tcW w:w="1780" w:type="dxa"/>
            <w:vAlign w:val="bottom"/>
          </w:tcPr>
          <w:p>
            <w:pPr>
              <w:jc w:val="right"/>
              <w:spacing w:after="0"/>
              <w:rPr>
                <w:sz w:val="20"/>
                <w:szCs w:val="20"/>
                <w:color w:val="auto"/>
              </w:rPr>
            </w:pPr>
            <w:r>
              <w:rPr>
                <w:rFonts w:ascii="Arial" w:cs="Arial" w:eastAsia="Arial" w:hAnsi="Arial"/>
                <w:sz w:val="21"/>
                <w:szCs w:val="21"/>
                <w:color w:val="auto"/>
              </w:rPr>
              <w:t>251</w:t>
            </w:r>
          </w:p>
        </w:tc>
      </w:tr>
      <w:tr>
        <w:trPr>
          <w:trHeight w:val="258"/>
        </w:trPr>
        <w:tc>
          <w:tcPr>
            <w:tcW w:w="8980" w:type="dxa"/>
            <w:vAlign w:val="bottom"/>
            <w:gridSpan w:val="2"/>
          </w:tcPr>
          <w:p>
            <w:pPr>
              <w:spacing w:after="0"/>
              <w:rPr>
                <w:sz w:val="20"/>
                <w:szCs w:val="20"/>
                <w:color w:val="auto"/>
              </w:rPr>
            </w:pPr>
            <w:r>
              <w:rPr>
                <w:rFonts w:ascii="Arial" w:cs="Arial" w:eastAsia="Arial" w:hAnsi="Arial"/>
                <w:sz w:val="21"/>
                <w:szCs w:val="21"/>
                <w:color w:val="auto"/>
              </w:rPr>
              <w:t>Section 10.27. Amendment and Restatement</w:t>
            </w:r>
          </w:p>
        </w:tc>
        <w:tc>
          <w:tcPr>
            <w:tcW w:w="1780" w:type="dxa"/>
            <w:vAlign w:val="bottom"/>
          </w:tcPr>
          <w:p>
            <w:pPr>
              <w:jc w:val="right"/>
              <w:spacing w:after="0"/>
              <w:rPr>
                <w:sz w:val="20"/>
                <w:szCs w:val="20"/>
                <w:color w:val="auto"/>
              </w:rPr>
            </w:pPr>
            <w:r>
              <w:rPr>
                <w:rFonts w:ascii="Arial" w:cs="Arial" w:eastAsia="Arial" w:hAnsi="Arial"/>
                <w:sz w:val="21"/>
                <w:szCs w:val="21"/>
                <w:color w:val="auto"/>
              </w:rPr>
              <w:t>252</w:t>
            </w:r>
          </w:p>
        </w:tc>
      </w:tr>
      <w:tr>
        <w:trPr>
          <w:trHeight w:val="206"/>
        </w:trPr>
        <w:tc>
          <w:tcPr>
            <w:tcW w:w="1300" w:type="dxa"/>
            <w:vAlign w:val="bottom"/>
          </w:tcPr>
          <w:p>
            <w:pPr>
              <w:spacing w:after="0"/>
              <w:rPr>
                <w:sz w:val="17"/>
                <w:szCs w:val="17"/>
                <w:color w:val="auto"/>
              </w:rPr>
            </w:pPr>
          </w:p>
        </w:tc>
        <w:tc>
          <w:tcPr>
            <w:tcW w:w="7680" w:type="dxa"/>
            <w:vAlign w:val="bottom"/>
          </w:tcPr>
          <w:p>
            <w:pPr>
              <w:jc w:val="center"/>
              <w:ind w:left="737"/>
              <w:spacing w:after="0" w:line="207" w:lineRule="exact"/>
              <w:rPr>
                <w:sz w:val="20"/>
                <w:szCs w:val="20"/>
                <w:color w:val="auto"/>
              </w:rPr>
            </w:pPr>
            <w:r>
              <w:rPr>
                <w:rFonts w:ascii="Arial" w:cs="Arial" w:eastAsia="Arial" w:hAnsi="Arial"/>
                <w:sz w:val="21"/>
                <w:szCs w:val="21"/>
                <w:color w:val="auto"/>
                <w:w w:val="94"/>
              </w:rPr>
              <w:t>ARTICLE 11</w:t>
            </w:r>
          </w:p>
        </w:tc>
        <w:tc>
          <w:tcPr>
            <w:tcW w:w="1780" w:type="dxa"/>
            <w:vAlign w:val="bottom"/>
          </w:tcPr>
          <w:p>
            <w:pPr>
              <w:spacing w:after="0"/>
              <w:rPr>
                <w:sz w:val="17"/>
                <w:szCs w:val="17"/>
                <w:color w:val="auto"/>
              </w:rPr>
            </w:pPr>
          </w:p>
        </w:tc>
      </w:tr>
      <w:tr>
        <w:trPr>
          <w:trHeight w:val="258"/>
        </w:trPr>
        <w:tc>
          <w:tcPr>
            <w:tcW w:w="1300" w:type="dxa"/>
            <w:vAlign w:val="bottom"/>
          </w:tcPr>
          <w:p>
            <w:pPr>
              <w:spacing w:after="0"/>
              <w:rPr>
                <w:sz w:val="22"/>
                <w:szCs w:val="22"/>
                <w:color w:val="auto"/>
              </w:rPr>
            </w:pPr>
          </w:p>
        </w:tc>
        <w:tc>
          <w:tcPr>
            <w:tcW w:w="7680" w:type="dxa"/>
            <w:vAlign w:val="bottom"/>
          </w:tcPr>
          <w:p>
            <w:pPr>
              <w:jc w:val="center"/>
              <w:ind w:left="737"/>
              <w:spacing w:after="0"/>
              <w:rPr>
                <w:sz w:val="20"/>
                <w:szCs w:val="20"/>
                <w:color w:val="auto"/>
              </w:rPr>
            </w:pPr>
            <w:r>
              <w:rPr>
                <w:rFonts w:ascii="Arial" w:cs="Arial" w:eastAsia="Arial" w:hAnsi="Arial"/>
                <w:sz w:val="21"/>
                <w:szCs w:val="21"/>
                <w:color w:val="auto"/>
                <w:w w:val="99"/>
              </w:rPr>
              <w:t>GUARANTY</w:t>
            </w:r>
          </w:p>
        </w:tc>
        <w:tc>
          <w:tcPr>
            <w:tcW w:w="1780" w:type="dxa"/>
            <w:vAlign w:val="bottom"/>
          </w:tcPr>
          <w:p>
            <w:pPr>
              <w:spacing w:after="0"/>
              <w:rPr>
                <w:sz w:val="22"/>
                <w:szCs w:val="22"/>
                <w:color w:val="auto"/>
              </w:rPr>
            </w:pPr>
          </w:p>
        </w:tc>
      </w:tr>
      <w:tr>
        <w:trPr>
          <w:trHeight w:val="258"/>
        </w:trPr>
        <w:tc>
          <w:tcPr>
            <w:tcW w:w="1300" w:type="dxa"/>
            <w:vAlign w:val="bottom"/>
          </w:tcPr>
          <w:p>
            <w:pPr>
              <w:ind w:left="20"/>
              <w:spacing w:after="0"/>
              <w:rPr>
                <w:sz w:val="20"/>
                <w:szCs w:val="20"/>
                <w:color w:val="auto"/>
              </w:rPr>
            </w:pPr>
            <w:r>
              <w:rPr>
                <w:rFonts w:ascii="Arial" w:cs="Arial" w:eastAsia="Arial" w:hAnsi="Arial"/>
                <w:sz w:val="21"/>
                <w:szCs w:val="21"/>
                <w:color w:val="auto"/>
                <w:w w:val="93"/>
              </w:rPr>
              <w:t>Section 11.01.</w:t>
            </w:r>
          </w:p>
        </w:tc>
        <w:tc>
          <w:tcPr>
            <w:tcW w:w="7680" w:type="dxa"/>
            <w:vAlign w:val="bottom"/>
          </w:tcPr>
          <w:p>
            <w:pPr>
              <w:ind w:left="100"/>
              <w:spacing w:after="0"/>
              <w:rPr>
                <w:sz w:val="20"/>
                <w:szCs w:val="20"/>
                <w:color w:val="auto"/>
              </w:rPr>
            </w:pPr>
            <w:r>
              <w:rPr>
                <w:rFonts w:ascii="Arial" w:cs="Arial" w:eastAsia="Arial" w:hAnsi="Arial"/>
                <w:sz w:val="21"/>
                <w:szCs w:val="21"/>
                <w:color w:val="auto"/>
              </w:rPr>
              <w:t>The Guaranty</w:t>
            </w:r>
          </w:p>
        </w:tc>
        <w:tc>
          <w:tcPr>
            <w:tcW w:w="1780" w:type="dxa"/>
            <w:vAlign w:val="bottom"/>
          </w:tcPr>
          <w:p>
            <w:pPr>
              <w:jc w:val="right"/>
              <w:spacing w:after="0"/>
              <w:rPr>
                <w:sz w:val="20"/>
                <w:szCs w:val="20"/>
                <w:color w:val="auto"/>
              </w:rPr>
            </w:pPr>
            <w:r>
              <w:rPr>
                <w:rFonts w:ascii="Arial" w:cs="Arial" w:eastAsia="Arial" w:hAnsi="Arial"/>
                <w:sz w:val="21"/>
                <w:szCs w:val="21"/>
                <w:color w:val="auto"/>
              </w:rPr>
              <w:t>253</w:t>
            </w:r>
          </w:p>
        </w:tc>
      </w:tr>
      <w:tr>
        <w:trPr>
          <w:trHeight w:val="264"/>
        </w:trPr>
        <w:tc>
          <w:tcPr>
            <w:tcW w:w="1300" w:type="dxa"/>
            <w:vAlign w:val="bottom"/>
          </w:tcPr>
          <w:p>
            <w:pPr>
              <w:ind w:left="20"/>
              <w:spacing w:after="0"/>
              <w:rPr>
                <w:sz w:val="20"/>
                <w:szCs w:val="20"/>
                <w:color w:val="auto"/>
              </w:rPr>
            </w:pPr>
            <w:r>
              <w:rPr>
                <w:rFonts w:ascii="Arial" w:cs="Arial" w:eastAsia="Arial" w:hAnsi="Arial"/>
                <w:sz w:val="21"/>
                <w:szCs w:val="21"/>
                <w:color w:val="auto"/>
                <w:w w:val="93"/>
              </w:rPr>
              <w:t>Section 11.02.</w:t>
            </w:r>
          </w:p>
        </w:tc>
        <w:tc>
          <w:tcPr>
            <w:tcW w:w="7680" w:type="dxa"/>
            <w:vAlign w:val="bottom"/>
          </w:tcPr>
          <w:p>
            <w:pPr>
              <w:ind w:left="100"/>
              <w:spacing w:after="0"/>
              <w:rPr>
                <w:sz w:val="20"/>
                <w:szCs w:val="20"/>
                <w:color w:val="auto"/>
              </w:rPr>
            </w:pPr>
            <w:r>
              <w:rPr>
                <w:rFonts w:ascii="Arial" w:cs="Arial" w:eastAsia="Arial" w:hAnsi="Arial"/>
                <w:sz w:val="21"/>
                <w:szCs w:val="21"/>
                <w:color w:val="auto"/>
              </w:rPr>
              <w:t>Obligations Unconditional</w:t>
            </w:r>
          </w:p>
        </w:tc>
        <w:tc>
          <w:tcPr>
            <w:tcW w:w="1780" w:type="dxa"/>
            <w:vAlign w:val="bottom"/>
          </w:tcPr>
          <w:p>
            <w:pPr>
              <w:jc w:val="right"/>
              <w:spacing w:after="0"/>
              <w:rPr>
                <w:sz w:val="20"/>
                <w:szCs w:val="20"/>
                <w:color w:val="auto"/>
              </w:rPr>
            </w:pPr>
            <w:r>
              <w:rPr>
                <w:rFonts w:ascii="Arial" w:cs="Arial" w:eastAsia="Arial" w:hAnsi="Arial"/>
                <w:sz w:val="21"/>
                <w:szCs w:val="21"/>
                <w:color w:val="auto"/>
              </w:rPr>
              <w:t>253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0760"/>
          </w:cols>
          <w:pgMar w:left="380" w:top="1395" w:right="7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8"/>
        </w:trPr>
        <w:tc>
          <w:tcPr>
            <w:tcW w:w="7700" w:type="dxa"/>
            <w:vAlign w:val="bottom"/>
          </w:tcPr>
          <w:p>
            <w:pPr>
              <w:spacing w:after="0"/>
              <w:rPr>
                <w:sz w:val="20"/>
                <w:szCs w:val="20"/>
                <w:color w:val="auto"/>
              </w:rPr>
            </w:pPr>
            <w:r>
              <w:rPr>
                <w:rFonts w:ascii="Arial" w:cs="Arial" w:eastAsia="Arial" w:hAnsi="Arial"/>
                <w:sz w:val="21"/>
                <w:szCs w:val="21"/>
                <w:color w:val="auto"/>
              </w:rPr>
              <w:t>Section 11.03. Reinstatement</w:t>
            </w:r>
          </w:p>
        </w:tc>
        <w:tc>
          <w:tcPr>
            <w:tcW w:w="3040" w:type="dxa"/>
            <w:vAlign w:val="bottom"/>
          </w:tcPr>
          <w:p>
            <w:pPr>
              <w:jc w:val="right"/>
              <w:spacing w:after="0"/>
              <w:rPr>
                <w:sz w:val="20"/>
                <w:szCs w:val="20"/>
                <w:color w:val="auto"/>
              </w:rPr>
            </w:pPr>
            <w:r>
              <w:rPr>
                <w:rFonts w:ascii="Arial" w:cs="Arial" w:eastAsia="Arial" w:hAnsi="Arial"/>
                <w:sz w:val="21"/>
                <w:szCs w:val="21"/>
                <w:color w:val="auto"/>
              </w:rPr>
              <w:t>255</w:t>
            </w:r>
          </w:p>
        </w:tc>
      </w:tr>
      <w:tr>
        <w:trPr>
          <w:trHeight w:val="258"/>
        </w:trPr>
        <w:tc>
          <w:tcPr>
            <w:tcW w:w="7700" w:type="dxa"/>
            <w:vAlign w:val="bottom"/>
          </w:tcPr>
          <w:p>
            <w:pPr>
              <w:spacing w:after="0"/>
              <w:rPr>
                <w:sz w:val="20"/>
                <w:szCs w:val="20"/>
                <w:color w:val="auto"/>
              </w:rPr>
            </w:pPr>
            <w:r>
              <w:rPr>
                <w:rFonts w:ascii="Arial" w:cs="Arial" w:eastAsia="Arial" w:hAnsi="Arial"/>
                <w:sz w:val="21"/>
                <w:szCs w:val="21"/>
                <w:color w:val="auto"/>
              </w:rPr>
              <w:t>Section 11.04. Subrogation; Subordination</w:t>
            </w:r>
          </w:p>
        </w:tc>
        <w:tc>
          <w:tcPr>
            <w:tcW w:w="3040" w:type="dxa"/>
            <w:vAlign w:val="bottom"/>
          </w:tcPr>
          <w:p>
            <w:pPr>
              <w:jc w:val="right"/>
              <w:spacing w:after="0"/>
              <w:rPr>
                <w:sz w:val="20"/>
                <w:szCs w:val="20"/>
                <w:color w:val="auto"/>
              </w:rPr>
            </w:pPr>
            <w:r>
              <w:rPr>
                <w:rFonts w:ascii="Arial" w:cs="Arial" w:eastAsia="Arial" w:hAnsi="Arial"/>
                <w:sz w:val="21"/>
                <w:szCs w:val="21"/>
                <w:color w:val="auto"/>
              </w:rPr>
              <w:t>255</w:t>
            </w:r>
          </w:p>
        </w:tc>
      </w:tr>
      <w:tr>
        <w:trPr>
          <w:trHeight w:val="258"/>
        </w:trPr>
        <w:tc>
          <w:tcPr>
            <w:tcW w:w="7700" w:type="dxa"/>
            <w:vAlign w:val="bottom"/>
          </w:tcPr>
          <w:p>
            <w:pPr>
              <w:spacing w:after="0"/>
              <w:rPr>
                <w:sz w:val="20"/>
                <w:szCs w:val="20"/>
                <w:color w:val="auto"/>
              </w:rPr>
            </w:pPr>
            <w:r>
              <w:rPr>
                <w:rFonts w:ascii="Arial" w:cs="Arial" w:eastAsia="Arial" w:hAnsi="Arial"/>
                <w:sz w:val="21"/>
                <w:szCs w:val="21"/>
                <w:color w:val="auto"/>
              </w:rPr>
              <w:t>Section 11.05. Remedies</w:t>
            </w:r>
          </w:p>
        </w:tc>
        <w:tc>
          <w:tcPr>
            <w:tcW w:w="3040" w:type="dxa"/>
            <w:vAlign w:val="bottom"/>
          </w:tcPr>
          <w:p>
            <w:pPr>
              <w:jc w:val="right"/>
              <w:spacing w:after="0"/>
              <w:rPr>
                <w:sz w:val="20"/>
                <w:szCs w:val="20"/>
                <w:color w:val="auto"/>
              </w:rPr>
            </w:pPr>
            <w:r>
              <w:rPr>
                <w:rFonts w:ascii="Arial" w:cs="Arial" w:eastAsia="Arial" w:hAnsi="Arial"/>
                <w:sz w:val="21"/>
                <w:szCs w:val="21"/>
                <w:color w:val="auto"/>
              </w:rPr>
              <w:t>255</w:t>
            </w:r>
          </w:p>
        </w:tc>
      </w:tr>
      <w:tr>
        <w:trPr>
          <w:trHeight w:val="258"/>
        </w:trPr>
        <w:tc>
          <w:tcPr>
            <w:tcW w:w="7700" w:type="dxa"/>
            <w:vAlign w:val="bottom"/>
          </w:tcPr>
          <w:p>
            <w:pPr>
              <w:spacing w:after="0"/>
              <w:rPr>
                <w:sz w:val="20"/>
                <w:szCs w:val="20"/>
                <w:color w:val="auto"/>
              </w:rPr>
            </w:pPr>
            <w:r>
              <w:rPr>
                <w:rFonts w:ascii="Arial" w:cs="Arial" w:eastAsia="Arial" w:hAnsi="Arial"/>
                <w:sz w:val="21"/>
                <w:szCs w:val="21"/>
                <w:color w:val="auto"/>
              </w:rPr>
              <w:t>Section 11.06. Instrument for the Payment of Money</w:t>
            </w:r>
          </w:p>
        </w:tc>
        <w:tc>
          <w:tcPr>
            <w:tcW w:w="3040" w:type="dxa"/>
            <w:vAlign w:val="bottom"/>
          </w:tcPr>
          <w:p>
            <w:pPr>
              <w:jc w:val="right"/>
              <w:spacing w:after="0"/>
              <w:rPr>
                <w:sz w:val="20"/>
                <w:szCs w:val="20"/>
                <w:color w:val="auto"/>
              </w:rPr>
            </w:pPr>
            <w:r>
              <w:rPr>
                <w:rFonts w:ascii="Arial" w:cs="Arial" w:eastAsia="Arial" w:hAnsi="Arial"/>
                <w:sz w:val="21"/>
                <w:szCs w:val="21"/>
                <w:color w:val="auto"/>
              </w:rPr>
              <w:t>255</w:t>
            </w:r>
          </w:p>
        </w:tc>
      </w:tr>
      <w:tr>
        <w:trPr>
          <w:trHeight w:val="258"/>
        </w:trPr>
        <w:tc>
          <w:tcPr>
            <w:tcW w:w="7700" w:type="dxa"/>
            <w:vAlign w:val="bottom"/>
          </w:tcPr>
          <w:p>
            <w:pPr>
              <w:spacing w:after="0"/>
              <w:rPr>
                <w:sz w:val="20"/>
                <w:szCs w:val="20"/>
                <w:color w:val="auto"/>
              </w:rPr>
            </w:pPr>
            <w:r>
              <w:rPr>
                <w:rFonts w:ascii="Arial" w:cs="Arial" w:eastAsia="Arial" w:hAnsi="Arial"/>
                <w:sz w:val="21"/>
                <w:szCs w:val="21"/>
                <w:color w:val="auto"/>
              </w:rPr>
              <w:t>Section 11.07. Continuing Guaranty</w:t>
            </w:r>
          </w:p>
        </w:tc>
        <w:tc>
          <w:tcPr>
            <w:tcW w:w="3040" w:type="dxa"/>
            <w:vAlign w:val="bottom"/>
          </w:tcPr>
          <w:p>
            <w:pPr>
              <w:jc w:val="right"/>
              <w:spacing w:after="0"/>
              <w:rPr>
                <w:sz w:val="20"/>
                <w:szCs w:val="20"/>
                <w:color w:val="auto"/>
              </w:rPr>
            </w:pPr>
            <w:r>
              <w:rPr>
                <w:rFonts w:ascii="Arial" w:cs="Arial" w:eastAsia="Arial" w:hAnsi="Arial"/>
                <w:sz w:val="21"/>
                <w:szCs w:val="21"/>
                <w:color w:val="auto"/>
              </w:rPr>
              <w:t>256</w:t>
            </w:r>
          </w:p>
        </w:tc>
      </w:tr>
      <w:tr>
        <w:trPr>
          <w:trHeight w:val="258"/>
        </w:trPr>
        <w:tc>
          <w:tcPr>
            <w:tcW w:w="7700" w:type="dxa"/>
            <w:vAlign w:val="bottom"/>
          </w:tcPr>
          <w:p>
            <w:pPr>
              <w:spacing w:after="0"/>
              <w:rPr>
                <w:sz w:val="20"/>
                <w:szCs w:val="20"/>
                <w:color w:val="auto"/>
              </w:rPr>
            </w:pPr>
            <w:r>
              <w:rPr>
                <w:rFonts w:ascii="Arial" w:cs="Arial" w:eastAsia="Arial" w:hAnsi="Arial"/>
                <w:sz w:val="21"/>
                <w:szCs w:val="21"/>
                <w:color w:val="auto"/>
              </w:rPr>
              <w:t>Section 11.08. General Limitation on Guarantee Obligations</w:t>
            </w:r>
          </w:p>
        </w:tc>
        <w:tc>
          <w:tcPr>
            <w:tcW w:w="3040" w:type="dxa"/>
            <w:vAlign w:val="bottom"/>
          </w:tcPr>
          <w:p>
            <w:pPr>
              <w:jc w:val="right"/>
              <w:spacing w:after="0"/>
              <w:rPr>
                <w:sz w:val="20"/>
                <w:szCs w:val="20"/>
                <w:color w:val="auto"/>
              </w:rPr>
            </w:pPr>
            <w:r>
              <w:rPr>
                <w:rFonts w:ascii="Arial" w:cs="Arial" w:eastAsia="Arial" w:hAnsi="Arial"/>
                <w:sz w:val="21"/>
                <w:szCs w:val="21"/>
                <w:color w:val="auto"/>
              </w:rPr>
              <w:t>256</w:t>
            </w:r>
          </w:p>
        </w:tc>
      </w:tr>
      <w:tr>
        <w:trPr>
          <w:trHeight w:val="258"/>
        </w:trPr>
        <w:tc>
          <w:tcPr>
            <w:tcW w:w="7700" w:type="dxa"/>
            <w:vAlign w:val="bottom"/>
          </w:tcPr>
          <w:p>
            <w:pPr>
              <w:spacing w:after="0"/>
              <w:rPr>
                <w:sz w:val="20"/>
                <w:szCs w:val="20"/>
                <w:color w:val="auto"/>
              </w:rPr>
            </w:pPr>
            <w:r>
              <w:rPr>
                <w:rFonts w:ascii="Arial" w:cs="Arial" w:eastAsia="Arial" w:hAnsi="Arial"/>
                <w:sz w:val="21"/>
                <w:szCs w:val="21"/>
                <w:color w:val="auto"/>
              </w:rPr>
              <w:t>Section 11.09. Information</w:t>
            </w:r>
          </w:p>
        </w:tc>
        <w:tc>
          <w:tcPr>
            <w:tcW w:w="3040" w:type="dxa"/>
            <w:vAlign w:val="bottom"/>
          </w:tcPr>
          <w:p>
            <w:pPr>
              <w:jc w:val="right"/>
              <w:spacing w:after="0"/>
              <w:rPr>
                <w:sz w:val="20"/>
                <w:szCs w:val="20"/>
                <w:color w:val="auto"/>
              </w:rPr>
            </w:pPr>
            <w:r>
              <w:rPr>
                <w:rFonts w:ascii="Arial" w:cs="Arial" w:eastAsia="Arial" w:hAnsi="Arial"/>
                <w:sz w:val="21"/>
                <w:szCs w:val="21"/>
                <w:color w:val="auto"/>
              </w:rPr>
              <w:t>256</w:t>
            </w:r>
          </w:p>
        </w:tc>
      </w:tr>
      <w:tr>
        <w:trPr>
          <w:trHeight w:val="258"/>
        </w:trPr>
        <w:tc>
          <w:tcPr>
            <w:tcW w:w="7700" w:type="dxa"/>
            <w:vAlign w:val="bottom"/>
          </w:tcPr>
          <w:p>
            <w:pPr>
              <w:spacing w:after="0"/>
              <w:rPr>
                <w:sz w:val="20"/>
                <w:szCs w:val="20"/>
                <w:color w:val="auto"/>
              </w:rPr>
            </w:pPr>
            <w:r>
              <w:rPr>
                <w:rFonts w:ascii="Arial" w:cs="Arial" w:eastAsia="Arial" w:hAnsi="Arial"/>
                <w:sz w:val="21"/>
                <w:szCs w:val="21"/>
                <w:color w:val="auto"/>
              </w:rPr>
              <w:t>Section 11.10. Release of Guarantors</w:t>
            </w:r>
          </w:p>
        </w:tc>
        <w:tc>
          <w:tcPr>
            <w:tcW w:w="3040" w:type="dxa"/>
            <w:vAlign w:val="bottom"/>
          </w:tcPr>
          <w:p>
            <w:pPr>
              <w:jc w:val="right"/>
              <w:spacing w:after="0"/>
              <w:rPr>
                <w:sz w:val="20"/>
                <w:szCs w:val="20"/>
                <w:color w:val="auto"/>
              </w:rPr>
            </w:pPr>
            <w:r>
              <w:rPr>
                <w:rFonts w:ascii="Arial" w:cs="Arial" w:eastAsia="Arial" w:hAnsi="Arial"/>
                <w:sz w:val="21"/>
                <w:szCs w:val="21"/>
                <w:color w:val="auto"/>
              </w:rPr>
              <w:t>256</w:t>
            </w:r>
          </w:p>
        </w:tc>
      </w:tr>
      <w:tr>
        <w:trPr>
          <w:trHeight w:val="258"/>
        </w:trPr>
        <w:tc>
          <w:tcPr>
            <w:tcW w:w="7700" w:type="dxa"/>
            <w:vAlign w:val="bottom"/>
          </w:tcPr>
          <w:p>
            <w:pPr>
              <w:spacing w:after="0"/>
              <w:rPr>
                <w:sz w:val="20"/>
                <w:szCs w:val="20"/>
                <w:color w:val="auto"/>
              </w:rPr>
            </w:pPr>
            <w:r>
              <w:rPr>
                <w:rFonts w:ascii="Arial" w:cs="Arial" w:eastAsia="Arial" w:hAnsi="Arial"/>
                <w:sz w:val="21"/>
                <w:szCs w:val="21"/>
                <w:color w:val="auto"/>
              </w:rPr>
              <w:t>Section 11.11. Right of Contribution</w:t>
            </w:r>
          </w:p>
        </w:tc>
        <w:tc>
          <w:tcPr>
            <w:tcW w:w="3040" w:type="dxa"/>
            <w:vAlign w:val="bottom"/>
          </w:tcPr>
          <w:p>
            <w:pPr>
              <w:jc w:val="right"/>
              <w:spacing w:after="0"/>
              <w:rPr>
                <w:sz w:val="20"/>
                <w:szCs w:val="20"/>
                <w:color w:val="auto"/>
              </w:rPr>
            </w:pPr>
            <w:r>
              <w:rPr>
                <w:rFonts w:ascii="Arial" w:cs="Arial" w:eastAsia="Arial" w:hAnsi="Arial"/>
                <w:sz w:val="21"/>
                <w:szCs w:val="21"/>
                <w:color w:val="auto"/>
              </w:rPr>
              <w:t>257</w:t>
            </w:r>
          </w:p>
        </w:tc>
      </w:tr>
      <w:tr>
        <w:trPr>
          <w:trHeight w:val="264"/>
        </w:trPr>
        <w:tc>
          <w:tcPr>
            <w:tcW w:w="7700" w:type="dxa"/>
            <w:vAlign w:val="bottom"/>
          </w:tcPr>
          <w:p>
            <w:pPr>
              <w:spacing w:after="0"/>
              <w:rPr>
                <w:sz w:val="20"/>
                <w:szCs w:val="20"/>
                <w:color w:val="auto"/>
              </w:rPr>
            </w:pPr>
            <w:r>
              <w:rPr>
                <w:rFonts w:ascii="Arial" w:cs="Arial" w:eastAsia="Arial" w:hAnsi="Arial"/>
                <w:sz w:val="21"/>
                <w:szCs w:val="21"/>
                <w:color w:val="auto"/>
              </w:rPr>
              <w:t>Section 11.12. Cross-Guaranty</w:t>
            </w:r>
          </w:p>
        </w:tc>
        <w:tc>
          <w:tcPr>
            <w:tcW w:w="3040" w:type="dxa"/>
            <w:vAlign w:val="bottom"/>
          </w:tcPr>
          <w:p>
            <w:pPr>
              <w:jc w:val="right"/>
              <w:spacing w:after="0"/>
              <w:rPr>
                <w:sz w:val="20"/>
                <w:szCs w:val="20"/>
                <w:color w:val="auto"/>
              </w:rPr>
            </w:pPr>
            <w:r>
              <w:rPr>
                <w:rFonts w:ascii="Arial" w:cs="Arial" w:eastAsia="Arial" w:hAnsi="Arial"/>
                <w:sz w:val="21"/>
                <w:szCs w:val="21"/>
                <w:color w:val="auto"/>
              </w:rPr>
              <w:t>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21"/>
          <w:szCs w:val="21"/>
          <w:color w:val="auto"/>
        </w:rPr>
        <w:t>v</w:t>
      </w:r>
    </w:p>
    <w:p>
      <w:pPr>
        <w:sectPr>
          <w:pgSz w:w="11900" w:h="16838" w:orient="portrait"/>
          <w:cols w:equalWidth="0" w:num="1">
            <w:col w:w="10740"/>
          </w:cols>
          <w:pgMar w:left="380" w:top="1395" w:right="779" w:bottom="1440" w:gutter="0" w:footer="0" w:header="0"/>
        </w:sectPr>
      </w:pPr>
    </w:p>
    <w:bookmarkStart w:id="46" w:name="page47"/>
    <w:bookmarkEnd w:id="46"/>
    <w:p>
      <w:pPr>
        <w:spacing w:after="0"/>
        <w:rPr>
          <w:sz w:val="20"/>
          <w:szCs w:val="20"/>
          <w:color w:val="auto"/>
        </w:rPr>
      </w:pPr>
      <w:r>
        <w:rPr>
          <w:rFonts w:ascii="Arial" w:cs="Arial" w:eastAsia="Arial" w:hAnsi="Arial"/>
          <w:sz w:val="21"/>
          <w:szCs w:val="21"/>
          <w:color w:val="auto"/>
        </w:rPr>
        <w:t>SCHEDULES</w:t>
      </w:r>
    </w:p>
    <w:p>
      <w:pPr>
        <w:spacing w:after="0" w:line="154"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21"/>
          <w:szCs w:val="21"/>
          <w:color w:val="auto"/>
        </w:rPr>
        <w:t>1.01A</w:t>
      </w:r>
      <w:r>
        <w:rPr>
          <w:sz w:val="20"/>
          <w:szCs w:val="20"/>
          <w:color w:val="auto"/>
        </w:rPr>
        <w:tab/>
      </w:r>
      <w:r>
        <w:rPr>
          <w:rFonts w:ascii="Arial" w:cs="Arial" w:eastAsia="Arial" w:hAnsi="Arial"/>
          <w:sz w:val="19"/>
          <w:szCs w:val="19"/>
          <w:color w:val="auto"/>
        </w:rPr>
        <w:t>Commitments</w:t>
      </w:r>
    </w:p>
    <w:p>
      <w:pPr>
        <w:ind w:left="620"/>
        <w:spacing w:after="0" w:line="226" w:lineRule="auto"/>
        <w:tabs>
          <w:tab w:leader="none" w:pos="1300" w:val="left"/>
        </w:tabs>
        <w:rPr>
          <w:sz w:val="20"/>
          <w:szCs w:val="20"/>
          <w:color w:val="auto"/>
        </w:rPr>
      </w:pPr>
      <w:r>
        <w:rPr>
          <w:rFonts w:ascii="Arial" w:cs="Arial" w:eastAsia="Arial" w:hAnsi="Arial"/>
          <w:sz w:val="21"/>
          <w:szCs w:val="21"/>
          <w:color w:val="auto"/>
        </w:rPr>
        <w:t>1.01B</w:t>
      </w:r>
      <w:r>
        <w:rPr>
          <w:sz w:val="20"/>
          <w:szCs w:val="20"/>
          <w:color w:val="auto"/>
        </w:rPr>
        <w:tab/>
      </w:r>
      <w:r>
        <w:rPr>
          <w:rFonts w:ascii="Arial" w:cs="Arial" w:eastAsia="Arial" w:hAnsi="Arial"/>
          <w:sz w:val="19"/>
          <w:szCs w:val="19"/>
          <w:color w:val="auto"/>
        </w:rPr>
        <w:t>Collateral Documents</w:t>
      </w:r>
    </w:p>
    <w:p>
      <w:pPr>
        <w:ind w:left="620"/>
        <w:spacing w:after="0"/>
        <w:tabs>
          <w:tab w:leader="none" w:pos="1300" w:val="left"/>
        </w:tabs>
        <w:rPr>
          <w:sz w:val="20"/>
          <w:szCs w:val="20"/>
          <w:color w:val="auto"/>
        </w:rPr>
      </w:pPr>
      <w:r>
        <w:rPr>
          <w:rFonts w:ascii="Arial" w:cs="Arial" w:eastAsia="Arial" w:hAnsi="Arial"/>
          <w:sz w:val="21"/>
          <w:szCs w:val="21"/>
          <w:color w:val="auto"/>
        </w:rPr>
        <w:t>1.01C</w:t>
      </w:r>
      <w:r>
        <w:rPr>
          <w:sz w:val="20"/>
          <w:szCs w:val="20"/>
          <w:color w:val="auto"/>
        </w:rPr>
        <w:tab/>
      </w:r>
      <w:r>
        <w:rPr>
          <w:rFonts w:ascii="Arial" w:cs="Arial" w:eastAsia="Arial" w:hAnsi="Arial"/>
          <w:sz w:val="18"/>
          <w:szCs w:val="18"/>
          <w:color w:val="auto"/>
        </w:rPr>
        <w:t>Unrestricted Subsidiaries</w:t>
      </w:r>
    </w:p>
    <w:p>
      <w:pPr>
        <w:ind w:left="620"/>
        <w:spacing w:after="0" w:line="226" w:lineRule="auto"/>
        <w:tabs>
          <w:tab w:leader="none" w:pos="1320" w:val="left"/>
        </w:tabs>
        <w:rPr>
          <w:sz w:val="20"/>
          <w:szCs w:val="20"/>
          <w:color w:val="auto"/>
        </w:rPr>
      </w:pPr>
      <w:r>
        <w:rPr>
          <w:rFonts w:ascii="Arial" w:cs="Arial" w:eastAsia="Arial" w:hAnsi="Arial"/>
          <w:sz w:val="21"/>
          <w:szCs w:val="21"/>
          <w:color w:val="auto"/>
        </w:rPr>
        <w:t>1.01D</w:t>
      </w:r>
      <w:r>
        <w:rPr>
          <w:sz w:val="20"/>
          <w:szCs w:val="20"/>
          <w:color w:val="auto"/>
        </w:rPr>
        <w:tab/>
      </w:r>
      <w:r>
        <w:rPr>
          <w:rFonts w:ascii="Arial" w:cs="Arial" w:eastAsia="Arial" w:hAnsi="Arial"/>
          <w:sz w:val="19"/>
          <w:szCs w:val="19"/>
          <w:color w:val="auto"/>
        </w:rPr>
        <w:t>Existing Letters of Credit</w:t>
      </w:r>
    </w:p>
    <w:p>
      <w:pPr>
        <w:ind w:left="620"/>
        <w:spacing w:after="0" w:line="226" w:lineRule="auto"/>
        <w:tabs>
          <w:tab w:leader="none" w:pos="1160" w:val="left"/>
        </w:tabs>
        <w:rPr>
          <w:sz w:val="20"/>
          <w:szCs w:val="20"/>
          <w:color w:val="auto"/>
        </w:rPr>
      </w:pPr>
      <w:r>
        <w:rPr>
          <w:rFonts w:ascii="Arial" w:cs="Arial" w:eastAsia="Arial" w:hAnsi="Arial"/>
          <w:sz w:val="21"/>
          <w:szCs w:val="21"/>
          <w:color w:val="auto"/>
        </w:rPr>
        <w:t>5.05</w:t>
      </w:r>
      <w:r>
        <w:rPr>
          <w:sz w:val="20"/>
          <w:szCs w:val="20"/>
          <w:color w:val="auto"/>
        </w:rPr>
        <w:tab/>
      </w:r>
      <w:r>
        <w:rPr>
          <w:rFonts w:ascii="Arial" w:cs="Arial" w:eastAsia="Arial" w:hAnsi="Arial"/>
          <w:sz w:val="19"/>
          <w:szCs w:val="19"/>
          <w:color w:val="auto"/>
        </w:rPr>
        <w:t>Certain Liabilities</w:t>
      </w:r>
    </w:p>
    <w:p>
      <w:pPr>
        <w:ind w:left="620"/>
        <w:spacing w:after="0" w:line="215" w:lineRule="auto"/>
        <w:tabs>
          <w:tab w:leader="none" w:pos="1160" w:val="left"/>
        </w:tabs>
        <w:rPr>
          <w:sz w:val="20"/>
          <w:szCs w:val="20"/>
          <w:color w:val="auto"/>
        </w:rPr>
      </w:pPr>
      <w:r>
        <w:rPr>
          <w:rFonts w:ascii="Arial" w:cs="Arial" w:eastAsia="Arial" w:hAnsi="Arial"/>
          <w:sz w:val="21"/>
          <w:szCs w:val="21"/>
          <w:color w:val="auto"/>
        </w:rPr>
        <w:t>5.06</w:t>
      </w:r>
      <w:r>
        <w:rPr>
          <w:sz w:val="20"/>
          <w:szCs w:val="20"/>
          <w:color w:val="auto"/>
        </w:rPr>
        <w:tab/>
      </w:r>
      <w:r>
        <w:rPr>
          <w:rFonts w:ascii="Arial" w:cs="Arial" w:eastAsia="Arial" w:hAnsi="Arial"/>
          <w:sz w:val="20"/>
          <w:szCs w:val="20"/>
          <w:color w:val="auto"/>
        </w:rPr>
        <w:t>Litigation</w:t>
      </w:r>
    </w:p>
    <w:p>
      <w:pPr>
        <w:ind w:left="620"/>
        <w:spacing w:after="0" w:line="226" w:lineRule="auto"/>
        <w:tabs>
          <w:tab w:leader="none" w:pos="1160" w:val="left"/>
        </w:tabs>
        <w:rPr>
          <w:sz w:val="20"/>
          <w:szCs w:val="20"/>
          <w:color w:val="auto"/>
        </w:rPr>
      </w:pPr>
      <w:r>
        <w:rPr>
          <w:rFonts w:ascii="Arial" w:cs="Arial" w:eastAsia="Arial" w:hAnsi="Arial"/>
          <w:sz w:val="21"/>
          <w:szCs w:val="21"/>
          <w:color w:val="auto"/>
        </w:rPr>
        <w:t>5.07</w:t>
      </w:r>
      <w:r>
        <w:rPr>
          <w:sz w:val="20"/>
          <w:szCs w:val="20"/>
          <w:color w:val="auto"/>
        </w:rPr>
        <w:tab/>
      </w:r>
      <w:r>
        <w:rPr>
          <w:rFonts w:ascii="Arial" w:cs="Arial" w:eastAsia="Arial" w:hAnsi="Arial"/>
          <w:sz w:val="19"/>
          <w:szCs w:val="19"/>
          <w:color w:val="auto"/>
        </w:rPr>
        <w:t>Ownership of Property</w:t>
      </w:r>
    </w:p>
    <w:p>
      <w:pPr>
        <w:ind w:left="620"/>
        <w:spacing w:after="0"/>
        <w:tabs>
          <w:tab w:leader="none" w:pos="1160" w:val="left"/>
        </w:tabs>
        <w:rPr>
          <w:sz w:val="20"/>
          <w:szCs w:val="20"/>
          <w:color w:val="auto"/>
        </w:rPr>
      </w:pPr>
      <w:r>
        <w:rPr>
          <w:rFonts w:ascii="Arial" w:cs="Arial" w:eastAsia="Arial" w:hAnsi="Arial"/>
          <w:sz w:val="21"/>
          <w:szCs w:val="21"/>
          <w:color w:val="auto"/>
        </w:rPr>
        <w:t>5.09</w:t>
      </w:r>
      <w:r>
        <w:rPr>
          <w:sz w:val="20"/>
          <w:szCs w:val="20"/>
          <w:color w:val="auto"/>
        </w:rPr>
        <w:tab/>
      </w:r>
      <w:r>
        <w:rPr>
          <w:rFonts w:ascii="Arial" w:cs="Arial" w:eastAsia="Arial" w:hAnsi="Arial"/>
          <w:sz w:val="17"/>
          <w:szCs w:val="17"/>
          <w:color w:val="auto"/>
        </w:rPr>
        <w:t>Taxes</w:t>
      </w:r>
    </w:p>
    <w:p>
      <w:pPr>
        <w:ind w:left="620"/>
        <w:spacing w:after="0"/>
        <w:tabs>
          <w:tab w:leader="none" w:pos="1160" w:val="left"/>
        </w:tabs>
        <w:rPr>
          <w:sz w:val="20"/>
          <w:szCs w:val="20"/>
          <w:color w:val="auto"/>
        </w:rPr>
      </w:pPr>
      <w:r>
        <w:rPr>
          <w:rFonts w:ascii="Arial" w:cs="Arial" w:eastAsia="Arial" w:hAnsi="Arial"/>
          <w:sz w:val="21"/>
          <w:szCs w:val="21"/>
          <w:color w:val="auto"/>
        </w:rPr>
        <w:t>5.11</w:t>
      </w:r>
      <w:r>
        <w:rPr>
          <w:sz w:val="20"/>
          <w:szCs w:val="20"/>
          <w:color w:val="auto"/>
        </w:rPr>
        <w:tab/>
      </w:r>
      <w:r>
        <w:rPr>
          <w:rFonts w:ascii="Arial" w:cs="Arial" w:eastAsia="Arial" w:hAnsi="Arial"/>
          <w:sz w:val="18"/>
          <w:szCs w:val="18"/>
          <w:color w:val="auto"/>
        </w:rPr>
        <w:t>Subsidiaries and Other Equity Investments</w:t>
      </w:r>
    </w:p>
    <w:p>
      <w:pPr>
        <w:ind w:left="620"/>
        <w:spacing w:after="0"/>
        <w:tabs>
          <w:tab w:leader="none" w:pos="1160" w:val="left"/>
        </w:tabs>
        <w:rPr>
          <w:sz w:val="20"/>
          <w:szCs w:val="20"/>
          <w:color w:val="auto"/>
        </w:rPr>
      </w:pPr>
      <w:r>
        <w:rPr>
          <w:rFonts w:ascii="Arial" w:cs="Arial" w:eastAsia="Arial" w:hAnsi="Arial"/>
          <w:sz w:val="21"/>
          <w:szCs w:val="21"/>
          <w:color w:val="auto"/>
        </w:rPr>
        <w:t>6.16</w:t>
      </w:r>
      <w:r>
        <w:rPr>
          <w:sz w:val="20"/>
          <w:szCs w:val="20"/>
          <w:color w:val="auto"/>
        </w:rPr>
        <w:tab/>
      </w:r>
      <w:r>
        <w:rPr>
          <w:rFonts w:ascii="Arial" w:cs="Arial" w:eastAsia="Arial" w:hAnsi="Arial"/>
          <w:sz w:val="18"/>
          <w:szCs w:val="18"/>
          <w:color w:val="auto"/>
        </w:rPr>
        <w:t>Post-Closing Covenants</w:t>
      </w:r>
    </w:p>
    <w:p>
      <w:pPr>
        <w:ind w:left="620"/>
        <w:spacing w:after="0" w:line="226" w:lineRule="auto"/>
        <w:tabs>
          <w:tab w:leader="none" w:pos="1400" w:val="left"/>
        </w:tabs>
        <w:rPr>
          <w:sz w:val="20"/>
          <w:szCs w:val="20"/>
          <w:color w:val="auto"/>
        </w:rPr>
      </w:pPr>
      <w:r>
        <w:rPr>
          <w:rFonts w:ascii="Arial" w:cs="Arial" w:eastAsia="Arial" w:hAnsi="Arial"/>
          <w:sz w:val="21"/>
          <w:szCs w:val="21"/>
          <w:color w:val="auto"/>
        </w:rPr>
        <w:t>7.01(b)</w:t>
      </w:r>
      <w:r>
        <w:rPr>
          <w:sz w:val="20"/>
          <w:szCs w:val="20"/>
          <w:color w:val="auto"/>
        </w:rPr>
        <w:tab/>
      </w:r>
      <w:r>
        <w:rPr>
          <w:rFonts w:ascii="Arial" w:cs="Arial" w:eastAsia="Arial" w:hAnsi="Arial"/>
          <w:sz w:val="19"/>
          <w:szCs w:val="19"/>
          <w:color w:val="auto"/>
        </w:rPr>
        <w:t>Existing Liens</w:t>
      </w:r>
    </w:p>
    <w:p>
      <w:pPr>
        <w:ind w:left="620"/>
        <w:spacing w:after="0"/>
        <w:tabs>
          <w:tab w:leader="none" w:pos="1380" w:val="left"/>
        </w:tabs>
        <w:rPr>
          <w:sz w:val="20"/>
          <w:szCs w:val="20"/>
          <w:color w:val="auto"/>
        </w:rPr>
      </w:pPr>
      <w:r>
        <w:rPr>
          <w:rFonts w:ascii="Arial" w:cs="Arial" w:eastAsia="Arial" w:hAnsi="Arial"/>
          <w:sz w:val="21"/>
          <w:szCs w:val="21"/>
          <w:color w:val="auto"/>
        </w:rPr>
        <w:t>7.02(f)</w:t>
      </w:r>
      <w:r>
        <w:rPr>
          <w:sz w:val="20"/>
          <w:szCs w:val="20"/>
          <w:color w:val="auto"/>
        </w:rPr>
        <w:tab/>
      </w:r>
      <w:r>
        <w:rPr>
          <w:rFonts w:ascii="Arial" w:cs="Arial" w:eastAsia="Arial" w:hAnsi="Arial"/>
          <w:sz w:val="18"/>
          <w:szCs w:val="18"/>
          <w:color w:val="auto"/>
        </w:rPr>
        <w:t>Existing Investments</w:t>
      </w:r>
    </w:p>
    <w:p>
      <w:pPr>
        <w:ind w:left="620"/>
        <w:spacing w:after="0"/>
        <w:tabs>
          <w:tab w:leader="none" w:pos="1400" w:val="left"/>
        </w:tabs>
        <w:rPr>
          <w:sz w:val="20"/>
          <w:szCs w:val="20"/>
          <w:color w:val="auto"/>
        </w:rPr>
      </w:pPr>
      <w:r>
        <w:rPr>
          <w:rFonts w:ascii="Arial" w:cs="Arial" w:eastAsia="Arial" w:hAnsi="Arial"/>
          <w:sz w:val="21"/>
          <w:szCs w:val="21"/>
          <w:color w:val="auto"/>
        </w:rPr>
        <w:t>7.03(b)</w:t>
      </w:r>
      <w:r>
        <w:rPr>
          <w:sz w:val="20"/>
          <w:szCs w:val="20"/>
          <w:color w:val="auto"/>
        </w:rPr>
        <w:tab/>
      </w:r>
      <w:r>
        <w:rPr>
          <w:rFonts w:ascii="Arial" w:cs="Arial" w:eastAsia="Arial" w:hAnsi="Arial"/>
          <w:sz w:val="18"/>
          <w:szCs w:val="18"/>
          <w:color w:val="auto"/>
        </w:rPr>
        <w:t>Existing Indebtedness</w:t>
      </w:r>
    </w:p>
    <w:p>
      <w:pPr>
        <w:ind w:left="620"/>
        <w:spacing w:after="0"/>
        <w:tabs>
          <w:tab w:leader="none" w:pos="1380" w:val="left"/>
        </w:tabs>
        <w:rPr>
          <w:sz w:val="20"/>
          <w:szCs w:val="20"/>
          <w:color w:val="auto"/>
        </w:rPr>
      </w:pPr>
      <w:r>
        <w:rPr>
          <w:rFonts w:ascii="Arial" w:cs="Arial" w:eastAsia="Arial" w:hAnsi="Arial"/>
          <w:sz w:val="21"/>
          <w:szCs w:val="21"/>
          <w:color w:val="auto"/>
        </w:rPr>
        <w:t>7.05(f)</w:t>
      </w:r>
      <w:r>
        <w:rPr>
          <w:sz w:val="20"/>
          <w:szCs w:val="20"/>
          <w:color w:val="auto"/>
        </w:rPr>
        <w:tab/>
      </w:r>
      <w:r>
        <w:rPr>
          <w:rFonts w:ascii="Arial" w:cs="Arial" w:eastAsia="Arial" w:hAnsi="Arial"/>
          <w:sz w:val="18"/>
          <w:szCs w:val="18"/>
          <w:color w:val="auto"/>
        </w:rPr>
        <w:t>Dispositions</w:t>
      </w:r>
    </w:p>
    <w:p>
      <w:pPr>
        <w:ind w:left="620"/>
        <w:spacing w:after="0" w:line="226" w:lineRule="auto"/>
        <w:tabs>
          <w:tab w:leader="none" w:pos="1160" w:val="left"/>
        </w:tabs>
        <w:rPr>
          <w:sz w:val="20"/>
          <w:szCs w:val="20"/>
          <w:color w:val="auto"/>
        </w:rPr>
      </w:pPr>
      <w:r>
        <w:rPr>
          <w:rFonts w:ascii="Arial" w:cs="Arial" w:eastAsia="Arial" w:hAnsi="Arial"/>
          <w:sz w:val="21"/>
          <w:szCs w:val="21"/>
          <w:color w:val="auto"/>
        </w:rPr>
        <w:t>7.08</w:t>
      </w:r>
      <w:r>
        <w:rPr>
          <w:sz w:val="20"/>
          <w:szCs w:val="20"/>
          <w:color w:val="auto"/>
        </w:rPr>
        <w:tab/>
      </w:r>
      <w:r>
        <w:rPr>
          <w:rFonts w:ascii="Arial" w:cs="Arial" w:eastAsia="Arial" w:hAnsi="Arial"/>
          <w:sz w:val="19"/>
          <w:szCs w:val="19"/>
          <w:color w:val="auto"/>
        </w:rPr>
        <w:t>Transactions with Affiliates</w:t>
      </w:r>
    </w:p>
    <w:p>
      <w:pPr>
        <w:ind w:left="620"/>
        <w:spacing w:after="0"/>
        <w:tabs>
          <w:tab w:leader="none" w:pos="1160" w:val="left"/>
        </w:tabs>
        <w:rPr>
          <w:sz w:val="20"/>
          <w:szCs w:val="20"/>
          <w:color w:val="auto"/>
        </w:rPr>
      </w:pPr>
      <w:r>
        <w:rPr>
          <w:rFonts w:ascii="Arial" w:cs="Arial" w:eastAsia="Arial" w:hAnsi="Arial"/>
          <w:sz w:val="21"/>
          <w:szCs w:val="21"/>
          <w:color w:val="auto"/>
        </w:rPr>
        <w:t>7.09</w:t>
      </w:r>
      <w:r>
        <w:rPr>
          <w:sz w:val="20"/>
          <w:szCs w:val="20"/>
          <w:color w:val="auto"/>
        </w:rPr>
        <w:tab/>
      </w:r>
      <w:r>
        <w:rPr>
          <w:rFonts w:ascii="Arial" w:cs="Arial" w:eastAsia="Arial" w:hAnsi="Arial"/>
          <w:sz w:val="18"/>
          <w:szCs w:val="18"/>
          <w:color w:val="auto"/>
        </w:rPr>
        <w:t>Certain Contractual Obligations</w:t>
      </w:r>
    </w:p>
    <w:p>
      <w:pPr>
        <w:ind w:left="620"/>
        <w:spacing w:after="0" w:line="226" w:lineRule="auto"/>
        <w:tabs>
          <w:tab w:leader="none" w:pos="1260" w:val="left"/>
        </w:tabs>
        <w:rPr>
          <w:sz w:val="20"/>
          <w:szCs w:val="20"/>
          <w:color w:val="auto"/>
        </w:rPr>
      </w:pPr>
      <w:r>
        <w:rPr>
          <w:rFonts w:ascii="Arial" w:cs="Arial" w:eastAsia="Arial" w:hAnsi="Arial"/>
          <w:sz w:val="21"/>
          <w:szCs w:val="21"/>
          <w:color w:val="auto"/>
        </w:rPr>
        <w:t>10.02</w:t>
      </w:r>
      <w:r>
        <w:rPr>
          <w:sz w:val="20"/>
          <w:szCs w:val="20"/>
          <w:color w:val="auto"/>
        </w:rPr>
        <w:tab/>
      </w:r>
      <w:r>
        <w:rPr>
          <w:rFonts w:ascii="Arial" w:cs="Arial" w:eastAsia="Arial" w:hAnsi="Arial"/>
          <w:sz w:val="19"/>
          <w:szCs w:val="19"/>
          <w:color w:val="auto"/>
        </w:rPr>
        <w:t>Administrative Agent’s Office</w:t>
      </w:r>
    </w:p>
    <w:p>
      <w:pPr>
        <w:ind w:left="620"/>
        <w:spacing w:after="0"/>
        <w:tabs>
          <w:tab w:leader="none" w:pos="1500" w:val="left"/>
        </w:tabs>
        <w:rPr>
          <w:sz w:val="20"/>
          <w:szCs w:val="20"/>
          <w:color w:val="auto"/>
        </w:rPr>
      </w:pPr>
      <w:r>
        <w:rPr>
          <w:rFonts w:ascii="Arial" w:cs="Arial" w:eastAsia="Arial" w:hAnsi="Arial"/>
          <w:sz w:val="21"/>
          <w:szCs w:val="21"/>
          <w:color w:val="auto"/>
        </w:rPr>
        <w:t>10.02(a)</w:t>
      </w:r>
      <w:r>
        <w:rPr>
          <w:sz w:val="20"/>
          <w:szCs w:val="20"/>
          <w:color w:val="auto"/>
        </w:rPr>
        <w:tab/>
      </w:r>
      <w:r>
        <w:rPr>
          <w:rFonts w:ascii="Arial" w:cs="Arial" w:eastAsia="Arial" w:hAnsi="Arial"/>
          <w:sz w:val="19"/>
          <w:szCs w:val="19"/>
          <w:color w:val="auto"/>
        </w:rPr>
        <w:t>Notice Information</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color w:val="auto"/>
        </w:rPr>
        <w:t>EXHIBITS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Form of</w:t>
      </w:r>
    </w:p>
    <w:p>
      <w:pPr>
        <w:spacing w:after="0" w:line="180"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19"/>
          <w:szCs w:val="19"/>
          <w:color w:val="auto"/>
        </w:rPr>
        <w:t>Committed Loan Notice</w:t>
      </w:r>
    </w:p>
    <w:p>
      <w:pPr>
        <w:ind w:left="620" w:right="6419" w:firstLine="2"/>
        <w:spacing w:after="0" w:line="226" w:lineRule="auto"/>
        <w:tabs>
          <w:tab w:leader="none" w:pos="964" w:val="left"/>
        </w:tabs>
        <w:numPr>
          <w:ilvl w:val="0"/>
          <w:numId w:val="19"/>
        </w:numPr>
        <w:rPr>
          <w:rFonts w:ascii="Arial" w:cs="Arial" w:eastAsia="Arial" w:hAnsi="Arial"/>
          <w:sz w:val="19"/>
          <w:szCs w:val="19"/>
          <w:color w:val="auto"/>
        </w:rPr>
      </w:pPr>
      <w:r>
        <w:rPr>
          <w:rFonts w:ascii="Arial" w:cs="Arial" w:eastAsia="Arial" w:hAnsi="Arial"/>
          <w:sz w:val="19"/>
          <w:szCs w:val="19"/>
          <w:color w:val="auto"/>
        </w:rPr>
        <w:t>Letter of Credit Issuance Request C Swing Line Loan Notice</w:t>
      </w:r>
    </w:p>
    <w:p>
      <w:pPr>
        <w:spacing w:after="0" w:line="1" w:lineRule="exact"/>
        <w:rPr>
          <w:rFonts w:ascii="Arial" w:cs="Arial" w:eastAsia="Arial" w:hAnsi="Arial"/>
          <w:sz w:val="19"/>
          <w:szCs w:val="19"/>
          <w:color w:val="auto"/>
        </w:rPr>
      </w:pPr>
    </w:p>
    <w:p>
      <w:pPr>
        <w:ind w:left="620"/>
        <w:spacing w:after="0" w:line="205" w:lineRule="auto"/>
        <w:rPr>
          <w:rFonts w:ascii="Arial" w:cs="Arial" w:eastAsia="Arial" w:hAnsi="Arial"/>
          <w:sz w:val="19"/>
          <w:szCs w:val="19"/>
          <w:color w:val="auto"/>
        </w:rPr>
      </w:pPr>
      <w:r>
        <w:rPr>
          <w:rFonts w:ascii="Arial" w:cs="Arial" w:eastAsia="Arial" w:hAnsi="Arial"/>
          <w:sz w:val="21"/>
          <w:szCs w:val="21"/>
          <w:color w:val="auto"/>
        </w:rPr>
        <w:t>D-1  Term Note</w:t>
      </w:r>
    </w:p>
    <w:p>
      <w:pPr>
        <w:ind w:left="620" w:right="7099"/>
        <w:spacing w:after="0" w:line="215" w:lineRule="auto"/>
        <w:rPr>
          <w:rFonts w:ascii="Arial" w:cs="Arial" w:eastAsia="Arial" w:hAnsi="Arial"/>
          <w:sz w:val="19"/>
          <w:szCs w:val="19"/>
          <w:color w:val="auto"/>
        </w:rPr>
      </w:pPr>
      <w:r>
        <w:rPr>
          <w:rFonts w:ascii="Arial" w:cs="Arial" w:eastAsia="Arial" w:hAnsi="Arial"/>
          <w:sz w:val="20"/>
          <w:szCs w:val="20"/>
          <w:color w:val="auto"/>
        </w:rPr>
        <w:t>D-2 Revolving Credit Note D-3 Swing Line Note E-1 Compliance Certificate E-2 Solvency Certificate</w:t>
      </w:r>
    </w:p>
    <w:p>
      <w:pPr>
        <w:ind w:left="620" w:right="6819"/>
        <w:spacing w:after="0" w:line="226" w:lineRule="auto"/>
        <w:rPr>
          <w:rFonts w:ascii="Arial" w:cs="Arial" w:eastAsia="Arial" w:hAnsi="Arial"/>
          <w:sz w:val="19"/>
          <w:szCs w:val="19"/>
          <w:color w:val="auto"/>
        </w:rPr>
      </w:pPr>
      <w:r>
        <w:rPr>
          <w:rFonts w:ascii="Arial" w:cs="Arial" w:eastAsia="Arial" w:hAnsi="Arial"/>
          <w:sz w:val="19"/>
          <w:szCs w:val="19"/>
          <w:color w:val="auto"/>
        </w:rPr>
        <w:t>F Assignment and Assumption G Security Agreement</w:t>
      </w:r>
    </w:p>
    <w:p>
      <w:pPr>
        <w:spacing w:after="0" w:line="1" w:lineRule="exact"/>
        <w:rPr>
          <w:rFonts w:ascii="Arial" w:cs="Arial" w:eastAsia="Arial" w:hAnsi="Arial"/>
          <w:sz w:val="19"/>
          <w:szCs w:val="19"/>
          <w:color w:val="auto"/>
        </w:rPr>
      </w:pPr>
    </w:p>
    <w:p>
      <w:pPr>
        <w:ind w:left="620" w:right="7399"/>
        <w:spacing w:after="0" w:line="215" w:lineRule="auto"/>
        <w:rPr>
          <w:rFonts w:ascii="Arial" w:cs="Arial" w:eastAsia="Arial" w:hAnsi="Arial"/>
          <w:sz w:val="19"/>
          <w:szCs w:val="19"/>
          <w:color w:val="auto"/>
        </w:rPr>
      </w:pPr>
      <w:r>
        <w:rPr>
          <w:rFonts w:ascii="Arial" w:cs="Arial" w:eastAsia="Arial" w:hAnsi="Arial"/>
          <w:sz w:val="20"/>
          <w:szCs w:val="20"/>
          <w:color w:val="auto"/>
        </w:rPr>
        <w:t>H Perfection Certificate I Intercompany Note</w:t>
      </w:r>
    </w:p>
    <w:p>
      <w:pPr>
        <w:ind w:left="620" w:right="6059"/>
        <w:spacing w:after="0" w:line="215" w:lineRule="auto"/>
        <w:rPr>
          <w:rFonts w:ascii="Arial" w:cs="Arial" w:eastAsia="Arial" w:hAnsi="Arial"/>
          <w:sz w:val="19"/>
          <w:szCs w:val="19"/>
          <w:color w:val="auto"/>
        </w:rPr>
      </w:pPr>
      <w:r>
        <w:rPr>
          <w:rFonts w:ascii="Arial" w:cs="Arial" w:eastAsia="Arial" w:hAnsi="Arial"/>
          <w:sz w:val="20"/>
          <w:szCs w:val="20"/>
          <w:color w:val="auto"/>
        </w:rPr>
        <w:t>J-1 First Lien Intercreditor Agreement J-2 Junior Lien Intercreditor Agreement K [Reserved]</w:t>
      </w:r>
    </w:p>
    <w:p>
      <w:pPr>
        <w:ind w:left="620" w:right="5159"/>
        <w:spacing w:after="0" w:line="205" w:lineRule="auto"/>
        <w:rPr>
          <w:rFonts w:ascii="Arial" w:cs="Arial" w:eastAsia="Arial" w:hAnsi="Arial"/>
          <w:sz w:val="19"/>
          <w:szCs w:val="19"/>
          <w:color w:val="auto"/>
        </w:rPr>
      </w:pPr>
      <w:r>
        <w:rPr>
          <w:rFonts w:ascii="Arial" w:cs="Arial" w:eastAsia="Arial" w:hAnsi="Arial"/>
          <w:sz w:val="21"/>
          <w:szCs w:val="21"/>
          <w:color w:val="auto"/>
        </w:rPr>
        <w:t>L-1 Affiliated Lender Assignment and Assumption L-2 Affiliated Lender Notice</w:t>
      </w:r>
    </w:p>
    <w:p>
      <w:pPr>
        <w:jc w:val="both"/>
        <w:ind w:left="620" w:right="6059"/>
        <w:spacing w:after="0" w:line="226" w:lineRule="auto"/>
        <w:rPr>
          <w:rFonts w:ascii="Arial" w:cs="Arial" w:eastAsia="Arial" w:hAnsi="Arial"/>
          <w:sz w:val="19"/>
          <w:szCs w:val="19"/>
          <w:color w:val="auto"/>
        </w:rPr>
      </w:pPr>
      <w:r>
        <w:rPr>
          <w:rFonts w:ascii="Arial" w:cs="Arial" w:eastAsia="Arial" w:hAnsi="Arial"/>
          <w:sz w:val="19"/>
          <w:szCs w:val="19"/>
          <w:color w:val="auto"/>
        </w:rPr>
        <w:t>L-3 Acceptance and Prepayment Notice L-4 Discount Range Prepayment Notice L-5 Discount Range Prepayment Offer</w:t>
      </w:r>
    </w:p>
    <w:p>
      <w:pPr>
        <w:spacing w:after="0" w:line="1" w:lineRule="exact"/>
        <w:rPr>
          <w:rFonts w:ascii="Arial" w:cs="Arial" w:eastAsia="Arial" w:hAnsi="Arial"/>
          <w:sz w:val="19"/>
          <w:szCs w:val="19"/>
          <w:color w:val="auto"/>
        </w:rPr>
      </w:pPr>
    </w:p>
    <w:p>
      <w:pPr>
        <w:ind w:left="620" w:right="5659"/>
        <w:spacing w:after="0" w:line="256" w:lineRule="auto"/>
        <w:rPr>
          <w:rFonts w:ascii="Arial" w:cs="Arial" w:eastAsia="Arial" w:hAnsi="Arial"/>
          <w:sz w:val="19"/>
          <w:szCs w:val="19"/>
          <w:color w:val="auto"/>
        </w:rPr>
      </w:pPr>
      <w:r>
        <w:rPr>
          <w:rFonts w:ascii="Arial" w:cs="Arial" w:eastAsia="Arial" w:hAnsi="Arial"/>
          <w:sz w:val="19"/>
          <w:szCs w:val="19"/>
          <w:color w:val="auto"/>
        </w:rPr>
        <w:t>L-6 Solicited Discounted Prepayment Notice L-7 Solicited Discounted Prepayment Offer</w:t>
      </w:r>
    </w:p>
    <w:p>
      <w:pPr>
        <w:sectPr>
          <w:pgSz w:w="11900" w:h="16838" w:orient="portrait"/>
          <w:cols w:equalWidth="0" w:num="1">
            <w:col w:w="10139"/>
          </w:cols>
          <w:pgMar w:left="320" w:top="13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vi</w:t>
      </w:r>
    </w:p>
    <w:p>
      <w:pPr>
        <w:sectPr>
          <w:pgSz w:w="11900" w:h="16838" w:orient="portrait"/>
          <w:cols w:equalWidth="0" w:num="1">
            <w:col w:w="10139"/>
          </w:cols>
          <w:pgMar w:left="320" w:top="1343" w:right="1440" w:bottom="1440" w:gutter="0" w:footer="0" w:header="0"/>
          <w:type w:val="continuous"/>
        </w:sectPr>
      </w:pPr>
    </w:p>
    <w:bookmarkStart w:id="47" w:name="page48"/>
    <w:bookmarkEnd w:id="47"/>
    <w:p>
      <w:pPr>
        <w:spacing w:after="0"/>
        <w:tabs>
          <w:tab w:leader="none" w:pos="480" w:val="left"/>
        </w:tabs>
        <w:rPr>
          <w:sz w:val="20"/>
          <w:szCs w:val="20"/>
          <w:color w:val="auto"/>
        </w:rPr>
      </w:pPr>
      <w:r>
        <w:rPr>
          <w:rFonts w:ascii="Arial" w:cs="Arial" w:eastAsia="Arial" w:hAnsi="Arial"/>
          <w:sz w:val="21"/>
          <w:szCs w:val="21"/>
          <w:color w:val="auto"/>
        </w:rPr>
        <w:t>L-8</w:t>
      </w:r>
      <w:r>
        <w:rPr>
          <w:sz w:val="20"/>
          <w:szCs w:val="20"/>
          <w:color w:val="auto"/>
        </w:rPr>
        <w:tab/>
      </w:r>
      <w:r>
        <w:rPr>
          <w:rFonts w:ascii="Arial" w:cs="Arial" w:eastAsia="Arial" w:hAnsi="Arial"/>
          <w:sz w:val="18"/>
          <w:szCs w:val="18"/>
          <w:color w:val="auto"/>
        </w:rPr>
        <w:t>Specified Discount Prepayment Notice</w:t>
      </w:r>
    </w:p>
    <w:p>
      <w:pPr>
        <w:spacing w:after="0"/>
        <w:tabs>
          <w:tab w:leader="none" w:pos="480" w:val="left"/>
        </w:tabs>
        <w:rPr>
          <w:sz w:val="20"/>
          <w:szCs w:val="20"/>
          <w:color w:val="auto"/>
        </w:rPr>
      </w:pPr>
      <w:r>
        <w:rPr>
          <w:rFonts w:ascii="Arial" w:cs="Arial" w:eastAsia="Arial" w:hAnsi="Arial"/>
          <w:sz w:val="21"/>
          <w:szCs w:val="21"/>
          <w:color w:val="auto"/>
        </w:rPr>
        <w:t>L-9</w:t>
      </w:r>
      <w:r>
        <w:rPr>
          <w:sz w:val="20"/>
          <w:szCs w:val="20"/>
          <w:color w:val="auto"/>
        </w:rPr>
        <w:tab/>
      </w:r>
      <w:r>
        <w:rPr>
          <w:rFonts w:ascii="Arial" w:cs="Arial" w:eastAsia="Arial" w:hAnsi="Arial"/>
          <w:sz w:val="18"/>
          <w:szCs w:val="18"/>
          <w:color w:val="auto"/>
        </w:rPr>
        <w:t>Specified Discount Prepayment Response</w:t>
      </w:r>
    </w:p>
    <w:p>
      <w:pPr>
        <w:spacing w:after="0"/>
        <w:tabs>
          <w:tab w:leader="none" w:pos="380" w:val="left"/>
        </w:tabs>
        <w:rPr>
          <w:sz w:val="20"/>
          <w:szCs w:val="20"/>
          <w:color w:val="auto"/>
        </w:rPr>
      </w:pPr>
      <w:r>
        <w:rPr>
          <w:rFonts w:ascii="Arial" w:cs="Arial" w:eastAsia="Arial" w:hAnsi="Arial"/>
          <w:sz w:val="21"/>
          <w:szCs w:val="21"/>
          <w:color w:val="auto"/>
        </w:rPr>
        <w:t>M</w:t>
      </w:r>
      <w:r>
        <w:rPr>
          <w:sz w:val="20"/>
          <w:szCs w:val="20"/>
          <w:color w:val="auto"/>
        </w:rPr>
        <w:tab/>
      </w:r>
      <w:r>
        <w:rPr>
          <w:rFonts w:ascii="Arial" w:cs="Arial" w:eastAsia="Arial" w:hAnsi="Arial"/>
          <w:sz w:val="18"/>
          <w:szCs w:val="18"/>
          <w:color w:val="auto"/>
        </w:rPr>
        <w:t>United States Tax Compliance Certificate</w:t>
      </w:r>
    </w:p>
    <w:p>
      <w:pPr>
        <w:ind w:left="360" w:hanging="358"/>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Holdings and New Borrower Security Agreement Supplement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21"/>
          <w:szCs w:val="21"/>
          <w:color w:val="auto"/>
        </w:rPr>
        <w:t>vii</w:t>
      </w:r>
    </w:p>
    <w:p>
      <w:pPr>
        <w:sectPr>
          <w:pgSz w:w="11900" w:h="16838" w:orient="portrait"/>
          <w:cols w:equalWidth="0" w:num="1">
            <w:col w:w="9519"/>
          </w:cols>
          <w:pgMar w:left="940" w:top="1326" w:right="1440" w:bottom="1440" w:gutter="0" w:footer="0" w:header="0"/>
        </w:sectPr>
      </w:pPr>
    </w:p>
    <w:bookmarkStart w:id="48" w:name="page49"/>
    <w:bookmarkEnd w:id="48"/>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AND RESTATED CREDIT AGREEMENT</w:t>
      </w:r>
    </w:p>
    <w:p>
      <w:pPr>
        <w:spacing w:after="0" w:line="171"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20"/>
          <w:szCs w:val="20"/>
          <w:color w:val="auto"/>
        </w:rPr>
        <w:t>This AMENDED AND RESTATED CREDIT AGREEMENT (as the same may be amended, modified, refinanced and/or restated from time to time, this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September 7, 2022, among Holdings (such term and any other capitalized terms used but not defined in this introductory paragraph and the Preliminary Statements below are defined in Section 1.01 below), TU BidCo, Inc.,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or “</w:t>
      </w:r>
      <w:r>
        <w:rPr>
          <w:rFonts w:ascii="Arial" w:cs="Arial" w:eastAsia="Arial" w:hAnsi="Arial"/>
          <w:sz w:val="20"/>
          <w:szCs w:val="20"/>
          <w:b w:val="1"/>
          <w:bCs w:val="1"/>
          <w:color w:val="auto"/>
        </w:rPr>
        <w:t>TU BidCo</w:t>
      </w:r>
      <w:r>
        <w:rPr>
          <w:rFonts w:ascii="Arial" w:cs="Arial" w:eastAsia="Arial" w:hAnsi="Arial"/>
          <w:sz w:val="20"/>
          <w:szCs w:val="20"/>
          <w:color w:val="auto"/>
        </w:rPr>
        <w:t>”), the Guarantors party hereto from time to time, JPMorgan Chase Bank, N.A., as Administrative Agent, Collateral Agent, Swing Line Lender and L/C Issuer, and each lender from time to time party hereto (collectively, the “</w:t>
      </w:r>
      <w:r>
        <w:rPr>
          <w:rFonts w:ascii="Arial" w:cs="Arial" w:eastAsia="Arial" w:hAnsi="Arial"/>
          <w:sz w:val="20"/>
          <w:szCs w:val="20"/>
          <w:b w:val="1"/>
          <w:bCs w:val="1"/>
          <w:color w:val="auto"/>
        </w:rPr>
        <w:t>Lenders</w:t>
      </w:r>
      <w:r>
        <w:rPr>
          <w:rFonts w:ascii="Arial" w:cs="Arial" w:eastAsia="Arial" w:hAnsi="Arial"/>
          <w:sz w:val="20"/>
          <w:szCs w:val="20"/>
          <w:color w:val="auto"/>
        </w:rPr>
        <w:t>” and individually, a “</w:t>
      </w:r>
      <w:r>
        <w:rPr>
          <w:rFonts w:ascii="Arial" w:cs="Arial" w:eastAsia="Arial" w:hAnsi="Arial"/>
          <w:sz w:val="20"/>
          <w:szCs w:val="20"/>
          <w:b w:val="1"/>
          <w:bCs w:val="1"/>
          <w:color w:val="auto"/>
        </w:rPr>
        <w:t>Lender</w:t>
      </w:r>
      <w:r>
        <w:rPr>
          <w:rFonts w:ascii="Arial" w:cs="Arial" w:eastAsia="Arial" w:hAnsi="Arial"/>
          <w:sz w:val="20"/>
          <w:szCs w:val="20"/>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PRELIMINARY STATEMENTS</w:t>
      </w:r>
    </w:p>
    <w:p>
      <w:pPr>
        <w:spacing w:after="0" w:line="171"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On the Closing Date, the Borrower, the Guarantors, JPMorgan, as administrative agent and collateral agent, and the other lenders, swing line lenders and letter of credit issuers party thereto entered into a credit agreement (as amended by Amendment No. 1, dated as of April 30, 2021, and as further amended, supplemented or otherwise modified prior to the date hereof, the “</w:t>
      </w:r>
      <w:r>
        <w:rPr>
          <w:rFonts w:ascii="Arial" w:cs="Arial" w:eastAsia="Arial" w:hAnsi="Arial"/>
          <w:sz w:val="21"/>
          <w:szCs w:val="21"/>
          <w:b w:val="1"/>
          <w:bCs w:val="1"/>
          <w:color w:val="auto"/>
        </w:rPr>
        <w:t>Original Credit</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150"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The Borrower has requested that the applicable Lenders extend credit to the Borrower in the form of (i) the Restatement Date Term Loans on the Restatement Date in an initial aggregate principal amount of $270,000,000 and (ii) the Revolving Credit Facility in an initial aggregate principal amount of $190,000,000.</w:t>
      </w:r>
    </w:p>
    <w:p>
      <w:pPr>
        <w:spacing w:after="0" w:line="149" w:lineRule="exact"/>
        <w:rPr>
          <w:sz w:val="20"/>
          <w:szCs w:val="20"/>
          <w:color w:val="auto"/>
        </w:rPr>
      </w:pPr>
    </w:p>
    <w:p>
      <w:pPr>
        <w:jc w:val="both"/>
        <w:ind w:firstLine="619"/>
        <w:spacing w:after="0" w:line="211" w:lineRule="auto"/>
        <w:rPr>
          <w:sz w:val="20"/>
          <w:szCs w:val="20"/>
          <w:color w:val="auto"/>
        </w:rPr>
      </w:pPr>
      <w:r>
        <w:rPr>
          <w:rFonts w:ascii="Arial" w:cs="Arial" w:eastAsia="Arial" w:hAnsi="Arial"/>
          <w:sz w:val="21"/>
          <w:szCs w:val="21"/>
          <w:color w:val="auto"/>
        </w:rPr>
        <w:t>The proceeds of the Restatement Date Term Loans will be used by the Borrower on the Restatement Date to (i) refinance in full all existing Initial Term Loans (as defined in the Original Credit Agreement as in effect immediately prior to the Restatement Date), together with all accrued and unpaid interest and fees thereon, outstanding under the Original Credit Agreement immediately prior to the Restatement Date, (ii) refinance in full all Revolving Credit Loans (as defined in the Original Credit Agreement as in effect immediately prior to the Restatement Date), together with all accrued and unpaid interest and fees thereon, outstanding on the Restatement Date immediately prior to the effectiveness of this Agreement and terminate all commitments under the Revolving Credit Facility (as defined in the Original Credit Agreement as in effect immediately prior to the Restatement Date) (clauses (i) and (ii), collectively, the “</w:t>
      </w:r>
      <w:r>
        <w:rPr>
          <w:rFonts w:ascii="Arial" w:cs="Arial" w:eastAsia="Arial" w:hAnsi="Arial"/>
          <w:sz w:val="21"/>
          <w:szCs w:val="21"/>
          <w:b w:val="1"/>
          <w:bCs w:val="1"/>
          <w:color w:val="auto"/>
        </w:rPr>
        <w:t>Restatement Date Refinancing Transactions</w:t>
      </w:r>
      <w:r>
        <w:rPr>
          <w:rFonts w:ascii="Arial" w:cs="Arial" w:eastAsia="Arial" w:hAnsi="Arial"/>
          <w:sz w:val="21"/>
          <w:szCs w:val="21"/>
          <w:color w:val="auto"/>
        </w:rPr>
        <w:t>”) and (iii) pay other fees and expenses incurred in connection therewith.</w:t>
      </w:r>
    </w:p>
    <w:p>
      <w:pPr>
        <w:spacing w:after="0" w:line="152"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On the Restatement Date, all Letters of Credit outstanding under the Original Credit Agreement will be deemed issued by JPMorgan as L/C Issuer under this Agreement.</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The proceeds of the Revolving Credit Facility will be used by the Borrower and its Restricted Subsidiaries for working capital and general corporate purposes (including permitted acquisitions) subject to the terms set forth herein.</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The Borrower has requested that the Original Credit Agreement be amended and restated as of the Restatement Date in the form of this Agreement.</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In consideration of the mutual covenants and agreements herein contained (including, without limitation, the satisfaction of the conditions set forth in Section 4.01) the parties hereto agree to amend and restate the Original Credit Agreement (including the Schedules and Exhibits thereto), and the Original Credit Agreement (including the Schedules and Exhibits thereto) is hereby amended and restated in its entirety, as follows: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1</w:t>
      </w:r>
    </w:p>
    <w:p>
      <w:pPr>
        <w:jc w:val="center"/>
        <w:spacing w:after="0"/>
        <w:rPr>
          <w:sz w:val="20"/>
          <w:szCs w:val="20"/>
          <w:color w:val="auto"/>
        </w:rPr>
      </w:pPr>
      <w:r>
        <w:rPr>
          <w:rFonts w:ascii="Arial" w:cs="Arial" w:eastAsia="Arial" w:hAnsi="Arial"/>
          <w:sz w:val="21"/>
          <w:szCs w:val="21"/>
          <w:color w:val="auto"/>
        </w:rPr>
        <w:t>DEFINITIONS AND ACCOUNTING TERMS</w:t>
      </w:r>
    </w:p>
    <w:p>
      <w:pPr>
        <w:spacing w:after="0" w:line="153"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i w:val="1"/>
          <w:iCs w:val="1"/>
          <w:color w:val="auto"/>
        </w:rPr>
        <w:t>Defined Terms</w:t>
      </w:r>
      <w:r>
        <w:rPr>
          <w:rFonts w:ascii="Arial" w:cs="Arial" w:eastAsia="Arial" w:hAnsi="Arial"/>
          <w:sz w:val="21"/>
          <w:szCs w:val="21"/>
          <w:color w:val="auto"/>
        </w:rPr>
        <w:t>. As used in this Agreement (including in the Preliminary Statements hereto), the following terms shall have the meanings set forth below:</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Acceptable Discount</w:t>
      </w:r>
      <w:r>
        <w:rPr>
          <w:rFonts w:ascii="Arial" w:cs="Arial" w:eastAsia="Arial" w:hAnsi="Arial"/>
          <w:sz w:val="21"/>
          <w:szCs w:val="21"/>
          <w:color w:val="auto"/>
        </w:rPr>
        <w:t>” has the meaning set forth in Section 2.05(a)(v)(D)(2).</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Acceptable Prepayment Amount</w:t>
      </w:r>
      <w:r>
        <w:rPr>
          <w:rFonts w:ascii="Arial" w:cs="Arial" w:eastAsia="Arial" w:hAnsi="Arial"/>
          <w:sz w:val="21"/>
          <w:szCs w:val="21"/>
          <w:color w:val="auto"/>
        </w:rPr>
        <w:t>” has the meaning set forth in Section 2.05(a)(v)(D)(3).</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Acceptance and Prepayment Notice</w:t>
      </w:r>
      <w:r>
        <w:rPr>
          <w:rFonts w:ascii="Arial" w:cs="Arial" w:eastAsia="Arial" w:hAnsi="Arial"/>
          <w:sz w:val="21"/>
          <w:szCs w:val="21"/>
          <w:color w:val="auto"/>
        </w:rPr>
        <w:t>” means a notice of the Borrower’s acceptance of the Acceptable Discount in substantially the form of Exhibit L-3.</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Acceptance Date</w:t>
      </w:r>
      <w:r>
        <w:rPr>
          <w:rFonts w:ascii="Arial" w:cs="Arial" w:eastAsia="Arial" w:hAnsi="Arial"/>
          <w:sz w:val="21"/>
          <w:szCs w:val="21"/>
          <w:color w:val="auto"/>
        </w:rPr>
        <w:t>” has the meaning set forth in Section 2.05(a)(v)(D)(2).</w:t>
      </w:r>
    </w:p>
    <w:p>
      <w:pPr>
        <w:spacing w:after="0" w:line="17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EBITDA</w:t>
      </w:r>
      <w:r>
        <w:rPr>
          <w:rFonts w:ascii="Arial" w:cs="Arial" w:eastAsia="Arial" w:hAnsi="Arial"/>
          <w:sz w:val="18"/>
          <w:szCs w:val="18"/>
          <w:color w:val="auto"/>
        </w:rPr>
        <w:t>” means, with respect to any Acquired Entity or Business or any Converted Restricted Subsidiary for any period, the amount for such period of Consolidated EBITDA of such Acquired Entity or Business or Converted Restricted Subsidiary (determined as if references to the Borrower and the Restricted Subsidiaries in the definition of Consolidated EBITDA were references to such Acquired Entity or Business and its Subsidiaries or to such Converted Restricted Subsidiary and its Subsidiaries), as applicable, all as determined on a consolidated basis for such Acquired Entity or Business or Converted Restricted Subsidiary, as applicable.</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Acquired Entity or Business</w:t>
      </w:r>
      <w:r>
        <w:rPr>
          <w:rFonts w:ascii="Arial" w:cs="Arial" w:eastAsia="Arial" w:hAnsi="Arial"/>
          <w:sz w:val="21"/>
          <w:szCs w:val="21"/>
          <w:color w:val="auto"/>
        </w:rPr>
        <w:t>” has the meaning set forth in the definition of the term “Consolidated EBITDA.”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Lender</w:t>
      </w:r>
      <w:r>
        <w:rPr>
          <w:rFonts w:ascii="Arial" w:cs="Arial" w:eastAsia="Arial" w:hAnsi="Arial"/>
          <w:sz w:val="21"/>
          <w:szCs w:val="21"/>
          <w:color w:val="auto"/>
        </w:rPr>
        <w:t>” has the meaning set forth in Section 2.14(c).</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Refinancing Lender</w:t>
      </w:r>
      <w:r>
        <w:rPr>
          <w:rFonts w:ascii="Arial" w:cs="Arial" w:eastAsia="Arial" w:hAnsi="Arial"/>
          <w:sz w:val="21"/>
          <w:szCs w:val="21"/>
          <w:color w:val="auto"/>
        </w:rPr>
        <w:t>” has the meaning set forth in Section 2.15(a).</w:t>
      </w:r>
    </w:p>
    <w:p>
      <w:pPr>
        <w:spacing w:after="0" w:line="17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Term SOFR Rate</w:t>
      </w:r>
      <w:r>
        <w:rPr>
          <w:rFonts w:ascii="Arial" w:cs="Arial" w:eastAsia="Arial" w:hAnsi="Arial"/>
          <w:sz w:val="19"/>
          <w:szCs w:val="19"/>
          <w:color w:val="auto"/>
        </w:rPr>
        <w:t xml:space="preserve">” means, for any Interest Period, an interest rate per annum equal to (a) Term SOFR for such Interest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(b) 0.10%;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Adjusted Term SOFR Rate as so determined would be less than the Applicable Term SOFR Floor, such rate shall be deemed to be equal to the Applicable Term SOFR Floor for the purposes of this Agreement.</w:t>
      </w:r>
    </w:p>
    <w:p>
      <w:pPr>
        <w:spacing w:after="0" w:line="13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Agent</w:t>
      </w:r>
      <w:r>
        <w:rPr>
          <w:rFonts w:ascii="Arial" w:cs="Arial" w:eastAsia="Arial" w:hAnsi="Arial"/>
          <w:sz w:val="21"/>
          <w:szCs w:val="21"/>
          <w:color w:val="auto"/>
        </w:rPr>
        <w:t>” means JPMorgan, in its capacity as administrative agent under any of the Loan Documents, or any successor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Agent’s Office</w:t>
      </w:r>
      <w:r>
        <w:rPr>
          <w:rFonts w:ascii="Arial" w:cs="Arial" w:eastAsia="Arial" w:hAnsi="Arial"/>
          <w:sz w:val="19"/>
          <w:szCs w:val="19"/>
          <w:color w:val="auto"/>
        </w:rPr>
        <w:t>” means the Administrative Agent’s address and account as set forth on Schedule 10.02, or such other address or account as the Administrative Agent may from time to time notify the Borrower and the Lenders.</w:t>
      </w:r>
    </w:p>
    <w:p>
      <w:pPr>
        <w:spacing w:after="0" w:line="10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Questionnaire</w:t>
      </w:r>
      <w:r>
        <w:rPr>
          <w:rFonts w:ascii="Arial" w:cs="Arial" w:eastAsia="Arial" w:hAnsi="Arial"/>
          <w:sz w:val="21"/>
          <w:szCs w:val="21"/>
          <w:color w:val="auto"/>
        </w:rPr>
        <w:t>” means an Administrative Questionnaire in such form as may be supplied from time to time by the Administrative Agent.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171"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Person, another Person that directly, or indirectly through one or more intermediaries, Controls or is Controlled by or is under common Control with the Person specified. “</w:t>
      </w:r>
      <w:r>
        <w:rPr>
          <w:rFonts w:ascii="Arial" w:cs="Arial" w:eastAsia="Arial" w:hAnsi="Arial"/>
          <w:sz w:val="19"/>
          <w:szCs w:val="19"/>
          <w:b w:val="1"/>
          <w:bCs w:val="1"/>
          <w:color w:val="auto"/>
        </w:rPr>
        <w:t>Control</w:t>
      </w:r>
      <w:r>
        <w:rPr>
          <w:rFonts w:ascii="Arial" w:cs="Arial" w:eastAsia="Arial" w:hAnsi="Arial"/>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9"/>
          <w:szCs w:val="19"/>
          <w:b w:val="1"/>
          <w:bCs w:val="1"/>
          <w:color w:val="auto"/>
        </w:rPr>
        <w:t>Controlling</w:t>
      </w:r>
      <w:r>
        <w:rPr>
          <w:rFonts w:ascii="Arial" w:cs="Arial" w:eastAsia="Arial" w:hAnsi="Arial"/>
          <w:sz w:val="19"/>
          <w:szCs w:val="19"/>
          <w:color w:val="auto"/>
        </w:rPr>
        <w:t>” and “</w:t>
      </w:r>
      <w:r>
        <w:rPr>
          <w:rFonts w:ascii="Arial" w:cs="Arial" w:eastAsia="Arial" w:hAnsi="Arial"/>
          <w:sz w:val="19"/>
          <w:szCs w:val="19"/>
          <w:b w:val="1"/>
          <w:bCs w:val="1"/>
          <w:color w:val="auto"/>
        </w:rPr>
        <w:t>Controlled</w:t>
      </w:r>
      <w:r>
        <w:rPr>
          <w:rFonts w:ascii="Arial" w:cs="Arial" w:eastAsia="Arial" w:hAnsi="Arial"/>
          <w:sz w:val="19"/>
          <w:szCs w:val="19"/>
          <w:color w:val="auto"/>
        </w:rPr>
        <w:t>” have meanings correlative thereto.</w:t>
      </w:r>
    </w:p>
    <w:p>
      <w:pPr>
        <w:spacing w:after="0" w:line="139"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Affiliated Lender</w:t>
      </w:r>
      <w:r>
        <w:rPr>
          <w:rFonts w:ascii="Arial" w:cs="Arial" w:eastAsia="Arial" w:hAnsi="Arial"/>
          <w:sz w:val="19"/>
          <w:szCs w:val="19"/>
          <w:color w:val="auto"/>
        </w:rPr>
        <w:t>” means, at any time, any Lender that is a direct or indirect holding company of Holdings or an Investor (including portfolio companies of the Investors notwithstanding the exclusion in the definition of “Investors”) (other than Holdings, the Borrower or any of its Subsidiaries and other than any Debt Fund Affiliate) or a Non-Debt Fund Affiliate of an Investor at such time.</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Affiliated Lender Assignment and Assumption</w:t>
      </w:r>
      <w:r>
        <w:rPr>
          <w:rFonts w:ascii="Arial" w:cs="Arial" w:eastAsia="Arial" w:hAnsi="Arial"/>
          <w:sz w:val="21"/>
          <w:szCs w:val="21"/>
          <w:color w:val="auto"/>
        </w:rPr>
        <w:t>” has the meaning set forth in Section 10.07(l)(i).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Affiliated Lender Cap</w:t>
      </w:r>
      <w:r>
        <w:rPr>
          <w:rFonts w:ascii="Arial" w:cs="Arial" w:eastAsia="Arial" w:hAnsi="Arial"/>
          <w:sz w:val="21"/>
          <w:szCs w:val="21"/>
          <w:color w:val="auto"/>
        </w:rPr>
        <w:t>” has the meaning set forth in Section 10.07(l)(iii).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Affiliated Lender Notice</w:t>
      </w:r>
      <w:r>
        <w:rPr>
          <w:rFonts w:ascii="Arial" w:cs="Arial" w:eastAsia="Arial" w:hAnsi="Arial"/>
          <w:sz w:val="21"/>
          <w:szCs w:val="21"/>
          <w:color w:val="auto"/>
        </w:rPr>
        <w:t>” means the notice substantially in the form of Exhibit L-2.</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Agent-Related Persons</w:t>
      </w:r>
      <w:r>
        <w:rPr>
          <w:rFonts w:ascii="Arial" w:cs="Arial" w:eastAsia="Arial" w:hAnsi="Arial"/>
          <w:sz w:val="21"/>
          <w:szCs w:val="21"/>
          <w:color w:val="auto"/>
        </w:rPr>
        <w:t>” means the Agents, together with their respective Affiliates, and the officers, directors, employees, partners, agents, advisors, attorneys-in-fact and other representatives of such Persons and Affiliates.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Agents</w:t>
      </w:r>
      <w:r>
        <w:rPr>
          <w:rFonts w:ascii="Arial" w:cs="Arial" w:eastAsia="Arial" w:hAnsi="Arial"/>
          <w:sz w:val="21"/>
          <w:szCs w:val="21"/>
          <w:color w:val="auto"/>
        </w:rPr>
        <w:t>” means, collectively, the Administrative Agent, the Collateral Agent and the Supplemental Agents (if any).</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Aggregate Commitments</w:t>
      </w:r>
      <w:r>
        <w:rPr>
          <w:rFonts w:ascii="Arial" w:cs="Arial" w:eastAsia="Arial" w:hAnsi="Arial"/>
          <w:sz w:val="21"/>
          <w:szCs w:val="21"/>
          <w:color w:val="auto"/>
        </w:rPr>
        <w:t>” means the Commitments of all the Lenders.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Agreed Approved Foreign Currency Reference Rate</w:t>
      </w:r>
      <w:r>
        <w:rPr>
          <w:rFonts w:ascii="Arial" w:cs="Arial" w:eastAsia="Arial" w:hAnsi="Arial"/>
          <w:sz w:val="21"/>
          <w:szCs w:val="21"/>
          <w:color w:val="auto"/>
        </w:rPr>
        <w:t>” has the meaning set forth in Section 1.09(a).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means this Credit Agreement, as the same may be amended, supplemented or otherwise modified from time to</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Asset Sale Percentage</w:t>
      </w:r>
      <w:r>
        <w:rPr>
          <w:rFonts w:ascii="Arial" w:cs="Arial" w:eastAsia="Arial" w:hAnsi="Arial"/>
          <w:sz w:val="21"/>
          <w:szCs w:val="21"/>
          <w:color w:val="auto"/>
        </w:rPr>
        <w:t>” means, (a) 100.0% if the Consolidated Total Net Leverage Ratio as of the last day of the most recently ended period of four consecutive fiscal quarters for which financial statements are internally available is greater than 1.50 to 1.00 and (b) 0.0% if the Consolidated Total Net Leverage Ratio as of the last day of the most recently ended period of four consecutive fiscal quarters for which financial statements are internally available is equal to or less than 1.50 to 1.00, in each case, calculated on a Pro Forma Basis.</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Authority</w:t>
      </w:r>
      <w:r>
        <w:rPr>
          <w:rFonts w:ascii="Arial" w:cs="Arial" w:eastAsia="Arial" w:hAnsi="Arial"/>
          <w:sz w:val="21"/>
          <w:szCs w:val="21"/>
          <w:color w:val="auto"/>
        </w:rPr>
        <w:t>” means the Term SOFR Administrator or a Governmental Authority having jurisdiction over the Administrative Agent.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Discount</w:t>
      </w:r>
      <w:r>
        <w:rPr>
          <w:rFonts w:ascii="Arial" w:cs="Arial" w:eastAsia="Arial" w:hAnsi="Arial"/>
          <w:sz w:val="21"/>
          <w:szCs w:val="21"/>
          <w:color w:val="auto"/>
        </w:rPr>
        <w:t>” has the meaning set forth in Section 2.05(a)(v)(C)(2).</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Period</w:t>
      </w:r>
      <w:r>
        <w:rPr>
          <w:rFonts w:ascii="Arial" w:cs="Arial" w:eastAsia="Arial" w:hAnsi="Arial"/>
          <w:sz w:val="21"/>
          <w:szCs w:val="21"/>
          <w:color w:val="auto"/>
        </w:rPr>
        <w:t>” has the meaning set forth in Section 10.21.</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Proceeds</w:t>
      </w:r>
      <w:r>
        <w:rPr>
          <w:rFonts w:ascii="Arial" w:cs="Arial" w:eastAsia="Arial" w:hAnsi="Arial"/>
          <w:sz w:val="21"/>
          <w:szCs w:val="21"/>
          <w:color w:val="auto"/>
        </w:rPr>
        <w:t>” has the meaning set forth in Section 2.05(b)(ii).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Rate</w:t>
      </w:r>
      <w:r>
        <w:rPr>
          <w:rFonts w:ascii="Arial" w:cs="Arial" w:eastAsia="Arial" w:hAnsi="Arial"/>
          <w:sz w:val="21"/>
          <w:szCs w:val="21"/>
          <w:color w:val="auto"/>
        </w:rPr>
        <w:t>” means: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with respect to the commitment fee for the unused Revolving Credit Commitments, a percentage per annum equal to 0.40%;</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and</w:t>
      </w:r>
    </w:p>
    <w:p>
      <w:pPr>
        <w:spacing w:after="0" w:line="153" w:lineRule="exact"/>
        <w:rPr>
          <w:sz w:val="20"/>
          <w:szCs w:val="20"/>
          <w:color w:val="auto"/>
        </w:rPr>
      </w:pPr>
    </w:p>
    <w:p>
      <w:pPr>
        <w:ind w:firstLine="622"/>
        <w:spacing w:after="0" w:line="250" w:lineRule="auto"/>
        <w:tabs>
          <w:tab w:leader="none" w:pos="931"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with respect to the Restatement Date Term Loans and Revolving Credit Loans, a percentage per annum equal to: (A) for Term SOFR Loans, Eurocurrency Rate Loans and Letter of Credit fees, 2.25% and (B) for Base Rate Loans, 1.25%.</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Term SOFR Floor</w:t>
      </w:r>
      <w:r>
        <w:rPr>
          <w:rFonts w:ascii="Arial" w:cs="Arial" w:eastAsia="Arial" w:hAnsi="Arial"/>
          <w:sz w:val="20"/>
          <w:szCs w:val="20"/>
          <w:color w:val="auto"/>
        </w:rPr>
        <w:t>” means the Term SOFR floor applicable to any Facility under which a Loan is being made, and solely with respect to the Restatement Date Term Loans and Revolving Credit Loans, means 0.00% per annum.</w:t>
      </w:r>
    </w:p>
    <w:p>
      <w:pPr>
        <w:spacing w:after="0" w:line="128"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Time</w:t>
      </w:r>
      <w:r>
        <w:rPr>
          <w:rFonts w:ascii="Arial" w:cs="Arial" w:eastAsia="Arial" w:hAnsi="Arial"/>
          <w:sz w:val="20"/>
          <w:szCs w:val="20"/>
          <w:color w:val="auto"/>
        </w:rPr>
        <w:t>” means, with respect to any Borrowings and payments in any Approved Foreign Currency, the local time in the place of settlement for such Approved Foreign Currency as shall be reasonably determined by the Administrative Agent or the applicable L/C Issuer, as the case may be, to be necessary for timely settlement on the relevant date in accordance with normal banking procedures in the place of payment. In advance of the initial borrowing of a Revolving Credit Loan or issuance of a Letter of Credit, in each case, in any Approved Foreign Currency, the Administrative Agent or the applicable L/C Issuer, as applicable, shall provide the Borrower and Revolving Credit Lenders with written notice of the Applicable Time for any borrowings and payments in such Approved Foreign Currency. In the event no such notice is delivered by the Administrative Agent, the Borrower and any Revolving Credit Lender shall be required to make any borrowings and payments in accordance with the times specified herein for borrowings and payments in Dollars.</w:t>
      </w:r>
    </w:p>
    <w:p>
      <w:pPr>
        <w:spacing w:after="0" w:line="148"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Appropriate Lender</w:t>
      </w:r>
      <w:r>
        <w:rPr>
          <w:rFonts w:ascii="Arial" w:cs="Arial" w:eastAsia="Arial" w:hAnsi="Arial"/>
          <w:sz w:val="21"/>
          <w:szCs w:val="21"/>
          <w:color w:val="auto"/>
        </w:rPr>
        <w:t>” means, at any time, (a) with respect to Loans of any Class, the Lenders of such Class, (b) with respect to Letters of Credit, (i) the relevant L/C Issuer (if applicable) and (ii) the Revolving Credit Lenders and (c) with respect to the Swing Line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52" w:name="page53"/>
    <w:bookmarkEnd w:id="52"/>
    <w:p>
      <w:pPr>
        <w:spacing w:after="0" w:line="316" w:lineRule="exact"/>
        <w:rPr>
          <w:sz w:val="20"/>
          <w:szCs w:val="20"/>
          <w:color w:val="auto"/>
        </w:rPr>
      </w:pPr>
    </w:p>
    <w:p>
      <w:pPr>
        <w:ind w:left="880" w:hanging="258"/>
        <w:spacing w:after="0"/>
        <w:tabs>
          <w:tab w:leader="none" w:pos="8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Swing Line Lender and (ii) if any Swing Line Loans are outstanding pursuant to Section 2.04(a), the Revolving Credit</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Lenders.</w:t>
      </w:r>
    </w:p>
    <w:p>
      <w:pPr>
        <w:spacing w:after="0" w:line="147"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Counterparty</w:t>
      </w:r>
      <w:r>
        <w:rPr>
          <w:rFonts w:ascii="Arial" w:cs="Arial" w:eastAsia="Arial" w:hAnsi="Arial"/>
          <w:sz w:val="20"/>
          <w:szCs w:val="20"/>
          <w:color w:val="auto"/>
        </w:rPr>
        <w:t>” means (i) any Agent, Lender or any Affiliate of an Agent or Lender (a) at the time it entered into a Swap Contract or a Treasury Services Agreement, as applicable, in its capacity as a party thereto or (b) as of the Restatement Date, with respect to a Swap Contract or a Treasury Services Agreement, as applicable, in effect as of the Restatement Date, in its capacity as a party thereto, and in the case of (a) or (b) notwithstanding whether such Approved Counterparty may cease to be an Agent, Lender or an Affiliate of an Agent or Lender thereafter and (ii) any other Person from time to time approved in writing by the Administrative Agent (not to be unreasonably withheld, delayed or conditioned).</w:t>
      </w:r>
    </w:p>
    <w:p>
      <w:pPr>
        <w:spacing w:after="0" w:line="14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Currency</w:t>
      </w:r>
      <w:r>
        <w:rPr>
          <w:rFonts w:ascii="Arial" w:cs="Arial" w:eastAsia="Arial" w:hAnsi="Arial"/>
          <w:sz w:val="21"/>
          <w:szCs w:val="21"/>
          <w:color w:val="auto"/>
        </w:rPr>
        <w:t>” means each of (i) Dollars, (ii) Euros and (iii) any other currency that is approved in accordance with Section 1.09.</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Foreign Currency</w:t>
      </w:r>
      <w:r>
        <w:rPr>
          <w:rFonts w:ascii="Arial" w:cs="Arial" w:eastAsia="Arial" w:hAnsi="Arial"/>
          <w:sz w:val="21"/>
          <w:szCs w:val="21"/>
          <w:color w:val="auto"/>
        </w:rPr>
        <w:t>” means any Approved Currency other than Dollars.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Foreign Currency Sublimit</w:t>
      </w:r>
      <w:r>
        <w:rPr>
          <w:rFonts w:ascii="Arial" w:cs="Arial" w:eastAsia="Arial" w:hAnsi="Arial"/>
          <w:sz w:val="21"/>
          <w:szCs w:val="21"/>
          <w:color w:val="auto"/>
        </w:rPr>
        <w:t>” means $15,000,000.</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Fund</w:t>
      </w:r>
      <w:r>
        <w:rPr>
          <w:rFonts w:ascii="Arial" w:cs="Arial" w:eastAsia="Arial" w:hAnsi="Arial"/>
          <w:sz w:val="19"/>
          <w:szCs w:val="19"/>
          <w:color w:val="auto"/>
        </w:rPr>
        <w:t>” means, with respect to any Lender, any Fund that is administered, advised or managed by (a) such Lender,</w:t>
      </w:r>
    </w:p>
    <w:p>
      <w:pPr>
        <w:spacing w:after="0" w:line="12" w:lineRule="exact"/>
        <w:rPr>
          <w:sz w:val="20"/>
          <w:szCs w:val="20"/>
          <w:color w:val="auto"/>
        </w:rPr>
      </w:pPr>
    </w:p>
    <w:p>
      <w:pPr>
        <w:ind w:left="620" w:right="1060" w:hanging="617"/>
        <w:spacing w:after="0" w:line="398" w:lineRule="auto"/>
        <w:tabs>
          <w:tab w:leader="none" w:pos="293" w:val="left"/>
        </w:tabs>
        <w:numPr>
          <w:ilvl w:val="0"/>
          <w:numId w:val="23"/>
        </w:numPr>
        <w:rPr>
          <w:rFonts w:ascii="Arial" w:cs="Arial" w:eastAsia="Arial" w:hAnsi="Arial"/>
          <w:sz w:val="21"/>
          <w:szCs w:val="21"/>
          <w:color w:val="auto"/>
        </w:rPr>
      </w:pPr>
      <w:r>
        <w:rPr>
          <w:rFonts w:ascii="Arial" w:cs="Arial" w:eastAsia="Arial" w:hAnsi="Arial"/>
          <w:sz w:val="21"/>
          <w:szCs w:val="21"/>
          <w:color w:val="auto"/>
        </w:rPr>
        <w:t>an Affiliate of such Lender or (c) an entity or an Affiliate of an entity that administers, advises or manages such Lender. “</w:t>
      </w:r>
      <w:r>
        <w:rPr>
          <w:rFonts w:ascii="Arial" w:cs="Arial" w:eastAsia="Arial" w:hAnsi="Arial"/>
          <w:sz w:val="21"/>
          <w:szCs w:val="21"/>
          <w:b w:val="1"/>
          <w:bCs w:val="1"/>
          <w:color w:val="auto"/>
        </w:rPr>
        <w:t>Assignees</w:t>
      </w:r>
      <w:r>
        <w:rPr>
          <w:rFonts w:ascii="Arial" w:cs="Arial" w:eastAsia="Arial" w:hAnsi="Arial"/>
          <w:sz w:val="21"/>
          <w:szCs w:val="21"/>
          <w:color w:val="auto"/>
        </w:rPr>
        <w:t>” has the meaning set forth in Section 10.07(b)(i).</w:t>
      </w:r>
    </w:p>
    <w:p>
      <w:pPr>
        <w:ind w:left="620" w:right="920"/>
        <w:spacing w:after="0" w:line="410" w:lineRule="auto"/>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and Assumption</w:t>
      </w:r>
      <w:r>
        <w:rPr>
          <w:rFonts w:ascii="Arial" w:cs="Arial" w:eastAsia="Arial" w:hAnsi="Arial"/>
          <w:sz w:val="21"/>
          <w:szCs w:val="21"/>
          <w:color w:val="auto"/>
        </w:rPr>
        <w:t>” means an Assignment and Assumption substantially in the form of Exhibit F hereto. “</w:t>
      </w:r>
      <w:r>
        <w:rPr>
          <w:rFonts w:ascii="Arial" w:cs="Arial" w:eastAsia="Arial" w:hAnsi="Arial"/>
          <w:sz w:val="21"/>
          <w:szCs w:val="21"/>
          <w:b w:val="1"/>
          <w:bCs w:val="1"/>
          <w:color w:val="auto"/>
        </w:rPr>
        <w:t>Assignment Taxes</w:t>
      </w:r>
      <w:r>
        <w:rPr>
          <w:rFonts w:ascii="Arial" w:cs="Arial" w:eastAsia="Arial" w:hAnsi="Arial"/>
          <w:sz w:val="21"/>
          <w:szCs w:val="21"/>
          <w:color w:val="auto"/>
        </w:rPr>
        <w:t>” has the meaning set forth in Section 3.01(b).</w:t>
      </w: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Assumption and Release</w:t>
      </w:r>
      <w:r>
        <w:rPr>
          <w:rFonts w:ascii="Arial" w:cs="Arial" w:eastAsia="Arial" w:hAnsi="Arial"/>
          <w:sz w:val="21"/>
          <w:szCs w:val="21"/>
          <w:color w:val="auto"/>
        </w:rPr>
        <w:t>” has the meaning set forth in Section 10.26.</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Attorney Costs</w:t>
      </w:r>
      <w:r>
        <w:rPr>
          <w:rFonts w:ascii="Arial" w:cs="Arial" w:eastAsia="Arial" w:hAnsi="Arial"/>
          <w:sz w:val="21"/>
          <w:szCs w:val="21"/>
          <w:color w:val="auto"/>
        </w:rPr>
        <w:t>” means and includes the reasonable and documented out-of-pocket fees, disbursements and other charges of any law firm or other external legal counsel.</w:t>
      </w:r>
    </w:p>
    <w:p>
      <w:pPr>
        <w:spacing w:after="0" w:line="14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Attributable Indebtedness</w:t>
      </w:r>
      <w:r>
        <w:rPr>
          <w:rFonts w:ascii="Arial" w:cs="Arial" w:eastAsia="Arial" w:hAnsi="Arial"/>
          <w:sz w:val="20"/>
          <w:szCs w:val="20"/>
          <w:color w:val="auto"/>
        </w:rPr>
        <w:t>” means, on any date, in respect of any Financing Lease of any Person, the capitalized amount thereof that would appear on a balance sheet of such Person prepared as of such date in accordance with GAAP.</w:t>
      </w:r>
    </w:p>
    <w:p>
      <w:pPr>
        <w:spacing w:after="0" w:line="128"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Auction Agent</w:t>
      </w:r>
      <w:r>
        <w:rPr>
          <w:rFonts w:ascii="Arial" w:cs="Arial" w:eastAsia="Arial" w:hAnsi="Arial"/>
          <w:sz w:val="21"/>
          <w:szCs w:val="21"/>
          <w:color w:val="auto"/>
        </w:rPr>
        <w:t xml:space="preserve">” means (a) the Administrative Agent or (b) any other financial institution or advisor employed by the Borrower (whether or not an Affiliate of the Administrative Agent) to act as an arranger in connection with any Discounted Term Loan Prepayment pursuant to Section 2.05(a)(v);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Arial" w:cs="Arial" w:eastAsia="Arial" w:hAnsi="Arial"/>
          <w:sz w:val="21"/>
          <w:szCs w:val="21"/>
          <w:i w:val="1"/>
          <w:iCs w:val="1"/>
          <w:color w:val="auto"/>
        </w:rPr>
        <w:t>provided, further</w:t>
      </w:r>
      <w:r>
        <w:rPr>
          <w:rFonts w:ascii="Arial" w:cs="Arial" w:eastAsia="Arial" w:hAnsi="Arial"/>
          <w:sz w:val="21"/>
          <w:szCs w:val="21"/>
          <w:color w:val="auto"/>
        </w:rPr>
        <w:t>, that neither the Borrower nor any of its Affiliates may act as the Auction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Audited Financial Statements</w:t>
      </w:r>
      <w:r>
        <w:rPr>
          <w:rFonts w:ascii="Arial" w:cs="Arial" w:eastAsia="Arial" w:hAnsi="Arial"/>
          <w:sz w:val="21"/>
          <w:szCs w:val="21"/>
          <w:color w:val="auto"/>
        </w:rPr>
        <w:t>” means the audited consolidated balance sheet of Holdings and its Subsidiaries for the fiscal year ended December 31, 2021 and the related consolidated statements of income and cash flows for the fiscal year ended December 31, 2021.</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Auto-Extension Letter of Credit</w:t>
      </w:r>
      <w:r>
        <w:rPr>
          <w:rFonts w:ascii="Arial" w:cs="Arial" w:eastAsia="Arial" w:hAnsi="Arial"/>
          <w:sz w:val="21"/>
          <w:szCs w:val="21"/>
          <w:color w:val="auto"/>
        </w:rPr>
        <w:t>” has the meaning set forth in Section 2.03(b)(iii).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Incremental Amount</w:t>
      </w:r>
      <w:r>
        <w:rPr>
          <w:rFonts w:ascii="Arial" w:cs="Arial" w:eastAsia="Arial" w:hAnsi="Arial"/>
          <w:sz w:val="21"/>
          <w:szCs w:val="21"/>
          <w:color w:val="auto"/>
        </w:rPr>
        <w:t>” has the meaning set forth in Section 2.14(d)(v).</w:t>
      </w:r>
    </w:p>
    <w:p>
      <w:pPr>
        <w:spacing w:after="0" w:line="171"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RP Capacity Amount</w:t>
      </w:r>
      <w:r>
        <w:rPr>
          <w:rFonts w:ascii="Arial" w:cs="Arial" w:eastAsia="Arial" w:hAnsi="Arial"/>
          <w:sz w:val="20"/>
          <w:szCs w:val="20"/>
          <w:color w:val="auto"/>
        </w:rPr>
        <w:t xml:space="preserve">” means (i) the amount of Restricted Payments that may be made at the time of determination pursuant to Sections 7.06(d), (g), (h), (l) and (p), </w:t>
      </w:r>
      <w:r>
        <w:rPr>
          <w:rFonts w:ascii="Arial" w:cs="Arial" w:eastAsia="Arial" w:hAnsi="Arial"/>
          <w:sz w:val="20"/>
          <w:szCs w:val="20"/>
          <w:i w:val="1"/>
          <w:iCs w:val="1"/>
          <w:color w:val="auto"/>
        </w:rPr>
        <w:t>minus</w:t>
      </w:r>
      <w:r>
        <w:rPr>
          <w:rFonts w:ascii="Arial" w:cs="Arial" w:eastAsia="Arial" w:hAnsi="Arial"/>
          <w:sz w:val="20"/>
          <w:szCs w:val="20"/>
          <w:color w:val="auto"/>
        </w:rPr>
        <w:t xml:space="preserve"> (ii) the sum of the amount of the Available RP Capacity Amount utilized by the Borrower or any Restricted Subsidiary to (A) make Restricted Payments in reliance on Sections 7.06(g), (h), (l) or (p), (B) make Investments utilizing the Available RP Capacity Amount pursuant to Section 7.02(n)(z), (C) incur Indebtedness pursuant to Section 7.03(y) and (D) make prepayments, redemptions, purchases, defeasances and other payments in respect of Junior Financings prior to their scheduled maturity utilizing the Available RP Capacity Amount pursuant to Section 7.13(a)(vi), plus (iii) the aggregate principal amount of Indebtedness prepaid prior to or substantially concurrently at such time, solely to the extent such Indebtedness was incurred pursuant to Section 7.03(y) (it being understood that the amount under this clause (iii) shall only be available for use under Section 7.03(y).</w:t>
      </w:r>
    </w:p>
    <w:p>
      <w:pPr>
        <w:spacing w:after="0" w:line="14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Bail-In Action</w:t>
      </w:r>
      <w:r>
        <w:rPr>
          <w:rFonts w:ascii="Arial" w:cs="Arial" w:eastAsia="Arial" w:hAnsi="Arial"/>
          <w:sz w:val="21"/>
          <w:szCs w:val="21"/>
          <w:color w:val="auto"/>
        </w:rPr>
        <w:t>” means the exercise of any Write-Down and Conversion Powers by the applicable Resolution Authority in respect of any liability of an Affected Financial Institution.</w:t>
      </w:r>
    </w:p>
    <w:p>
      <w:pPr>
        <w:spacing w:after="0" w:line="144"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4"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Rate</w:t>
      </w:r>
      <w:r>
        <w:rPr>
          <w:rFonts w:ascii="Arial" w:cs="Arial" w:eastAsia="Arial" w:hAnsi="Arial"/>
          <w:sz w:val="20"/>
          <w:szCs w:val="20"/>
          <w:color w:val="auto"/>
        </w:rPr>
        <w:t xml:space="preserve">” means, for any day, a rate per annum equal to the greatest of (a) the Prime Rate in effect on such day, (b) the NYFRB Rate in effect on such day plus ½ of 1% and (c) the Adjusted Term SOFR Rate on such day (or if such day is not a Business Day, the immediately preceding Business Day) for deposits in Dollars for a one month Interest Period plus 1%;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the avoidance of doubt, the Adjusted Term SOFR Rate for any day shall be based on the Term SOFR Reference Rate, at approximately 5:00 a.m. (Chicago time) two Business Days prior to such day for a term of one month commencing on such day. Any change in the Base Rate due to a change in the Prime Rate, the NYFRB Rate or the Adjusted Term SOFR Rate shall be effective from and including the effective date of such change in the Prime Rate, the NYFRB Rate or the Adjusted Term SOFR Rate, respectively. For the avoidance of doubt, if the Base Rate as determined pursuant to the foregoing would be less than 1.00%, such rate shall be deemed to be 1.00%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Rate Loan</w:t>
      </w:r>
      <w:r>
        <w:rPr>
          <w:rFonts w:ascii="Arial" w:cs="Arial" w:eastAsia="Arial" w:hAnsi="Arial"/>
          <w:sz w:val="21"/>
          <w:szCs w:val="21"/>
          <w:color w:val="auto"/>
        </w:rPr>
        <w:t>” means a Loan denominated in Dollars that bears interest based on the Base Rate.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Rate Term SOFR Determination Day</w:t>
      </w:r>
      <w:r>
        <w:rPr>
          <w:rFonts w:ascii="Arial" w:cs="Arial" w:eastAsia="Arial" w:hAnsi="Arial"/>
          <w:sz w:val="21"/>
          <w:szCs w:val="21"/>
          <w:color w:val="auto"/>
        </w:rPr>
        <w:t>” has the meaning set forth in the definition of “Term SOFR”.</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Beneficial Ownership Certification</w:t>
      </w:r>
      <w:r>
        <w:rPr>
          <w:rFonts w:ascii="Arial" w:cs="Arial" w:eastAsia="Arial" w:hAnsi="Arial"/>
          <w:sz w:val="21"/>
          <w:szCs w:val="21"/>
          <w:color w:val="auto"/>
        </w:rPr>
        <w:t>” means a certification regarding beneficial ownership as required by the Beneficial Ownership Regulation.</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Beneficial Ownership Regulation</w:t>
      </w:r>
      <w:r>
        <w:rPr>
          <w:rFonts w:ascii="Arial" w:cs="Arial" w:eastAsia="Arial" w:hAnsi="Arial"/>
          <w:sz w:val="21"/>
          <w:szCs w:val="21"/>
          <w:color w:val="auto"/>
        </w:rPr>
        <w:t>” means 31 C.F.R. § 1010.230.</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Benefit Plan</w:t>
      </w:r>
      <w:r>
        <w:rPr>
          <w:rFonts w:ascii="Arial" w:cs="Arial" w:eastAsia="Arial" w:hAnsi="Arial"/>
          <w:sz w:val="21"/>
          <w:szCs w:val="21"/>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4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Blackstone Funds</w:t>
      </w:r>
      <w:r>
        <w:rPr>
          <w:rFonts w:ascii="Arial" w:cs="Arial" w:eastAsia="Arial" w:hAnsi="Arial"/>
          <w:sz w:val="19"/>
          <w:szCs w:val="19"/>
          <w:color w:val="auto"/>
        </w:rPr>
        <w:t>” means, individually or collectively, any investment fund, co-investment vehicles and/or other similar vehicles or accounts, in each case managed or advised by an Affiliate of Blackstone Inc., or any of their respective successors.</w:t>
      </w:r>
    </w:p>
    <w:p>
      <w:pPr>
        <w:spacing w:after="0" w:line="10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Bona Fide Debt Fund</w:t>
      </w:r>
      <w:r>
        <w:rPr>
          <w:rFonts w:ascii="Arial" w:cs="Arial" w:eastAsia="Arial" w:hAnsi="Arial"/>
          <w:sz w:val="20"/>
          <w:szCs w:val="20"/>
          <w:color w:val="auto"/>
        </w:rPr>
        <w:t>” means any fund or investment vehicle that is primarily engaged in the making, purchasing, holding or otherwise investing in commercial loans, bonds and other similar extensions of credit in the ordinary course.</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w:t>
      </w:r>
      <w:r>
        <w:rPr>
          <w:rFonts w:ascii="Arial" w:cs="Arial" w:eastAsia="Arial" w:hAnsi="Arial"/>
          <w:sz w:val="21"/>
          <w:szCs w:val="21"/>
          <w:color w:val="auto"/>
        </w:rPr>
        <w:t>” has the meaning set forth in the introductory paragraph hereto.</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Materials</w:t>
      </w:r>
      <w:r>
        <w:rPr>
          <w:rFonts w:ascii="Arial" w:cs="Arial" w:eastAsia="Arial" w:hAnsi="Arial"/>
          <w:sz w:val="21"/>
          <w:szCs w:val="21"/>
          <w:color w:val="auto"/>
        </w:rPr>
        <w:t>” has the meaning set forth in Section 6.02.</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Offer of Specified Discount Prepayment</w:t>
      </w:r>
      <w:r>
        <w:rPr>
          <w:rFonts w:ascii="Arial" w:cs="Arial" w:eastAsia="Arial" w:hAnsi="Arial"/>
          <w:sz w:val="21"/>
          <w:szCs w:val="21"/>
          <w:color w:val="auto"/>
        </w:rPr>
        <w:t>” means the offer by any Company Party to make a voluntary prepayment of Term Loans at a Specified Discount to par pursuant to Section 2.05(a)(v)(B).</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Solicitation of Discount Range Prepayment Offers</w:t>
      </w:r>
      <w:r>
        <w:rPr>
          <w:rFonts w:ascii="Arial" w:cs="Arial" w:eastAsia="Arial" w:hAnsi="Arial"/>
          <w:sz w:val="21"/>
          <w:szCs w:val="21"/>
          <w:color w:val="auto"/>
        </w:rPr>
        <w:t>” means the solicitation by any Company Party of offers for, and the corresponding acceptance by a Lender of, a voluntary prepayment of Term Loans at a specified range of discounts to par pursuant to Section 2.05(a)(v)(C).</w:t>
      </w:r>
    </w:p>
    <w:p>
      <w:pPr>
        <w:spacing w:after="0" w:line="143"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Solicitation of Discounted Prepayment Offers</w:t>
      </w:r>
      <w:r>
        <w:rPr>
          <w:rFonts w:ascii="Arial" w:cs="Arial" w:eastAsia="Arial" w:hAnsi="Arial"/>
          <w:sz w:val="21"/>
          <w:szCs w:val="21"/>
          <w:color w:val="auto"/>
        </w:rPr>
        <w:t>” means the solicitation by any Company Party of offers for, and the subsequent acceptance, if any, by a Lender of, a voluntary prepayment of Term Loans at a discount to par pursuant to Section 2.05(a)(v)(D).</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Borrowing</w:t>
      </w:r>
      <w:r>
        <w:rPr>
          <w:rFonts w:ascii="Arial" w:cs="Arial" w:eastAsia="Arial" w:hAnsi="Arial"/>
          <w:sz w:val="21"/>
          <w:szCs w:val="21"/>
          <w:color w:val="auto"/>
        </w:rPr>
        <w:t>” means a Revolving Credit Borrowing, a Swing Line Borrowing or a Term Borrowing of a particular Class,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xml:space="preserve">” means any day other than a Saturday, Sunday or other day on which commercial banks are authorized to close under the Laws of, or are in fact closed in, the state of New York or the state where the Administrative Agent’s Office is located;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such day relates to any interest rate settings as to a Eurocurrency Rate Loan, any fundings, disbursements, settlements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payments in respect of any such Eurocurrency Rate Loan, or any other dealings to be carried out pursuant to this Agreement in respect of any such Eurocurrency Rate Loan, means a day on which dealings in deposits in the applicable Approved Foreign Currency are conducted by and between banks in the applicable interbank market;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when used in connection with a Term SOFR Loan, the term “Business Day” shall mean a U.S. Government Securities Business Day.</w:t>
      </w:r>
    </w:p>
    <w:p>
      <w:pPr>
        <w:spacing w:after="0" w:line="146"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Capitalized Software Expenditures</w:t>
      </w:r>
      <w:r>
        <w:rPr>
          <w:rFonts w:ascii="Arial" w:cs="Arial" w:eastAsia="Arial" w:hAnsi="Arial"/>
          <w:sz w:val="20"/>
          <w:szCs w:val="20"/>
          <w:color w:val="auto"/>
        </w:rPr>
        <w:t>” means, for any period, the aggregate of all expenditures (whether paid in cash or accrued as liabilities) by the Borrower and the Restricted Subsidiaries during such period in respect of licensed or purchased software or internally developed software and software enhancements that, in conformity with GAAP, are or are required to be reflected as capitalized costs on the consolidated balance sheet of the Borrower and the Restricted Subsidiaries.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Collateral</w:t>
      </w:r>
      <w:r>
        <w:rPr>
          <w:rFonts w:ascii="Arial" w:cs="Arial" w:eastAsia="Arial" w:hAnsi="Arial"/>
          <w:sz w:val="21"/>
          <w:szCs w:val="21"/>
          <w:color w:val="auto"/>
        </w:rPr>
        <w:t>” has the meaning set forth in Section 2.03(g).</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Collateral Account</w:t>
      </w:r>
      <w:r>
        <w:rPr>
          <w:rFonts w:ascii="Arial" w:cs="Arial" w:eastAsia="Arial" w:hAnsi="Arial"/>
          <w:sz w:val="21"/>
          <w:szCs w:val="21"/>
          <w:color w:val="auto"/>
        </w:rPr>
        <w:t>” means a blocked account at a commercial bank specified by the Administrative Agent in the name of the Administrative Agent and under the sole dominion and control of the Administrative Agent, and otherwise established in a manner reasonably satisfactory to the Administrative Agent.</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Collateralize</w:t>
      </w:r>
      <w:r>
        <w:rPr>
          <w:rFonts w:ascii="Arial" w:cs="Arial" w:eastAsia="Arial" w:hAnsi="Arial"/>
          <w:sz w:val="21"/>
          <w:szCs w:val="21"/>
          <w:color w:val="auto"/>
        </w:rPr>
        <w:t>” has the meaning set forth in Section 2.03(g).</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Equivalents</w:t>
      </w:r>
      <w:r>
        <w:rPr>
          <w:rFonts w:ascii="Arial" w:cs="Arial" w:eastAsia="Arial" w:hAnsi="Arial"/>
          <w:sz w:val="21"/>
          <w:szCs w:val="21"/>
          <w:color w:val="auto"/>
        </w:rPr>
        <w:t>” means any of the following types of Investments, to the extent owned by the Borrower or any Restricted Subsidiary:</w:t>
      </w:r>
    </w:p>
    <w:p>
      <w:pPr>
        <w:spacing w:after="0" w:line="150" w:lineRule="exact"/>
        <w:rPr>
          <w:sz w:val="20"/>
          <w:szCs w:val="20"/>
          <w:color w:val="auto"/>
        </w:rPr>
      </w:pPr>
    </w:p>
    <w:p>
      <w:pPr>
        <w:ind w:left="1060" w:hanging="438"/>
        <w:spacing w:after="0"/>
        <w:tabs>
          <w:tab w:leader="none" w:pos="10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Dollars;</w:t>
      </w:r>
    </w:p>
    <w:p>
      <w:pPr>
        <w:spacing w:after="0" w:line="171" w:lineRule="exact"/>
        <w:rPr>
          <w:rFonts w:ascii="Arial" w:cs="Arial" w:eastAsia="Arial" w:hAnsi="Arial"/>
          <w:sz w:val="21"/>
          <w:szCs w:val="21"/>
          <w:color w:val="auto"/>
        </w:rPr>
      </w:pPr>
    </w:p>
    <w:p>
      <w:pPr>
        <w:jc w:val="both"/>
        <w:ind w:firstLine="622"/>
        <w:spacing w:after="0" w:line="224" w:lineRule="auto"/>
        <w:tabs>
          <w:tab w:leader="none" w:pos="1158" w:val="left"/>
        </w:tabs>
        <w:numPr>
          <w:ilvl w:val="0"/>
          <w:numId w:val="24"/>
        </w:numPr>
        <w:rPr>
          <w:rFonts w:ascii="Arial" w:cs="Arial" w:eastAsia="Arial" w:hAnsi="Arial"/>
          <w:sz w:val="21"/>
          <w:szCs w:val="21"/>
          <w:color w:val="auto"/>
        </w:rPr>
      </w:pPr>
      <w:r>
        <w:rPr>
          <w:rFonts w:ascii="Arial" w:cs="Arial" w:eastAsia="Arial" w:hAnsi="Arial"/>
          <w:sz w:val="21"/>
          <w:szCs w:val="21"/>
          <w:color w:val="auto"/>
        </w:rPr>
        <w:t>(a) cash in such local currencies held by the Borrower or any Restricted Subsidiary from time to time in the ordinary course of business or consistent with past practice, (b) Canadian Dollars or (c) Sterling, Euros or any national currency of any participating member state of the Economic and Monetary Union (EMU);</w:t>
      </w:r>
    </w:p>
    <w:p>
      <w:pPr>
        <w:spacing w:after="0" w:line="148" w:lineRule="exact"/>
        <w:rPr>
          <w:rFonts w:ascii="Arial" w:cs="Arial" w:eastAsia="Arial" w:hAnsi="Arial"/>
          <w:sz w:val="21"/>
          <w:szCs w:val="21"/>
          <w:color w:val="auto"/>
        </w:rPr>
      </w:pPr>
    </w:p>
    <w:p>
      <w:pPr>
        <w:jc w:val="both"/>
        <w:ind w:firstLine="622"/>
        <w:spacing w:after="0" w:line="224" w:lineRule="auto"/>
        <w:tabs>
          <w:tab w:leader="none" w:pos="1091" w:val="left"/>
        </w:tabs>
        <w:numPr>
          <w:ilvl w:val="0"/>
          <w:numId w:val="24"/>
        </w:numPr>
        <w:rPr>
          <w:rFonts w:ascii="Arial" w:cs="Arial" w:eastAsia="Arial" w:hAnsi="Arial"/>
          <w:sz w:val="21"/>
          <w:szCs w:val="21"/>
          <w:color w:val="auto"/>
        </w:rPr>
      </w:pPr>
      <w:r>
        <w:rPr>
          <w:rFonts w:ascii="Arial" w:cs="Arial" w:eastAsia="Arial" w:hAnsi="Arial"/>
          <w:sz w:val="21"/>
          <w:szCs w:val="21"/>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spacing w:after="0" w:line="148" w:lineRule="exact"/>
        <w:rPr>
          <w:rFonts w:ascii="Arial" w:cs="Arial" w:eastAsia="Arial" w:hAnsi="Arial"/>
          <w:sz w:val="21"/>
          <w:szCs w:val="21"/>
          <w:color w:val="auto"/>
        </w:rPr>
      </w:pPr>
    </w:p>
    <w:p>
      <w:pPr>
        <w:jc w:val="both"/>
        <w:ind w:firstLine="622"/>
        <w:spacing w:after="0" w:line="251" w:lineRule="auto"/>
        <w:tabs>
          <w:tab w:leader="none" w:pos="1137" w:val="left"/>
        </w:tabs>
        <w:numPr>
          <w:ilvl w:val="0"/>
          <w:numId w:val="24"/>
        </w:numPr>
        <w:rPr>
          <w:rFonts w:ascii="Arial" w:cs="Arial" w:eastAsia="Arial" w:hAnsi="Arial"/>
          <w:sz w:val="19"/>
          <w:szCs w:val="19"/>
          <w:color w:val="auto"/>
        </w:rPr>
      </w:pPr>
      <w:r>
        <w:rPr>
          <w:rFonts w:ascii="Arial" w:cs="Arial" w:eastAsia="Arial" w:hAnsi="Arial"/>
          <w:sz w:val="19"/>
          <w:szCs w:val="19"/>
          <w:color w:val="auto"/>
        </w:rPr>
        <w:t>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$250,000,000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of U.S. banks and $100,000,000 (or the dollar equivalent thereof in foreign currencies as of the date of determination) in the case of non-U.S. banks;</w:t>
      </w:r>
    </w:p>
    <w:p>
      <w:pPr>
        <w:spacing w:after="0" w:line="150" w:lineRule="exact"/>
        <w:rPr>
          <w:sz w:val="20"/>
          <w:szCs w:val="20"/>
          <w:color w:val="auto"/>
        </w:rPr>
      </w:pPr>
    </w:p>
    <w:p>
      <w:pPr>
        <w:ind w:firstLine="622"/>
        <w:spacing w:after="0" w:line="233" w:lineRule="auto"/>
        <w:tabs>
          <w:tab w:leader="none" w:pos="1083" w:val="left"/>
        </w:tabs>
        <w:numPr>
          <w:ilvl w:val="0"/>
          <w:numId w:val="25"/>
        </w:numPr>
        <w:rPr>
          <w:rFonts w:ascii="Arial" w:cs="Arial" w:eastAsia="Arial" w:hAnsi="Arial"/>
          <w:sz w:val="21"/>
          <w:szCs w:val="21"/>
          <w:color w:val="auto"/>
        </w:rPr>
      </w:pPr>
      <w:r>
        <w:rPr>
          <w:rFonts w:ascii="Arial" w:cs="Arial" w:eastAsia="Arial" w:hAnsi="Arial"/>
          <w:sz w:val="21"/>
          <w:szCs w:val="21"/>
          <w:color w:val="auto"/>
        </w:rPr>
        <w:t>repurchase obligations for underlying securities of the types described in clauses (3), (4), (7) and (8) entered into with any financial institution or recognized securities dealer meeting the qualifications specified in clause (4) above;</w:t>
      </w:r>
    </w:p>
    <w:p>
      <w:pPr>
        <w:spacing w:after="0" w:line="149" w:lineRule="exact"/>
        <w:rPr>
          <w:rFonts w:ascii="Arial" w:cs="Arial" w:eastAsia="Arial" w:hAnsi="Arial"/>
          <w:sz w:val="21"/>
          <w:szCs w:val="21"/>
          <w:color w:val="auto"/>
        </w:rPr>
      </w:pPr>
    </w:p>
    <w:p>
      <w:pPr>
        <w:jc w:val="both"/>
        <w:ind w:firstLine="622"/>
        <w:spacing w:after="0" w:line="235" w:lineRule="auto"/>
        <w:tabs>
          <w:tab w:leader="none" w:pos="1125"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commercial paper and variable or fixed rate notes rated at least P-2 by Moody’s, at least A-2 by S&amp;P or at least F-2 by Fitch (or, if at any time none of Moody’s, S&amp;P or Fitch shall be rating such obligations, an equivalent rating from another nationally recognized statistical Rating Agency) and in each case maturing within 24 months after the date of creation thereof;</w:t>
      </w:r>
    </w:p>
    <w:p>
      <w:pPr>
        <w:spacing w:after="0" w:line="149" w:lineRule="exact"/>
        <w:rPr>
          <w:rFonts w:ascii="Arial" w:cs="Arial" w:eastAsia="Arial" w:hAnsi="Arial"/>
          <w:sz w:val="20"/>
          <w:szCs w:val="20"/>
          <w:color w:val="auto"/>
        </w:rPr>
      </w:pPr>
    </w:p>
    <w:p>
      <w:pPr>
        <w:jc w:val="both"/>
        <w:ind w:firstLine="622"/>
        <w:spacing w:after="0" w:line="224" w:lineRule="auto"/>
        <w:tabs>
          <w:tab w:leader="none" w:pos="1148" w:val="left"/>
        </w:tabs>
        <w:numPr>
          <w:ilvl w:val="0"/>
          <w:numId w:val="25"/>
        </w:numPr>
        <w:rPr>
          <w:rFonts w:ascii="Arial" w:cs="Arial" w:eastAsia="Arial" w:hAnsi="Arial"/>
          <w:sz w:val="21"/>
          <w:szCs w:val="21"/>
          <w:color w:val="auto"/>
        </w:rPr>
      </w:pPr>
      <w:r>
        <w:rPr>
          <w:rFonts w:ascii="Arial" w:cs="Arial" w:eastAsia="Arial" w:hAnsi="Arial"/>
          <w:sz w:val="21"/>
          <w:szCs w:val="21"/>
          <w:color w:val="auto"/>
        </w:rPr>
        <w:t>marketable short-term money market and similar funds having a rating of at least P-2, A-2 or F-2 from Moody’s, S&amp;P or Fitch, respectively (or, if at any time none of Moody’s, S&amp;P or Fitch shall be rating such obligations, an equivalent rating from another nationally recognized statistical Rating Agency);</w:t>
      </w:r>
    </w:p>
    <w:p>
      <w:pPr>
        <w:spacing w:after="0" w:line="148" w:lineRule="exact"/>
        <w:rPr>
          <w:rFonts w:ascii="Arial" w:cs="Arial" w:eastAsia="Arial" w:hAnsi="Arial"/>
          <w:sz w:val="21"/>
          <w:szCs w:val="21"/>
          <w:color w:val="auto"/>
        </w:rPr>
      </w:pPr>
    </w:p>
    <w:p>
      <w:pPr>
        <w:jc w:val="both"/>
        <w:ind w:firstLine="622"/>
        <w:spacing w:after="0" w:line="243" w:lineRule="auto"/>
        <w:tabs>
          <w:tab w:leader="none" w:pos="1093"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readily marketable direct obligations issued by, or unconditionally guaranteed by, any state, commonwealth or territory of the United States or any political subdivision or taxing authority thereof, in each case, having an investment grade rating from Moody’s, S&amp;P or Fitch (or, if at any time none of Moody’s, S&amp;P or Fitch shall be rating such obligations, an equivalent rating from another nationally recognized statistical Rating Agency) with maturities of 24 months or less from the date of acquisition;</w:t>
      </w:r>
    </w:p>
    <w:p>
      <w:pPr>
        <w:spacing w:after="0" w:line="146" w:lineRule="exact"/>
        <w:rPr>
          <w:rFonts w:ascii="Arial" w:cs="Arial" w:eastAsia="Arial" w:hAnsi="Arial"/>
          <w:sz w:val="19"/>
          <w:szCs w:val="19"/>
          <w:color w:val="auto"/>
        </w:rPr>
      </w:pPr>
    </w:p>
    <w:p>
      <w:pPr>
        <w:jc w:val="both"/>
        <w:ind w:firstLine="622"/>
        <w:spacing w:after="0" w:line="219" w:lineRule="auto"/>
        <w:tabs>
          <w:tab w:leader="none" w:pos="1329" w:val="left"/>
        </w:tabs>
        <w:numPr>
          <w:ilvl w:val="0"/>
          <w:numId w:val="25"/>
        </w:numPr>
        <w:rPr>
          <w:rFonts w:ascii="Arial" w:cs="Arial" w:eastAsia="Arial" w:hAnsi="Arial"/>
          <w:sz w:val="21"/>
          <w:szCs w:val="21"/>
          <w:color w:val="auto"/>
        </w:rPr>
      </w:pPr>
      <w:r>
        <w:rPr>
          <w:rFonts w:ascii="Arial" w:cs="Arial" w:eastAsia="Arial" w:hAnsi="Arial"/>
          <w:sz w:val="21"/>
          <w:szCs w:val="21"/>
          <w:color w:val="auto"/>
        </w:rPr>
        <w:t>readily marketable direct obligations issued by any foreign government or any political subdivision or public instrumentality thereof, in each case having an investment grade rating from Moody’s, S&amp;P or Fitch (or, if at any time none of Moody’s, S&amp;P or Fitch shall be rating such obligations, an equivalent rating from another nationally recognized statistical Rating Agency) with maturities of 24 months or less from the date of acquisition;</w:t>
      </w:r>
    </w:p>
    <w:p>
      <w:pPr>
        <w:spacing w:after="0" w:line="149" w:lineRule="exact"/>
        <w:rPr>
          <w:rFonts w:ascii="Arial" w:cs="Arial" w:eastAsia="Arial" w:hAnsi="Arial"/>
          <w:sz w:val="21"/>
          <w:szCs w:val="21"/>
          <w:color w:val="auto"/>
        </w:rPr>
      </w:pPr>
    </w:p>
    <w:p>
      <w:pPr>
        <w:jc w:val="both"/>
        <w:ind w:firstLine="622"/>
        <w:spacing w:after="0" w:line="219" w:lineRule="auto"/>
        <w:tabs>
          <w:tab w:leader="none" w:pos="1188" w:val="left"/>
        </w:tabs>
        <w:numPr>
          <w:ilvl w:val="0"/>
          <w:numId w:val="25"/>
        </w:numPr>
        <w:rPr>
          <w:rFonts w:ascii="Arial" w:cs="Arial" w:eastAsia="Arial" w:hAnsi="Arial"/>
          <w:sz w:val="21"/>
          <w:szCs w:val="21"/>
          <w:color w:val="auto"/>
        </w:rPr>
      </w:pPr>
      <w:r>
        <w:rPr>
          <w:rFonts w:ascii="Arial" w:cs="Arial" w:eastAsia="Arial" w:hAnsi="Arial"/>
          <w:sz w:val="21"/>
          <w:szCs w:val="21"/>
          <w:color w:val="auto"/>
        </w:rPr>
        <w:t>Investments with average maturities of 24 months or less from the date of acquisition in money market funds rated A (or the equivalent thereof) or better by S&amp;P, A-2 (or the equivalent thereof) or better by Moody’s or F-2 (or the equivalent thereof) or better by Fitch (or, if at any time none of Moody’s, S&amp;P or Fitch shall be rating such obligations, an equivalent rating from another nationally recognized statistical Rating Agency);</w:t>
      </w:r>
    </w:p>
    <w:p>
      <w:pPr>
        <w:spacing w:after="0" w:line="149" w:lineRule="exact"/>
        <w:rPr>
          <w:rFonts w:ascii="Arial" w:cs="Arial" w:eastAsia="Arial" w:hAnsi="Arial"/>
          <w:sz w:val="21"/>
          <w:szCs w:val="21"/>
          <w:color w:val="auto"/>
        </w:rPr>
      </w:pPr>
    </w:p>
    <w:p>
      <w:pPr>
        <w:ind w:firstLine="622"/>
        <w:spacing w:after="0" w:line="250" w:lineRule="auto"/>
        <w:tabs>
          <w:tab w:leader="none" w:pos="12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securities with maturities of 24 months or less from the date of acquisition backed by standby letters of credit issued by any financial institution or recognized securities dealer meeting the qualifications specified in clause (4) above;</w:t>
      </w:r>
    </w:p>
    <w:p>
      <w:pPr>
        <w:spacing w:after="0" w:line="139" w:lineRule="exact"/>
        <w:rPr>
          <w:rFonts w:ascii="Arial" w:cs="Arial" w:eastAsia="Arial" w:hAnsi="Arial"/>
          <w:sz w:val="20"/>
          <w:szCs w:val="20"/>
          <w:color w:val="auto"/>
        </w:rPr>
      </w:pPr>
    </w:p>
    <w:p>
      <w:pPr>
        <w:ind w:firstLine="622"/>
        <w:spacing w:after="0" w:line="233" w:lineRule="auto"/>
        <w:tabs>
          <w:tab w:leader="none" w:pos="1294" w:val="left"/>
        </w:tabs>
        <w:numPr>
          <w:ilvl w:val="0"/>
          <w:numId w:val="25"/>
        </w:numPr>
        <w:rPr>
          <w:rFonts w:ascii="Arial" w:cs="Arial" w:eastAsia="Arial" w:hAnsi="Arial"/>
          <w:sz w:val="21"/>
          <w:szCs w:val="21"/>
          <w:color w:val="auto"/>
        </w:rPr>
      </w:pPr>
      <w:r>
        <w:rPr>
          <w:rFonts w:ascii="Arial" w:cs="Arial" w:eastAsia="Arial" w:hAnsi="Arial"/>
          <w:sz w:val="21"/>
          <w:szCs w:val="21"/>
          <w:color w:val="auto"/>
        </w:rPr>
        <w:t>Indebtedness or preferred stock issued by Persons with a rating of “A” or higher from S&amp;P, “A-2” or higher from Moody’s or “F-2” or higher from Fitch with maturities of 24 months or less from the date of acquisition; and</w:t>
      </w:r>
    </w:p>
    <w:p>
      <w:pPr>
        <w:spacing w:after="0" w:line="149" w:lineRule="exact"/>
        <w:rPr>
          <w:rFonts w:ascii="Arial" w:cs="Arial" w:eastAsia="Arial" w:hAnsi="Arial"/>
          <w:sz w:val="21"/>
          <w:szCs w:val="21"/>
          <w:color w:val="auto"/>
        </w:rPr>
      </w:pPr>
    </w:p>
    <w:p>
      <w:pPr>
        <w:ind w:left="1260" w:hanging="638"/>
        <w:spacing w:after="0"/>
        <w:tabs>
          <w:tab w:leader="none" w:pos="12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investment funds investing at least 90% of their assets in securities of the types described in clauses (1) through (12)</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color w:val="auto"/>
        </w:rPr>
        <w:t>In the case of Investments by any Foreign Subsidiary that is a Restricted Subsidiary or Investments made in a country outside the United States of America, Cash Equivalents shall also include (a) investments of the type and maturity described in clauses (1) through (8) and clauses (10), (11), (12) and (13) above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clauses (1) through (13) and in this paragraph.</w:t>
      </w:r>
    </w:p>
    <w:p>
      <w:pPr>
        <w:spacing w:after="0" w:line="149"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20"/>
          <w:szCs w:val="20"/>
          <w:color w:val="auto"/>
        </w:rPr>
        <w:t xml:space="preserve">Notwithstanding the foregoing, Cash Equivalents shall include amounts denominated in currencies other than those set forth in clauses (1) and (2) above;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amounts are converted into any currency listed in clauses (1) and (2) as promptly as practicable and in any event within ten (10) Business Days following the receipt of such amounts.</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For the avoidance of doubt, any items identified as Cash Equivalents under this definition will be deemed to be Cash Equivalents for all purposes regardless of the treatment of such items under GAAP.</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Casualty Event</w:t>
      </w:r>
      <w:r>
        <w:rPr>
          <w:rFonts w:ascii="Arial" w:cs="Arial" w:eastAsia="Arial" w:hAnsi="Arial"/>
          <w:sz w:val="21"/>
          <w:szCs w:val="21"/>
          <w:color w:val="auto"/>
        </w:rPr>
        <w:t>” means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CERCLA</w:t>
      </w:r>
      <w:r>
        <w:rPr>
          <w:rFonts w:ascii="Arial" w:cs="Arial" w:eastAsia="Arial" w:hAnsi="Arial"/>
          <w:sz w:val="21"/>
          <w:szCs w:val="21"/>
          <w:color w:val="auto"/>
        </w:rPr>
        <w:t>” means the Comprehensive Environmental Response, Compensation, and Liability Act of 1980, as subsequently amended, and the regulations promulgated thereunder.</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CFC</w:t>
      </w:r>
      <w:r>
        <w:rPr>
          <w:rFonts w:ascii="Arial" w:cs="Arial" w:eastAsia="Arial" w:hAnsi="Arial"/>
          <w:sz w:val="21"/>
          <w:szCs w:val="21"/>
          <w:color w:val="auto"/>
        </w:rPr>
        <w:t>” means a “controlled foreign corporation” within the meaning of Section 957(a) of the Code.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shall be deemed to occur if:</w:t>
      </w:r>
    </w:p>
    <w:p>
      <w:pPr>
        <w:spacing w:after="0" w:line="177" w:lineRule="exact"/>
        <w:rPr>
          <w:sz w:val="20"/>
          <w:szCs w:val="20"/>
          <w:color w:val="auto"/>
        </w:rPr>
      </w:pPr>
    </w:p>
    <w:p>
      <w:pPr>
        <w:jc w:val="both"/>
        <w:ind w:firstLine="622"/>
        <w:spacing w:after="0" w:line="216" w:lineRule="auto"/>
        <w:tabs>
          <w:tab w:leader="none" w:pos="1516"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any person or “group” (within the meaning of Rules 13d-3 and 13d-5 under the Exchange Act as in effect on the Restatement Date), other than (i) any combination of the Investors and/or the Permitted Holders or (ii) any “group” including any Permitted Holders (provided that Permitted Holders beneficially own more than 50% of all voting interests beneficially owned by such “group”), shall have acquired beneficial ownership of more than 50%, on a fully diluted basis, of the voting interest in Holdings’ Equity Interests;</w:t>
      </w:r>
    </w:p>
    <w:p>
      <w:pPr>
        <w:spacing w:after="0" w:line="144" w:lineRule="exact"/>
        <w:rPr>
          <w:rFonts w:ascii="Arial" w:cs="Arial" w:eastAsia="Arial" w:hAnsi="Arial"/>
          <w:sz w:val="21"/>
          <w:szCs w:val="21"/>
          <w:color w:val="auto"/>
        </w:rPr>
      </w:pPr>
    </w:p>
    <w:p>
      <w:pPr>
        <w:jc w:val="both"/>
        <w:ind w:firstLine="622"/>
        <w:spacing w:after="0" w:line="237" w:lineRule="auto"/>
        <w:tabs>
          <w:tab w:leader="none" w:pos="1086"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change of control</w:t>
      </w:r>
      <w:r>
        <w:rPr>
          <w:rFonts w:ascii="Arial" w:cs="Arial" w:eastAsia="Arial" w:hAnsi="Arial"/>
          <w:sz w:val="20"/>
          <w:szCs w:val="20"/>
          <w:color w:val="auto"/>
        </w:rPr>
        <w:t>” (or similar event) shall occur under any Indebtedness for borrowed money permitted under Section 7.03 with an outstanding principal amount in excess of the Threshold Amount or any Permitted Refinancing in respect of any of the foregoing with an outstanding principal amount in excess of the Threshold Amount; or</w:t>
      </w:r>
    </w:p>
    <w:p>
      <w:pPr>
        <w:spacing w:after="0" w:line="149" w:lineRule="exact"/>
        <w:rPr>
          <w:rFonts w:ascii="Arial" w:cs="Arial" w:eastAsia="Arial" w:hAnsi="Arial"/>
          <w:sz w:val="20"/>
          <w:szCs w:val="20"/>
          <w:color w:val="auto"/>
        </w:rPr>
      </w:pPr>
    </w:p>
    <w:p>
      <w:pPr>
        <w:ind w:left="1060" w:hanging="438"/>
        <w:spacing w:after="0"/>
        <w:tabs>
          <w:tab w:leader="none" w:pos="1060" w:val="left"/>
        </w:tabs>
        <w:numPr>
          <w:ilvl w:val="0"/>
          <w:numId w:val="26"/>
        </w:numPr>
        <w:rPr>
          <w:rFonts w:ascii="Arial" w:cs="Arial" w:eastAsia="Arial" w:hAnsi="Arial"/>
          <w:sz w:val="21"/>
          <w:szCs w:val="21"/>
          <w:color w:val="auto"/>
        </w:rPr>
      </w:pPr>
      <w:r>
        <w:rPr>
          <w:rFonts w:ascii="Arial" w:cs="Arial" w:eastAsia="Arial" w:hAnsi="Arial"/>
          <w:sz w:val="21"/>
          <w:szCs w:val="21"/>
          <w:color w:val="auto"/>
        </w:rPr>
        <w:t>Holdings shall cease to own directly 100% of the Equity Interests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Notwithstanding the preceding or any provision of Section 13d-3 or 13d-5 of the Exchange Act, (i)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(ii) if any group (other than a Permitted Holder) includes one or more Permitted Holders, the issued and outstanding Equity Interests of the Borrower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Equity Interests of another Person as a result of its ownership of the Equity Interests or other securities of such other Person’s parent entity (or related contractual rights) unless it owns 50% or more of the total voting power of the Equity Interests entitled to vote for the election of directors of such parent entity having a majority of the aggregate votes on the board of directors (or similar body) of such parent entity.</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City Code</w:t>
      </w:r>
      <w:r>
        <w:rPr>
          <w:rFonts w:ascii="Arial" w:cs="Arial" w:eastAsia="Arial" w:hAnsi="Arial"/>
          <w:sz w:val="21"/>
          <w:szCs w:val="21"/>
          <w:color w:val="auto"/>
        </w:rPr>
        <w:t>” has the definition in Section 1.02(h).</w:t>
      </w:r>
    </w:p>
    <w:p>
      <w:pPr>
        <w:spacing w:after="0" w:line="171"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Class</w:t>
      </w:r>
      <w:r>
        <w:rPr>
          <w:rFonts w:ascii="Arial" w:cs="Arial" w:eastAsia="Arial" w:hAnsi="Arial"/>
          <w:sz w:val="20"/>
          <w:szCs w:val="20"/>
          <w:color w:val="auto"/>
        </w:rPr>
        <w:t>” (a) when used with respect to any Lender, refers to whether such Lender has a Loan or Commitment with respect to a particular Class of Loans or Commitments, (b) when used with respect to Commitments, refers to whether such Commitments are Revolving Credit Commitments, Extended Revolving Credit Commitments of a given Extension Series, Extended Term Loans of a given Extension Series, Revolving Commitment Increases, Other Revolving Credit Commitments, Restatement Date Term Commitments, Incremental Term Commitments or Refinancing Term Commitments of a given Refinancing Series and (c) when used with respect to Loans or a Borrowing, refers to whether such Loans, or the Loans comprising such Borrowing, are Revolving Credit Loans, Revolving Credit Loans under Revolving Commitment Increases, Revolving Credit Loans under Extended Revolving Credit Commitments of a given Extension Series, Revolving Credit Loans under Other Revolving Credit Commitments, Restatement Date Term Loans, Incremental Term Loans, Refinancing Term Loans of a given Refinancing Series or Extended Term Loans of a given Extension Series. Revolving Credit Commitments, Incremental Revolving Credit Commitments, Extended Revolving Credit Commitments, Other Revolving Credit Commitments, Restatement Date Term Commitments, Incremental Term Commitments or Refinancing Term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 There shall be no more than an aggregate of four Classes of revolving credit facilities and eight Classes of term loan facilities under this Agreement at any time outstanding under this Agreement.</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Date</w:t>
      </w:r>
      <w:r>
        <w:rPr>
          <w:rFonts w:ascii="Arial" w:cs="Arial" w:eastAsia="Arial" w:hAnsi="Arial"/>
          <w:sz w:val="21"/>
          <w:szCs w:val="21"/>
          <w:color w:val="auto"/>
        </w:rPr>
        <w:t>” means September 25, 2019.</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Fees</w:t>
      </w:r>
      <w:r>
        <w:rPr>
          <w:rFonts w:ascii="Arial" w:cs="Arial" w:eastAsia="Arial" w:hAnsi="Arial"/>
          <w:sz w:val="20"/>
          <w:szCs w:val="20"/>
          <w:color w:val="auto"/>
        </w:rPr>
        <w:t>” means those fees required to be paid on the Restatement Date pursuant to the Engagement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U.S. Internal Revenue Code of 1986, as amended from time to time.</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w:t>
      </w:r>
      <w:r>
        <w:rPr>
          <w:rFonts w:ascii="Arial" w:cs="Arial" w:eastAsia="Arial" w:hAnsi="Arial"/>
          <w:sz w:val="21"/>
          <w:szCs w:val="21"/>
          <w:color w:val="auto"/>
        </w:rPr>
        <w:t>” means (i) the “Collateral” as defined in the Security Agreement, (ii) all the “Collateral” or “Pledged Collateral” (or similar term) as defined in any other Collateral Document and (iii) any other assets pledged or in which a Lien is granted, in each case, pursuant to any Collateral Document.</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 Agent</w:t>
      </w:r>
      <w:r>
        <w:rPr>
          <w:rFonts w:ascii="Arial" w:cs="Arial" w:eastAsia="Arial" w:hAnsi="Arial"/>
          <w:sz w:val="21"/>
          <w:szCs w:val="21"/>
          <w:color w:val="auto"/>
        </w:rPr>
        <w:t>” means JPMorgan, in its capacity as collateral agent or pledgee in its own name under any of the Loan Documents, or any successor collateral agent.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 and Guarantee Requirement</w:t>
      </w:r>
      <w:r>
        <w:rPr>
          <w:rFonts w:ascii="Arial" w:cs="Arial" w:eastAsia="Arial" w:hAnsi="Arial"/>
          <w:sz w:val="21"/>
          <w:szCs w:val="21"/>
          <w:color w:val="auto"/>
        </w:rPr>
        <w:t>” means, at any time, the requirement that:</w:t>
      </w:r>
    </w:p>
    <w:p>
      <w:pPr>
        <w:spacing w:after="0" w:line="177" w:lineRule="exact"/>
        <w:rPr>
          <w:sz w:val="20"/>
          <w:szCs w:val="20"/>
          <w:color w:val="auto"/>
        </w:rPr>
      </w:pPr>
    </w:p>
    <w:p>
      <w:pPr>
        <w:jc w:val="both"/>
        <w:ind w:firstLine="622"/>
        <w:spacing w:after="0" w:line="219" w:lineRule="auto"/>
        <w:tabs>
          <w:tab w:leader="none" w:pos="1108"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Administrative Agent shall have received each Collateral Document required to be delivered (i) on the Closing Date pursuant to Section 4.01(a) of the Original Credit Agreement and (ii) from time to time pursuant to Section 6.11, Section 6.13, Section 6.16 or the Security Agreement, subject to the limitations and exceptions of this Agreement, duly executed by each Loan Party party thereto;</w:t>
      </w:r>
    </w:p>
    <w:p>
      <w:pPr>
        <w:spacing w:after="0" w:line="149" w:lineRule="exact"/>
        <w:rPr>
          <w:rFonts w:ascii="Arial" w:cs="Arial" w:eastAsia="Arial" w:hAnsi="Arial"/>
          <w:sz w:val="21"/>
          <w:szCs w:val="21"/>
          <w:color w:val="auto"/>
        </w:rPr>
      </w:pPr>
    </w:p>
    <w:p>
      <w:pPr>
        <w:ind w:firstLine="622"/>
        <w:spacing w:after="0" w:line="233" w:lineRule="auto"/>
        <w:tabs>
          <w:tab w:leader="none" w:pos="1205"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Obligations shall have been guaranteed by Holdings and each Subsidiary of the Borrower (other than Excluded Subsidiaries) pursuant to the Guaranty;</w:t>
      </w:r>
    </w:p>
    <w:p>
      <w:pPr>
        <w:spacing w:after="0" w:line="149" w:lineRule="exact"/>
        <w:rPr>
          <w:rFonts w:ascii="Arial" w:cs="Arial" w:eastAsia="Arial" w:hAnsi="Arial"/>
          <w:sz w:val="21"/>
          <w:szCs w:val="21"/>
          <w:color w:val="auto"/>
        </w:rPr>
      </w:pPr>
    </w:p>
    <w:p>
      <w:pPr>
        <w:jc w:val="both"/>
        <w:ind w:firstLine="622"/>
        <w:spacing w:after="0" w:line="223" w:lineRule="auto"/>
        <w:tabs>
          <w:tab w:leader="none" w:pos="1108"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Obligations and the Guaranty shall have been secured pursuant to the Security Agreement by a first-priority security interest in (i) all the Equity Interests of the Borrower and (ii) all Equity Interests of each Restricted Subsidiary that is not an Excluded Subsidiary (other than any Restricted Subsidiary that is an Excluded Subsidiary solely pursuant to clause (f) and/or (j)(y) of the definition thereof) directly owned by any Loan Party, subject to exceptions and limitations otherwise set forth in this Agreement and the Collateral Documents (to the extent appropriate in the applicable jurisdiction) (and the Collateral Agent shall have received certificates or other instruments representing all such Equity Interests (if any), together with undated stock powers or other instruments of transfer with respect thereto endorsed in blank);</w:t>
      </w:r>
    </w:p>
    <w:p>
      <w:pPr>
        <w:spacing w:after="0" w:line="154" w:lineRule="exact"/>
        <w:rPr>
          <w:rFonts w:ascii="Arial" w:cs="Arial" w:eastAsia="Arial" w:hAnsi="Arial"/>
          <w:sz w:val="20"/>
          <w:szCs w:val="20"/>
          <w:color w:val="auto"/>
        </w:rPr>
      </w:pPr>
    </w:p>
    <w:p>
      <w:pPr>
        <w:jc w:val="both"/>
        <w:ind w:firstLine="622"/>
        <w:spacing w:after="0" w:line="251" w:lineRule="auto"/>
        <w:tabs>
          <w:tab w:leader="none" w:pos="1115" w:val="left"/>
        </w:tabs>
        <w:numPr>
          <w:ilvl w:val="0"/>
          <w:numId w:val="27"/>
        </w:numPr>
        <w:rPr>
          <w:rFonts w:ascii="Arial" w:cs="Arial" w:eastAsia="Arial" w:hAnsi="Arial"/>
          <w:sz w:val="19"/>
          <w:szCs w:val="19"/>
          <w:color w:val="auto"/>
        </w:rPr>
      </w:pPr>
      <w:r>
        <w:rPr>
          <w:rFonts w:ascii="Arial" w:cs="Arial" w:eastAsia="Arial" w:hAnsi="Arial"/>
          <w:sz w:val="19"/>
          <w:szCs w:val="19"/>
          <w:color w:val="auto"/>
        </w:rPr>
        <w:t>all Pledged Debt owing to any Loan Party that is evidenced by a promissory note with an aggregate principal amount in excess of $10,000,000 shall have been delivered to the Collateral Agent pursuant to the Security Agreement and the Collateral Agent shall have received all such promissory notes, together with undated instruments of transfer with respect thereto endorsed in blank;</w:t>
      </w:r>
    </w:p>
    <w:p>
      <w:pPr>
        <w:spacing w:after="0" w:line="139" w:lineRule="exact"/>
        <w:rPr>
          <w:rFonts w:ascii="Arial" w:cs="Arial" w:eastAsia="Arial" w:hAnsi="Arial"/>
          <w:sz w:val="19"/>
          <w:szCs w:val="19"/>
          <w:color w:val="auto"/>
        </w:rPr>
      </w:pPr>
    </w:p>
    <w:p>
      <w:pPr>
        <w:jc w:val="both"/>
        <w:ind w:firstLine="622"/>
        <w:spacing w:after="0" w:line="239" w:lineRule="auto"/>
        <w:tabs>
          <w:tab w:leader="none" w:pos="1065"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Obligations and the Guaranty shall have been secured by a perfected security interest in substantially all now owned or at any time hereafter acquired tangible and intangible assets of each Loan Party (including Equity Interests, intercompany debt, accounts, inventory, equipment, investment property, contract rights, IP Rights, other general intangibles and proceeds of the foregoing), in each case, subject to exceptions and limitations otherwise set forth in this Agreement and the Collateral Documents (to the extent appropriate in the applicable jurisdiction), in each case with the priority required by the Collateral Documents;</w:t>
      </w:r>
    </w:p>
    <w:p>
      <w:pPr>
        <w:spacing w:after="0" w:line="149" w:lineRule="exact"/>
        <w:rPr>
          <w:rFonts w:ascii="Arial" w:cs="Arial" w:eastAsia="Arial" w:hAnsi="Arial"/>
          <w:sz w:val="19"/>
          <w:szCs w:val="19"/>
          <w:color w:val="auto"/>
        </w:rPr>
      </w:pPr>
    </w:p>
    <w:p>
      <w:pPr>
        <w:ind w:left="1040" w:hanging="418"/>
        <w:spacing w:after="0"/>
        <w:tabs>
          <w:tab w:leader="none" w:pos="1040" w:val="left"/>
        </w:tabs>
        <w:numPr>
          <w:ilvl w:val="0"/>
          <w:numId w:val="27"/>
        </w:numPr>
        <w:rPr>
          <w:rFonts w:ascii="Arial" w:cs="Arial" w:eastAsia="Arial" w:hAnsi="Arial"/>
          <w:sz w:val="21"/>
          <w:szCs w:val="21"/>
          <w:color w:val="auto"/>
        </w:rPr>
      </w:pPr>
      <w:r>
        <w:rPr>
          <w:rFonts w:ascii="Arial" w:cs="Arial" w:eastAsia="Arial" w:hAnsi="Arial"/>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52" w:lineRule="auto"/>
        <w:tabs>
          <w:tab w:leader="none" w:pos="11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otherwise contemplated by this Agreement or any Collateral Document, all certificates, agreements, documents and instruments, including Uniform Commercial Code financing statements and Intellectual Property Security Agreements, required by the Collateral Documents, applicable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 and</w:t>
      </w:r>
    </w:p>
    <w:p>
      <w:pPr>
        <w:spacing w:after="0" w:line="139" w:lineRule="exact"/>
        <w:rPr>
          <w:rFonts w:ascii="Arial" w:cs="Arial" w:eastAsia="Arial" w:hAnsi="Arial"/>
          <w:sz w:val="18"/>
          <w:szCs w:val="18"/>
          <w:color w:val="auto"/>
        </w:rPr>
      </w:pPr>
    </w:p>
    <w:p>
      <w:pPr>
        <w:jc w:val="both"/>
        <w:ind w:firstLine="622"/>
        <w:spacing w:after="0" w:line="237" w:lineRule="auto"/>
        <w:tabs>
          <w:tab w:leader="none" w:pos="1178"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after the Closing Date, each Restricted Subsidiary of the Borrower that is not then a Guarantor and not an Excluded Subsidiary shall become a Guarantor and signatory to this Agreement pursuant to a joinder agreement in accordance with Sections 6.11 or 6.13 and a party to the Collateral Documents in accordance with Section 6.11;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provisions, any Subsidiary of the Borrower that Guarantees (other than Guarantees by a Foreign Subsidiary of Indebtedness of another Foreign Subsidiary) any Junior Financing with a principal amount in excess of the Threshold Amount or any Permitted Refinancing of any of the foregoing shall be a Guarantor hereunder for so long as it Guarantees such Indebtedness.</w:t>
      </w:r>
    </w:p>
    <w:p>
      <w:pPr>
        <w:spacing w:after="0" w:line="149" w:lineRule="exact"/>
        <w:rPr>
          <w:sz w:val="20"/>
          <w:szCs w:val="20"/>
          <w:color w:val="auto"/>
        </w:rPr>
      </w:pPr>
    </w:p>
    <w:p>
      <w:pPr>
        <w:ind w:firstLine="619"/>
        <w:spacing w:after="0" w:line="233" w:lineRule="auto"/>
        <w:rPr>
          <w:sz w:val="20"/>
          <w:szCs w:val="20"/>
          <w:color w:val="auto"/>
        </w:rPr>
      </w:pPr>
      <w:r>
        <w:rPr>
          <w:rFonts w:ascii="Arial" w:cs="Arial" w:eastAsia="Arial" w:hAnsi="Arial"/>
          <w:sz w:val="21"/>
          <w:szCs w:val="21"/>
          <w:color w:val="auto"/>
        </w:rPr>
        <w:t>Notwithstanding the foregoing provisions of this definition or anything in this Agreement or any other Loan Document to the contrary:</w:t>
      </w:r>
    </w:p>
    <w:p>
      <w:pPr>
        <w:spacing w:after="0" w:line="150" w:lineRule="exact"/>
        <w:rPr>
          <w:sz w:val="20"/>
          <w:szCs w:val="20"/>
          <w:color w:val="auto"/>
        </w:rPr>
      </w:pPr>
    </w:p>
    <w:p>
      <w:pPr>
        <w:jc w:val="both"/>
        <w:ind w:firstLine="622"/>
        <w:spacing w:after="0" w:line="228" w:lineRule="auto"/>
        <w:tabs>
          <w:tab w:leader="none" w:pos="1151"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foregoing definition shall not require, unless otherwise stated in this clause (A), the creation or perfection of pledges of, security interests in, or taking other actions with respect to the following (collectively, the “</w:t>
      </w:r>
      <w:r>
        <w:rPr>
          <w:rFonts w:ascii="Arial" w:cs="Arial" w:eastAsia="Arial" w:hAnsi="Arial"/>
          <w:sz w:val="19"/>
          <w:szCs w:val="19"/>
          <w:b w:val="1"/>
          <w:bCs w:val="1"/>
          <w:color w:val="auto"/>
        </w:rPr>
        <w:t>Excluded Assets</w:t>
      </w:r>
      <w:r>
        <w:rPr>
          <w:rFonts w:ascii="Arial" w:cs="Arial" w:eastAsia="Arial" w:hAnsi="Arial"/>
          <w:sz w:val="19"/>
          <w:szCs w:val="19"/>
          <w:color w:val="auto"/>
        </w:rPr>
        <w:t>”): (i) any property or assets owned by any Foreign Subsidiary or an Unrestricted Subsidiary (unless, in each case, such Subsidiary becomes a Guarantor) or any Subsidiary which is not a Loan Party, (ii) any lease, license, contract, agreement or other general intangible (other than Equity Interests) or any property subject to a purchase money security interest, Financing Lease Obligation or similar arrangement, in each case permitted under this Agreement, to the extent that a grant of a security interest therein would violate or invalidate such lease, license, contract, agreement or other general intangible, Financing Lease Obligations or purchase money arrangement or create a right of termination in favor of any other party thereto (other than a Loan Party)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w:t>
      </w:r>
    </w:p>
    <w:p>
      <w:pPr>
        <w:spacing w:after="0" w:line="5" w:lineRule="exact"/>
        <w:rPr>
          <w:rFonts w:ascii="Arial" w:cs="Arial" w:eastAsia="Arial" w:hAnsi="Arial"/>
          <w:sz w:val="19"/>
          <w:szCs w:val="19"/>
          <w:color w:val="auto"/>
        </w:rPr>
      </w:pPr>
    </w:p>
    <w:p>
      <w:pPr>
        <w:jc w:val="both"/>
        <w:ind w:firstLine="3"/>
        <w:spacing w:after="0" w:line="232" w:lineRule="auto"/>
        <w:tabs>
          <w:tab w:leader="none" w:pos="388"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interest in fee-owned real property, (iv) any interest in leased real property (including any requirement to deliver landlord waivers, estoppels and collateral access letters), (v) motor vehicles, aircrafts, airframes, aircrafts engines or helicopters and other assets subject to certificates of title, (vi) Margin Stock and Equity Interests of any Person other than the Borrower and each wholly owned Subsidiary of the Borrower that is a Restricted Subsidiary (that is also not an Excluded Subsidiary (other than any Restricted Subsidiary that is an Excluded Subsidiary solely pursuant to clause (f) and/or (j)(y) of the definition thereof), (vii) any intent-to-use trademark application prior to the filing and acceptance of a “statement of use” or “Amendment to Allege Use” with respect thereto, to the extent, if any, that, and solely during the period, if any, that granting a security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316" w:lineRule="exact"/>
        <w:rPr>
          <w:sz w:val="20"/>
          <w:szCs w:val="20"/>
          <w:color w:val="auto"/>
        </w:rPr>
      </w:pPr>
    </w:p>
    <w:p>
      <w:pPr>
        <w:jc w:val="both"/>
        <w:ind w:firstLine="6"/>
        <w:spacing w:after="0" w:line="241" w:lineRule="auto"/>
        <w:rPr>
          <w:sz w:val="20"/>
          <w:szCs w:val="20"/>
          <w:color w:val="auto"/>
        </w:rPr>
      </w:pPr>
      <w:r>
        <w:rPr>
          <w:rFonts w:ascii="Arial" w:cs="Arial" w:eastAsia="Arial" w:hAnsi="Arial"/>
          <w:sz w:val="18"/>
          <w:szCs w:val="18"/>
          <w:color w:val="auto"/>
        </w:rPr>
        <w:t xml:space="preserve">such trademark application prior to such filing would impair the enforceability or validity, or result in the voiding, of such trademark application (or any registration that may issue therefrom) under applicable federal Law, (viii) any property or assets to the extent a security interest therein would result in material adverse tax consequences to Holdings, the Borrower, any direct or indirect parent entity of the Borrower or any of the Borrower’s direct or indirect Subsidiaries, as reasonably determined by the Borrower in consultation with the Administrative Agent, (ix) any governmental licenses or state or local franchises, charters and authorizations, to the extent a security in any such license, franchise, charter or authorization is prohibited or restricted thereby after giving effect to the anti-assignment provision of the Uniform Commercial Code and other applicable Law, other than proceeds and receivables thereof, the assignment of which is expressly deemed effective under the Uniform Commercial Code or other applicable Law notwithstanding such prohibition or restriction, (x) any assets to the extent pledges and security interests therein are prohibited or restricted by applicable Law whether on the Closing Date or thereafter (including any requirement to obtain the consent of any governmental authority or third party (other than a Loan Party)), (xi) all commercial tort claims, (xii) any deposit accounts, securities accounts or any similar accounts (including securities entitlements) (in each case, other than to the extent constituting proceeds of Collateral) and any other accounts used solely as payroll and other employee wage and benefit accounts, tax accounts (including, without limitation, sales tax accounts) and any tax benefits accounts, escrow accounts, fiduciary or trust accounts and any funds and other property held in or maintained in any such accounts, (xiii) letter of credit rights, except to the extent constituting a supporting obligation for other Collateral as to which perfection of the security interest in such other Collateral may be accomplished by the filing of a Uniform Commercial Code financing statement (it being understood that no actions shall be required to perfect a security interest in letter of credit rights, other than the filing of a Uniform Commercial Code financing statement), (xiv) cash and Cash Equivalents (other than cash and Cash Equivalents to the extent constituting proceeds of Collateral), (xv) any particular assets if the burden, cost or consequence of creating or perfecting such pledges or security interests in such assets is excessive in relation to the benefits to be obtained therefrom by the Lenders under the Loan Documents as mutually agreed by the Borrower and the Administrative Agent and (xvi) voting Equity Interests in any Foreign Subsidiary, CFC or any FSHCO, in each case, representing more than 65% of the voting power of all outstanding Equity Interests of such Foreign Subsidiary, CFC or FSHCO;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Excluded Assets shall not include any proceeds, substitutions or replacements of any and all of the foregoing assets described in clauses (i) through (xvi) above unless such proceeds, substitutions or replacements would otherwise constitute Excluded Assets pursuant to clauses (i) through (xvi) above;</w:t>
      </w:r>
    </w:p>
    <w:p>
      <w:pPr>
        <w:spacing w:after="0" w:line="400" w:lineRule="exact"/>
        <w:rPr>
          <w:sz w:val="20"/>
          <w:szCs w:val="20"/>
          <w:color w:val="auto"/>
        </w:rPr>
      </w:pPr>
    </w:p>
    <w:p>
      <w:pPr>
        <w:jc w:val="both"/>
        <w:ind w:firstLine="622"/>
        <w:spacing w:after="0" w:line="235" w:lineRule="auto"/>
        <w:tabs>
          <w:tab w:leader="none" w:pos="1166" w:val="left"/>
        </w:tabs>
        <w:numPr>
          <w:ilvl w:val="0"/>
          <w:numId w:val="31"/>
        </w:numPr>
        <w:rPr>
          <w:rFonts w:ascii="Arial" w:cs="Arial" w:eastAsia="Arial" w:hAnsi="Arial"/>
          <w:sz w:val="19"/>
          <w:szCs w:val="19"/>
          <w:color w:val="auto"/>
        </w:rPr>
      </w:pPr>
      <w:r>
        <w:rPr>
          <w:rFonts w:ascii="Arial" w:cs="Arial" w:eastAsia="Arial" w:hAnsi="Arial"/>
          <w:sz w:val="19"/>
          <w:szCs w:val="19"/>
          <w:color w:val="auto"/>
        </w:rPr>
        <w:t>(i) the foregoing definition shall not require control agreements with respect to any cash, deposit accounts or securities accounts or any other assets requiring perfection through control agreements; (ii) no actions in any non-U.S. jurisdiction or required by the laws of any non-U.S. jurisdiction shall be required in order to create any security interests in assets located or titled outside of the U.S., including any intellectual property registered in any non-U.S. jurisdiction, or to perfect such security interests (it being understood that there shall be no security agreements or pledge agreements governed under the laws of any non-U.S. jurisdiction) and (iii) except to the extent that perfection and priority may be achieved by the filing of a financing statement under the Uniform Commercial Code with respect to the Borrower or a Guarantor, the Loan Documents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40" w:right="339" w:bottom="1440" w:gutter="0" w:footer="0" w:header="0"/>
        </w:sectPr>
      </w:pPr>
    </w:p>
    <w:bookmarkStart w:id="62" w:name="page63"/>
    <w:bookmarkEnd w:id="62"/>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not contain any requirements as to perfection or priority with respect to any assets or property described in clauses (i) or (ii) of this clause (B);</w:t>
      </w:r>
    </w:p>
    <w:p>
      <w:pPr>
        <w:spacing w:after="0" w:line="176" w:lineRule="exact"/>
        <w:rPr>
          <w:sz w:val="20"/>
          <w:szCs w:val="20"/>
          <w:color w:val="auto"/>
        </w:rPr>
      </w:pPr>
    </w:p>
    <w:p>
      <w:pPr>
        <w:jc w:val="both"/>
        <w:ind w:firstLine="622"/>
        <w:spacing w:after="0" w:line="231" w:lineRule="auto"/>
        <w:tabs>
          <w:tab w:leader="none" w:pos="1119"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Collateral Agent in its discretion may grant extensions of time for the creation or perfection of security interests in, or taking other actions with respect to, particular assets (including extensions beyond the Closing Date) where it reasonably determines, in consultation with the Borrower, that the creation or perfection of security interests, or taking other actions, or any other compliance with the requirements of this definition cannot be accomplished without undue delay, burden or expense by the time or times at which it would otherwise be required by this Agreement or the Collateral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Collateral Agent shall have received on or prior to the Closing Date (i) Uniform Commercial Code financing statements in appropriate form for filing under the Uniform Commercial Code in the jurisdiction of incorporation or organization of each Loan Party, (ii) the Intellectual Property Security Agreements and (iii) any certificates or instruments representing or evidencing Equity Interests of the Borrower and its Domestic Subsidiaries (other than Equity Interests constituting Excluded Assets) accompanied by instruments of transfer and stock powers undated and endorsed in blank (or confirmation in lieu thereof reasonably satisfactory to the Collateral Agent or its counsel that such certificates, powers and instruments have been sent for overnight delivery to the Collateral Agent or its counsel);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Collateral Agent shall have received the items set forth on Schedule 6.16 on or prior to the date(s) set forth therein;</w:t>
      </w:r>
    </w:p>
    <w:p>
      <w:pPr>
        <w:spacing w:after="0" w:line="157" w:lineRule="exact"/>
        <w:rPr>
          <w:rFonts w:ascii="Arial" w:cs="Arial" w:eastAsia="Arial" w:hAnsi="Arial"/>
          <w:sz w:val="19"/>
          <w:szCs w:val="19"/>
          <w:color w:val="auto"/>
        </w:rPr>
      </w:pPr>
    </w:p>
    <w:p>
      <w:pPr>
        <w:jc w:val="both"/>
        <w:ind w:firstLine="622"/>
        <w:spacing w:after="0" w:line="225" w:lineRule="auto"/>
        <w:tabs>
          <w:tab w:leader="none" w:pos="1192"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the event that a Foreign Subsidiary becomes a Guarantor, such Loan Party shall grant a perfected lien on substantially all of its assets pursuant to arrangements reasonably agreed between the Administrative Agent and the Borrower, pursuant to documentation and subject to customary limitations in such jurisdiction as may be reasonably agreed between the Administrative Agent and the Borrower, and nothing in the definition of “Excluded Asset” or other limitation in this Agreement shall in any way limit or restrict the pledge of assets and property by any such Foreign Subsidiary that is a Guarantor or the pledge of the Equity Interests of such Foreign Subsidiary by any other Loan Party that holds such Equity Interests; and</w:t>
      </w:r>
    </w:p>
    <w:p>
      <w:pPr>
        <w:spacing w:after="0" w:line="150" w:lineRule="exact"/>
        <w:rPr>
          <w:rFonts w:ascii="Arial" w:cs="Arial" w:eastAsia="Arial" w:hAnsi="Arial"/>
          <w:sz w:val="20"/>
          <w:szCs w:val="20"/>
          <w:color w:val="auto"/>
        </w:rPr>
      </w:pPr>
    </w:p>
    <w:p>
      <w:pPr>
        <w:ind w:firstLine="622"/>
        <w:spacing w:after="0" w:line="233" w:lineRule="auto"/>
        <w:tabs>
          <w:tab w:leader="none" w:pos="1138" w:val="left"/>
        </w:tabs>
        <w:numPr>
          <w:ilvl w:val="0"/>
          <w:numId w:val="32"/>
        </w:numPr>
        <w:rPr>
          <w:rFonts w:ascii="Arial" w:cs="Arial" w:eastAsia="Arial" w:hAnsi="Arial"/>
          <w:sz w:val="21"/>
          <w:szCs w:val="21"/>
          <w:color w:val="auto"/>
        </w:rPr>
      </w:pPr>
      <w:r>
        <w:rPr>
          <w:rFonts w:ascii="Arial" w:cs="Arial" w:eastAsia="Arial" w:hAnsi="Arial"/>
          <w:sz w:val="21"/>
          <w:szCs w:val="21"/>
          <w:color w:val="auto"/>
        </w:rPr>
        <w:t>Liens required to be granted from time to time pursuant to the Collateral and Guarantee Requirement shall be subject to exceptions and limitations (if any) set forth in this Agreement and the Collateral Documents.</w:t>
      </w:r>
    </w:p>
    <w:p>
      <w:pPr>
        <w:spacing w:after="0" w:line="144"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 Documents</w:t>
      </w:r>
      <w:r>
        <w:rPr>
          <w:rFonts w:ascii="Arial" w:cs="Arial" w:eastAsia="Arial" w:hAnsi="Arial"/>
          <w:sz w:val="21"/>
          <w:szCs w:val="21"/>
          <w:color w:val="auto"/>
        </w:rPr>
        <w:t>” means, collectively, the Security Agreement, the Intellectual Property Security Agreements, collateral assignments, security agreements, pledge agreements or other similar agreements delivered to the Administrative Agent or the Collateral Agent pursuant to the Original Credit Agreement, Section 4.01, Section 6.11, Section 6.13 or Section 6.16 and each of the other agreements, instruments or documents that creates or purports to create a Lien in favor of the Administrative Agent or the Collateral Agent for the benefit of the Secured Parties.</w:t>
      </w:r>
    </w:p>
    <w:p>
      <w:pPr>
        <w:spacing w:after="0" w:line="146"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w:t>
      </w:r>
      <w:r>
        <w:rPr>
          <w:rFonts w:ascii="Arial" w:cs="Arial" w:eastAsia="Arial" w:hAnsi="Arial"/>
          <w:sz w:val="21"/>
          <w:szCs w:val="21"/>
          <w:color w:val="auto"/>
        </w:rPr>
        <w:t>” means a Revolving Credit Commitment, Incremental Revolving Credit Commitment, Extended Revolving Credit Commitment of a given Extension Series, Other Revolving Credit Commitment of a given Refinancing Series, Restatement Date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Commitment, Incremental Term Commitment or Refinancing Term Commitment of a given Refinancing Series, as the context may require.</w:t>
      </w:r>
    </w:p>
    <w:p>
      <w:pPr>
        <w:spacing w:after="0" w:line="144"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Committed Loan Notice</w:t>
      </w:r>
      <w:r>
        <w:rPr>
          <w:rFonts w:ascii="Arial" w:cs="Arial" w:eastAsia="Arial" w:hAnsi="Arial"/>
          <w:sz w:val="21"/>
          <w:szCs w:val="21"/>
          <w:color w:val="auto"/>
        </w:rPr>
        <w:t>” means a notice of (a) a Borrowing, (b) a conversion of Loans from one Type to the other, or (c) a continuation of Term SOFR Loans or Eurocurrency Rate Loans, in each case, pursuant to Section 2.02(a), which, if in writing, shall be substantially in the form of Exhibit A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Commodity Exchange Act</w:t>
      </w:r>
      <w:r>
        <w:rPr>
          <w:rFonts w:ascii="Arial" w:cs="Arial" w:eastAsia="Arial" w:hAnsi="Arial"/>
          <w:sz w:val="21"/>
          <w:szCs w:val="21"/>
          <w:color w:val="auto"/>
        </w:rPr>
        <w:t>” means the Commodity Exchange Act (7 U.S.C. § 1 et seq.).</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Parties</w:t>
      </w:r>
      <w:r>
        <w:rPr>
          <w:rFonts w:ascii="Arial" w:cs="Arial" w:eastAsia="Arial" w:hAnsi="Arial"/>
          <w:sz w:val="21"/>
          <w:szCs w:val="21"/>
          <w:color w:val="auto"/>
        </w:rPr>
        <w:t>” means the collective reference to Holdings and its Restricted Subsidiaries, including the Borrower, and “</w:t>
      </w:r>
      <w:r>
        <w:rPr>
          <w:rFonts w:ascii="Arial" w:cs="Arial" w:eastAsia="Arial" w:hAnsi="Arial"/>
          <w:sz w:val="21"/>
          <w:szCs w:val="21"/>
          <w:b w:val="1"/>
          <w:bCs w:val="1"/>
          <w:color w:val="auto"/>
        </w:rPr>
        <w:t>Company Party</w:t>
      </w:r>
      <w:r>
        <w:rPr>
          <w:rFonts w:ascii="Arial" w:cs="Arial" w:eastAsia="Arial" w:hAnsi="Arial"/>
          <w:sz w:val="21"/>
          <w:szCs w:val="21"/>
          <w:color w:val="auto"/>
        </w:rPr>
        <w:t>” means any one of them.</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Compensation Period</w:t>
      </w:r>
      <w:r>
        <w:rPr>
          <w:rFonts w:ascii="Arial" w:cs="Arial" w:eastAsia="Arial" w:hAnsi="Arial"/>
          <w:sz w:val="21"/>
          <w:szCs w:val="21"/>
          <w:color w:val="auto"/>
        </w:rPr>
        <w:t>” has the meaning set forth in Section 2.12(c)(ii).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Compliance Certificate</w:t>
      </w:r>
      <w:r>
        <w:rPr>
          <w:rFonts w:ascii="Arial" w:cs="Arial" w:eastAsia="Arial" w:hAnsi="Arial"/>
          <w:sz w:val="21"/>
          <w:szCs w:val="21"/>
          <w:color w:val="auto"/>
        </w:rPr>
        <w:t>” means a certificate substantially in the form of Exhibit E-1.</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EBITDA</w:t>
      </w:r>
      <w:r>
        <w:rPr>
          <w:rFonts w:ascii="Arial" w:cs="Arial" w:eastAsia="Arial" w:hAnsi="Arial"/>
          <w:sz w:val="21"/>
          <w:szCs w:val="21"/>
          <w:color w:val="auto"/>
        </w:rPr>
        <w:t>” means, for any period, the Consolidated Net Income for such period:</w:t>
      </w:r>
    </w:p>
    <w:p>
      <w:pPr>
        <w:spacing w:after="0" w:line="177" w:lineRule="exact"/>
        <w:rPr>
          <w:sz w:val="20"/>
          <w:szCs w:val="20"/>
          <w:color w:val="auto"/>
        </w:rPr>
      </w:pPr>
    </w:p>
    <w:p>
      <w:pPr>
        <w:ind w:firstLine="622"/>
        <w:spacing w:after="0" w:line="233" w:lineRule="auto"/>
        <w:tabs>
          <w:tab w:leader="none" w:pos="107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increased (without duplication) by the following, in each case (and to the extent applicable) to the extent deducted (and not added back) in determining Consolidated Net Income for such period:</w:t>
      </w:r>
    </w:p>
    <w:p>
      <w:pPr>
        <w:spacing w:after="0" w:line="150" w:lineRule="exact"/>
        <w:rPr>
          <w:sz w:val="20"/>
          <w:szCs w:val="20"/>
          <w:color w:val="auto"/>
        </w:rPr>
      </w:pPr>
    </w:p>
    <w:p>
      <w:pPr>
        <w:jc w:val="both"/>
        <w:ind w:firstLine="622"/>
        <w:spacing w:after="0" w:line="213" w:lineRule="auto"/>
        <w:tabs>
          <w:tab w:leader="none" w:pos="1056" w:val="left"/>
        </w:tabs>
        <w:numPr>
          <w:ilvl w:val="0"/>
          <w:numId w:val="34"/>
        </w:numPr>
        <w:rPr>
          <w:rFonts w:ascii="Arial" w:cs="Arial" w:eastAsia="Arial" w:hAnsi="Arial"/>
          <w:sz w:val="21"/>
          <w:szCs w:val="21"/>
          <w:color w:val="auto"/>
        </w:rPr>
      </w:pPr>
      <w:r>
        <w:rPr>
          <w:rFonts w:ascii="Arial" w:cs="Arial" w:eastAsia="Arial" w:hAnsi="Arial"/>
          <w:sz w:val="21"/>
          <w:szCs w:val="21"/>
          <w:color w:val="auto"/>
        </w:rPr>
        <w:t>(x) provision for taxes based on income, profits or capital, including, without limitation, federal, state and foreign franchise and similar taxes (such as the Delaware franchise tax, the Pennsylvania capital tax, Texas margin tax and provincial capital taxes paid in Canada) and withholding taxes (including any future taxes or other levies which replace or are intended to be in lieu of such taxes and any penalties and interest related to such taxes or arising from tax examinations), (y) the amount of distributions actually made to any direct or indirect parent company of the Borrower in respect of such period in accordance with Section 7.06(i)(iii), and (z) the net tax expense associated with any adjustments made pursuant to clauses (1) through (18) of the definition of “Consolidated Net Income”; plus</w:t>
      </w:r>
    </w:p>
    <w:p>
      <w:pPr>
        <w:spacing w:after="0" w:line="149" w:lineRule="exact"/>
        <w:rPr>
          <w:rFonts w:ascii="Arial" w:cs="Arial" w:eastAsia="Arial" w:hAnsi="Arial"/>
          <w:sz w:val="21"/>
          <w:szCs w:val="21"/>
          <w:color w:val="auto"/>
        </w:rPr>
      </w:pPr>
    </w:p>
    <w:p>
      <w:pPr>
        <w:jc w:val="both"/>
        <w:ind w:firstLine="622"/>
        <w:spacing w:after="0" w:line="219" w:lineRule="auto"/>
        <w:tabs>
          <w:tab w:leader="none" w:pos="1073" w:val="left"/>
        </w:tabs>
        <w:numPr>
          <w:ilvl w:val="0"/>
          <w:numId w:val="34"/>
        </w:numPr>
        <w:rPr>
          <w:rFonts w:ascii="Arial" w:cs="Arial" w:eastAsia="Arial" w:hAnsi="Arial"/>
          <w:sz w:val="21"/>
          <w:szCs w:val="21"/>
          <w:color w:val="auto"/>
        </w:rPr>
      </w:pPr>
      <w:r>
        <w:rPr>
          <w:rFonts w:ascii="Arial" w:cs="Arial" w:eastAsia="Arial" w:hAnsi="Arial"/>
          <w:sz w:val="21"/>
          <w:szCs w:val="21"/>
          <w:color w:val="auto"/>
        </w:rPr>
        <w:t>Fixed Charges for such period (including (w) non-cash rent expense, (x) net losses or any obligations on Swap Obligations or other derivative instruments, (y) bank fees and other financing fees and (z) costs of surety bonds in connection with financing activities, plus amounts excluded from Consolidated Interest Expense as set forth in clauses (1)(o) through (z) in the definition thereof); plus</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302"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total amount of depreciation and amortization expenses and capitalized fees, including, without limitation, the amortization of capitalized fees related to any Qualified Securitization Facility and the amortization of intangible assets, deferred financing costs,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16" w:lineRule="exact"/>
        <w:rPr>
          <w:sz w:val="20"/>
          <w:szCs w:val="20"/>
          <w:color w:val="auto"/>
        </w:rPr>
      </w:pPr>
    </w:p>
    <w:p>
      <w:pPr>
        <w:ind w:firstLine="6"/>
        <w:spacing w:after="0" w:line="250" w:lineRule="auto"/>
        <w:rPr>
          <w:sz w:val="20"/>
          <w:szCs w:val="20"/>
          <w:color w:val="auto"/>
        </w:rPr>
      </w:pPr>
      <w:r>
        <w:rPr>
          <w:rFonts w:ascii="Arial" w:cs="Arial" w:eastAsia="Arial" w:hAnsi="Arial"/>
          <w:sz w:val="20"/>
          <w:szCs w:val="20"/>
          <w:color w:val="auto"/>
        </w:rPr>
        <w:t>issuance costs, commissions, fees and expenses, and any Capitalized Software Expenditures of the Borrower and its Restricted Subsidiaries for such period on a consolidated basis and otherwise determined in accordance with GAAP; plus</w:t>
      </w:r>
    </w:p>
    <w:p>
      <w:pPr>
        <w:spacing w:after="0" w:line="165" w:lineRule="exact"/>
        <w:rPr>
          <w:sz w:val="20"/>
          <w:szCs w:val="20"/>
          <w:color w:val="auto"/>
        </w:rPr>
      </w:pPr>
    </w:p>
    <w:p>
      <w:pPr>
        <w:ind w:firstLine="622"/>
        <w:spacing w:after="0" w:line="250" w:lineRule="auto"/>
        <w:tabs>
          <w:tab w:leader="none" w:pos="1125"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amount of any equity-based or non-cash compensation charges or expenses, including any such charges or expenses arising from grants of stock appreciation or similar rights, stock options, restricted stock or other rights; plus</w:t>
      </w:r>
    </w:p>
    <w:p>
      <w:pPr>
        <w:spacing w:after="0" w:line="139" w:lineRule="exact"/>
        <w:rPr>
          <w:rFonts w:ascii="Arial" w:cs="Arial" w:eastAsia="Arial" w:hAnsi="Arial"/>
          <w:sz w:val="20"/>
          <w:szCs w:val="20"/>
          <w:color w:val="auto"/>
        </w:rPr>
      </w:pPr>
    </w:p>
    <w:p>
      <w:pPr>
        <w:jc w:val="both"/>
        <w:ind w:firstLine="622"/>
        <w:spacing w:after="0" w:line="237" w:lineRule="auto"/>
        <w:tabs>
          <w:tab w:leader="none" w:pos="1067"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other non-cash charges, expenses or losses, including non-cash losses on the sale of assets and any write-offs or write-downs reducing Consolidated Net Income for such period and any non-cash expense relating to the vesting of warrants (provided that if any such non-cash charges represent an accrual or reserve for potential cash items in any future period, (A) the Borrower may elect not to add back such non-cash charge in the current period and (B) to the extent the Borrower elects to add back such non-cash charge, the cash payment in respect thereof in such future period shall be subtracted from Consolidated EBITDA to such extent), and excluding amortization of a prepaid cash item that was paid in a prior period; plus</w:t>
      </w:r>
    </w:p>
    <w:p>
      <w:pPr>
        <w:spacing w:after="0" w:line="149" w:lineRule="exact"/>
        <w:rPr>
          <w:rFonts w:ascii="Arial" w:cs="Arial" w:eastAsia="Arial" w:hAnsi="Arial"/>
          <w:sz w:val="19"/>
          <w:szCs w:val="19"/>
          <w:color w:val="auto"/>
        </w:rPr>
      </w:pPr>
    </w:p>
    <w:p>
      <w:pPr>
        <w:ind w:firstLine="622"/>
        <w:spacing w:after="0" w:line="233" w:lineRule="auto"/>
        <w:tabs>
          <w:tab w:leader="none" w:pos="1034"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amount of any non-controlling interest or minority interest expense consisting of Subsidiary income attributable to non-controlling or minority equity interests of third parties in any non-wholly owned Subsidiary; plus</w:t>
      </w:r>
    </w:p>
    <w:p>
      <w:pPr>
        <w:spacing w:after="0" w:line="149" w:lineRule="exact"/>
        <w:rPr>
          <w:rFonts w:ascii="Arial" w:cs="Arial" w:eastAsia="Arial" w:hAnsi="Arial"/>
          <w:sz w:val="21"/>
          <w:szCs w:val="21"/>
          <w:color w:val="auto"/>
        </w:rPr>
      </w:pPr>
    </w:p>
    <w:p>
      <w:pPr>
        <w:jc w:val="both"/>
        <w:ind w:firstLine="622"/>
        <w:spacing w:after="0" w:line="233" w:lineRule="auto"/>
        <w:tabs>
          <w:tab w:leader="none" w:pos="1235"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amount of (x) board fees, management, monitoring, consulting, transaction, advisory and other fees (including termination fees) and indemnities, costs and expenses paid or accrued in such period to the Investors or otherwise to any member of the board of directors of Holdings, the Borrower, any Permitted Holder or any Affiliate of a Permitted Holder, in each case, to the extent permitted under Section 7.08, (y)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including any cash consideration for any repurchase of equity, in each case to the extent permitted in the Loan Documents and (z) any fees and other compensation paid to the members of the board of directors (or the equivalent thereof) of the Borrower or any of its parent entities; plus</w:t>
      </w:r>
    </w:p>
    <w:p>
      <w:pPr>
        <w:spacing w:after="0" w:line="153" w:lineRule="exact"/>
        <w:rPr>
          <w:rFonts w:ascii="Arial" w:cs="Arial" w:eastAsia="Arial" w:hAnsi="Arial"/>
          <w:sz w:val="19"/>
          <w:szCs w:val="19"/>
          <w:color w:val="auto"/>
        </w:rPr>
      </w:pPr>
    </w:p>
    <w:p>
      <w:pPr>
        <w:jc w:val="both"/>
        <w:ind w:firstLine="622"/>
        <w:spacing w:after="0" w:line="234" w:lineRule="auto"/>
        <w:tabs>
          <w:tab w:leader="none" w:pos="1131"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amount of (x) pro forma “run rate” cost savings, operating expense reductions and synergies related to mergers and other business combinations, acquisitions, investments, dispositions, divestitures, restructurings, operating improvements, cost savings initiatives and other similar transactions or initiatives (including the modification and renegotiation of contracts and other arrangements) that are reasonably identifiable and factually supportable and projected by the Borrower in good faith to result from actions that have been taken or with respect to which substantial steps have been taken (in each case, including any steps or actions taken in whole or in part prior to the Restatement Date or the applicable consummation date of such transaction, initiative or event) or are expected to be taken (in the good faith determination of the Borrower) within 24 months after any such transaction, initiative or event is consummated, net the amount of actual benefits realized during such period from such actions and (y) savings from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316" w:lineRule="exact"/>
        <w:rPr>
          <w:sz w:val="20"/>
          <w:szCs w:val="20"/>
          <w:color w:val="auto"/>
        </w:rPr>
      </w:pPr>
    </w:p>
    <w:p>
      <w:pPr>
        <w:jc w:val="both"/>
        <w:ind w:firstLine="6"/>
        <w:spacing w:after="0" w:line="241" w:lineRule="auto"/>
        <w:rPr>
          <w:sz w:val="20"/>
          <w:szCs w:val="20"/>
          <w:color w:val="auto"/>
        </w:rPr>
      </w:pPr>
      <w:r>
        <w:rPr>
          <w:rFonts w:ascii="Arial" w:cs="Arial" w:eastAsia="Arial" w:hAnsi="Arial"/>
          <w:sz w:val="18"/>
          <w:szCs w:val="18"/>
          <w:color w:val="auto"/>
        </w:rPr>
        <w:t xml:space="preserve">continuity plans and procurement strategies reasonably identifiable and factually supportable and projected by the Borrower in good faith to result from actions that have been taken or with respect to which substantial steps have been taken or are expected to be taken (in the good faith determination of the Borrower) within 24 months after such business continuity plans or procurement strategies is consummated, in each case net the amount of actual benefits realized during such period from such action, in each case, calculated on a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basis as though such cost savings, operating expense reductions and synergies had been realized on the first day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for which Consolidated EBITDA is being determined and as if such cost savings, operating expense reductions and synergies were realized on the first day of the applicable period for the entirety of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cost savings, operating expense reductions and synergies shall be added pursuant to this clause (h) to the extent duplicative of any expenses or charges otherwise added to Consolidated EBITDA, whether through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adjustment or otherwise, for such period;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amount added back under clauses (h)(x) and (h)(y), when taken together with the amount added back under clause (m) below, shall not exceed 25% of Consolidated EBITDA (calculated after giving effect to such addbacks) for such period; plus</w:t>
      </w:r>
    </w:p>
    <w:p>
      <w:pPr>
        <w:spacing w:after="0" w:line="1" w:lineRule="exact"/>
        <w:rPr>
          <w:sz w:val="20"/>
          <w:szCs w:val="20"/>
          <w:color w:val="auto"/>
        </w:rPr>
      </w:pPr>
    </w:p>
    <w:p>
      <w:pPr>
        <w:ind w:firstLine="622"/>
        <w:spacing w:after="0" w:line="224" w:lineRule="auto"/>
        <w:tabs>
          <w:tab w:leader="none" w:pos="1172"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amount of loss or discount on sale of receivables, Securitization Assets and related assets to any Securitization Subsidiary in connection with a Qualified Securitization Facility; plus</w:t>
      </w:r>
    </w:p>
    <w:p>
      <w:pPr>
        <w:spacing w:after="0" w:line="150" w:lineRule="exact"/>
        <w:rPr>
          <w:rFonts w:ascii="Arial" w:cs="Arial" w:eastAsia="Arial" w:hAnsi="Arial"/>
          <w:sz w:val="21"/>
          <w:szCs w:val="21"/>
          <w:color w:val="auto"/>
        </w:rPr>
      </w:pPr>
    </w:p>
    <w:p>
      <w:pPr>
        <w:jc w:val="both"/>
        <w:ind w:firstLine="622"/>
        <w:spacing w:after="0" w:line="214" w:lineRule="auto"/>
        <w:tabs>
          <w:tab w:leader="none" w:pos="1138"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costs or expense incurred by the Borrower or a Restricted Subsidiary or a parent entity of the Borrower pursuant to any management equity plan or stock option plan or any other management or employee benefit plan or agreement, any severance agreement or any stock subscription or shareholder agreement, to the extent that such cost or expenses are funded with cash proceeds contributed to the capital of the Borrower or net cash proceeds of an issuance of Equity Interests of the Borrower (other than Disqualified Equity Interests) solely to the extent that such cash proceeds or net cash proceeds are excluded from the calculation of the Cumulative Credit; plus</w:t>
      </w:r>
    </w:p>
    <w:p>
      <w:pPr>
        <w:spacing w:after="0" w:line="151" w:lineRule="exact"/>
        <w:rPr>
          <w:rFonts w:ascii="Arial" w:cs="Arial" w:eastAsia="Arial" w:hAnsi="Arial"/>
          <w:sz w:val="21"/>
          <w:szCs w:val="21"/>
          <w:color w:val="auto"/>
        </w:rPr>
      </w:pPr>
    </w:p>
    <w:p>
      <w:pPr>
        <w:jc w:val="both"/>
        <w:ind w:firstLine="622"/>
        <w:spacing w:after="0" w:line="235"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cash receipts (or any netting arrangements resulting in reduced cash expenditures) not representing Consolidated EBITDA or Consolidated Net Income in any period to the extent non-cash gains relating to such income were deducted in the calculation of Consolidated EBITDA pursuant to clause (2) below for any previous period and not added back; plus</w:t>
      </w:r>
    </w:p>
    <w:p>
      <w:pPr>
        <w:spacing w:after="0" w:line="149" w:lineRule="exact"/>
        <w:rPr>
          <w:rFonts w:ascii="Arial" w:cs="Arial" w:eastAsia="Arial" w:hAnsi="Arial"/>
          <w:sz w:val="20"/>
          <w:szCs w:val="20"/>
          <w:color w:val="auto"/>
        </w:rPr>
      </w:pPr>
    </w:p>
    <w:p>
      <w:pPr>
        <w:jc w:val="both"/>
        <w:ind w:firstLine="622"/>
        <w:spacing w:after="0" w:line="239" w:lineRule="auto"/>
        <w:tabs>
          <w:tab w:leader="none" w:pos="1045"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net losses, charges, expenses, costs or other payments (including all fees, expenses or charges related thereto) (i) from closed, disposed, abandoned or discontinued operations, (ii) in respect of facilities no longer used or useful in the conduct of the business of the Borrower or its Restricted Subsidiaries, abandoned, closed, disposed or discontinued operations and any losses on disposal of abandoned, closed or discontinued operations and (iii) attributable to business dispositions or asset dispositions (other than in the ordinary course of business) as determined in good faith by the Borrower; plus</w:t>
      </w:r>
    </w:p>
    <w:p>
      <w:pPr>
        <w:spacing w:after="0" w:line="149" w:lineRule="exact"/>
        <w:rPr>
          <w:rFonts w:ascii="Arial" w:cs="Arial" w:eastAsia="Arial" w:hAnsi="Arial"/>
          <w:sz w:val="19"/>
          <w:szCs w:val="19"/>
          <w:color w:val="auto"/>
        </w:rPr>
      </w:pPr>
    </w:p>
    <w:p>
      <w:pPr>
        <w:jc w:val="both"/>
        <w:ind w:firstLine="622"/>
        <w:spacing w:after="0" w:line="224" w:lineRule="auto"/>
        <w:tabs>
          <w:tab w:leader="none" w:pos="1149" w:val="left"/>
        </w:tabs>
        <w:numPr>
          <w:ilvl w:val="0"/>
          <w:numId w:val="36"/>
        </w:numPr>
        <w:rPr>
          <w:rFonts w:ascii="Arial" w:cs="Arial" w:eastAsia="Arial" w:hAnsi="Arial"/>
          <w:sz w:val="21"/>
          <w:szCs w:val="21"/>
          <w:color w:val="auto"/>
        </w:rPr>
      </w:pPr>
      <w:r>
        <w:rPr>
          <w:rFonts w:ascii="Arial" w:cs="Arial" w:eastAsia="Arial" w:hAnsi="Arial"/>
          <w:sz w:val="21"/>
          <w:szCs w:val="21"/>
          <w:color w:val="auto"/>
        </w:rPr>
        <w:t>costs, expenses and other related costs, expenses and adjustments resulting from the impact of new product introductions (including, but not limited to, labor costs, scrap costs, and lower absorption of costs (including due to decreased productivity and greater inefficiencies))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316" w:lineRule="exact"/>
        <w:rPr>
          <w:sz w:val="20"/>
          <w:szCs w:val="20"/>
          <w:color w:val="auto"/>
        </w:rPr>
      </w:pPr>
    </w:p>
    <w:p>
      <w:pPr>
        <w:jc w:val="both"/>
        <w:ind w:firstLine="6"/>
        <w:spacing w:after="0" w:line="272" w:lineRule="auto"/>
        <w:rPr>
          <w:sz w:val="20"/>
          <w:szCs w:val="20"/>
          <w:color w:val="auto"/>
        </w:rPr>
      </w:pPr>
      <w:r>
        <w:rPr>
          <w:rFonts w:ascii="Arial" w:cs="Arial" w:eastAsia="Arial" w:hAnsi="Arial"/>
          <w:sz w:val="18"/>
          <w:szCs w:val="18"/>
          <w:color w:val="auto"/>
        </w:rPr>
        <w:t xml:space="preserve">respect of any plant, facility or location and expected to have a continuing impact on the Borrower and its Restricted Subsidiaries;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amount added back under this clause (m), when taken together with the amount added back under clauses (h)(x) and</w:t>
      </w:r>
      <w:r>
        <w:rPr>
          <w:rFonts w:ascii="Arial" w:cs="Arial" w:eastAsia="Arial" w:hAnsi="Arial"/>
          <w:sz w:val="18"/>
          <w:szCs w:val="18"/>
          <w:i w:val="1"/>
          <w:iCs w:val="1"/>
          <w:color w:val="auto"/>
        </w:rPr>
        <w:t xml:space="preserve"> </w:t>
      </w:r>
      <w:r>
        <w:rPr>
          <w:rFonts w:ascii="Arial" w:cs="Arial" w:eastAsia="Arial" w:hAnsi="Arial"/>
          <w:sz w:val="18"/>
          <w:szCs w:val="18"/>
          <w:color w:val="auto"/>
        </w:rPr>
        <w:t>(h)(y) above, shall not exceed 25% of Consolidated EBITDA (calculated after giving effect to such addbacks) for such period; plus</w:t>
      </w:r>
    </w:p>
    <w:p>
      <w:pPr>
        <w:spacing w:after="0" w:line="147" w:lineRule="exact"/>
        <w:rPr>
          <w:sz w:val="20"/>
          <w:szCs w:val="20"/>
          <w:color w:val="auto"/>
        </w:rPr>
      </w:pPr>
    </w:p>
    <w:p>
      <w:pPr>
        <w:ind w:firstLine="622"/>
        <w:spacing w:after="0" w:line="233" w:lineRule="auto"/>
        <w:tabs>
          <w:tab w:leader="none" w:pos="1115"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other adjustments, exclusions and add-backs reflected in the Sponsor’s model delivered to the Lead Arrangers on or about August 8, 2019; plus</w:t>
      </w:r>
    </w:p>
    <w:p>
      <w:pPr>
        <w:spacing w:after="0" w:line="149" w:lineRule="exact"/>
        <w:rPr>
          <w:rFonts w:ascii="Arial" w:cs="Arial" w:eastAsia="Arial" w:hAnsi="Arial"/>
          <w:sz w:val="21"/>
          <w:szCs w:val="21"/>
          <w:color w:val="auto"/>
        </w:rPr>
      </w:pPr>
    </w:p>
    <w:p>
      <w:pPr>
        <w:ind w:left="1060" w:hanging="438"/>
        <w:spacing w:after="0"/>
        <w:tabs>
          <w:tab w:leader="none" w:pos="10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[reserved]; plus</w:t>
      </w:r>
    </w:p>
    <w:p>
      <w:pPr>
        <w:spacing w:after="0" w:line="171" w:lineRule="exact"/>
        <w:rPr>
          <w:rFonts w:ascii="Arial" w:cs="Arial" w:eastAsia="Arial" w:hAnsi="Arial"/>
          <w:sz w:val="21"/>
          <w:szCs w:val="21"/>
          <w:color w:val="auto"/>
        </w:rPr>
      </w:pPr>
    </w:p>
    <w:p>
      <w:pPr>
        <w:ind w:firstLine="622"/>
        <w:spacing w:after="0" w:line="233" w:lineRule="auto"/>
        <w:tabs>
          <w:tab w:leader="none" w:pos="1129" w:val="left"/>
        </w:tabs>
        <w:numPr>
          <w:ilvl w:val="0"/>
          <w:numId w:val="37"/>
        </w:numPr>
        <w:rPr>
          <w:rFonts w:ascii="Arial" w:cs="Arial" w:eastAsia="Arial" w:hAnsi="Arial"/>
          <w:sz w:val="21"/>
          <w:szCs w:val="21"/>
          <w:color w:val="auto"/>
        </w:rPr>
      </w:pPr>
      <w:r>
        <w:rPr>
          <w:rFonts w:ascii="Arial" w:cs="Arial" w:eastAsia="Arial" w:hAnsi="Arial"/>
          <w:sz w:val="21"/>
          <w:szCs w:val="21"/>
          <w:color w:val="auto"/>
        </w:rPr>
        <w:t>compensation expense attributable to positive investment income with respect to funded deferred compensation account balances; plus</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178"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amount of any gains or losses arising from embedded derivatives in the customer contracts of the Borrower or a Restricted Subsidiary and any gain or loss attributable to mark-to-market adjustments in the valuation of pension liabilities, including actuarial gain or loss on pension and post-retirement plans, curtailments and settlements;</w:t>
      </w:r>
    </w:p>
    <w:p>
      <w:pPr>
        <w:spacing w:after="0" w:line="149" w:lineRule="exact"/>
        <w:rPr>
          <w:sz w:val="20"/>
          <w:szCs w:val="20"/>
          <w:color w:val="auto"/>
        </w:rPr>
      </w:pPr>
    </w:p>
    <w:p>
      <w:pPr>
        <w:ind w:firstLine="622"/>
        <w:spacing w:after="0" w:line="233" w:lineRule="auto"/>
        <w:tabs>
          <w:tab w:leader="none" w:pos="1158" w:val="left"/>
        </w:tabs>
        <w:numPr>
          <w:ilvl w:val="0"/>
          <w:numId w:val="38"/>
        </w:numPr>
        <w:rPr>
          <w:rFonts w:ascii="Arial" w:cs="Arial" w:eastAsia="Arial" w:hAnsi="Arial"/>
          <w:sz w:val="21"/>
          <w:szCs w:val="21"/>
          <w:color w:val="auto"/>
        </w:rPr>
      </w:pPr>
      <w:r>
        <w:rPr>
          <w:rFonts w:ascii="Arial" w:cs="Arial" w:eastAsia="Arial" w:hAnsi="Arial"/>
          <w:sz w:val="21"/>
          <w:szCs w:val="21"/>
          <w:color w:val="auto"/>
        </w:rPr>
        <w:t>decreased (without duplication) by the following, in each case to the extent included in determining Consolidated Net Income for such period:</w:t>
      </w:r>
    </w:p>
    <w:p>
      <w:pPr>
        <w:spacing w:after="0" w:line="150" w:lineRule="exact"/>
        <w:rPr>
          <w:sz w:val="20"/>
          <w:szCs w:val="20"/>
          <w:color w:val="auto"/>
        </w:rPr>
      </w:pPr>
    </w:p>
    <w:p>
      <w:pPr>
        <w:jc w:val="both"/>
        <w:ind w:firstLine="622"/>
        <w:spacing w:after="0" w:line="230" w:lineRule="auto"/>
        <w:tabs>
          <w:tab w:leader="none" w:pos="1108" w:val="left"/>
        </w:tabs>
        <w:numPr>
          <w:ilvl w:val="0"/>
          <w:numId w:val="39"/>
        </w:numPr>
        <w:rPr>
          <w:rFonts w:ascii="Arial" w:cs="Arial" w:eastAsia="Arial" w:hAnsi="Arial"/>
          <w:sz w:val="20"/>
          <w:szCs w:val="20"/>
          <w:color w:val="auto"/>
        </w:rPr>
      </w:pPr>
      <w:r>
        <w:rPr>
          <w:rFonts w:ascii="Arial" w:cs="Arial" w:eastAsia="Arial" w:hAnsi="Arial"/>
          <w:sz w:val="20"/>
          <w:szCs w:val="20"/>
          <w:color w:val="auto"/>
        </w:rPr>
        <w:t>non-cash gains (including non-cash gains on the sale of assets) increasing Consolidated Net Income of the Borrower for 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plus</w:t>
      </w:r>
    </w:p>
    <w:p>
      <w:pPr>
        <w:spacing w:after="0" w:line="149" w:lineRule="exact"/>
        <w:rPr>
          <w:rFonts w:ascii="Arial" w:cs="Arial" w:eastAsia="Arial" w:hAnsi="Arial"/>
          <w:sz w:val="20"/>
          <w:szCs w:val="20"/>
          <w:color w:val="auto"/>
        </w:rPr>
      </w:pPr>
    </w:p>
    <w:p>
      <w:pPr>
        <w:ind w:firstLine="622"/>
        <w:spacing w:after="0" w:line="276" w:lineRule="auto"/>
        <w:tabs>
          <w:tab w:leader="none" w:pos="1144"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net income from disposed, abandoned, closed or discontinued operations or attributable to business dispositions or asset dispositions (other than in the ordinary course of business) as determined in good faith by the Borrower; plus</w:t>
      </w:r>
    </w:p>
    <w:p>
      <w:pPr>
        <w:spacing w:after="0" w:line="116" w:lineRule="exact"/>
        <w:rPr>
          <w:rFonts w:ascii="Arial" w:cs="Arial" w:eastAsia="Arial" w:hAnsi="Arial"/>
          <w:sz w:val="19"/>
          <w:szCs w:val="19"/>
          <w:color w:val="auto"/>
        </w:rPr>
      </w:pPr>
    </w:p>
    <w:p>
      <w:pPr>
        <w:ind w:firstLine="622"/>
        <w:spacing w:after="0" w:line="233" w:lineRule="auto"/>
        <w:tabs>
          <w:tab w:leader="none" w:pos="1191"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reduction in compensation expense attributable to investment loss with respect to funded deferred compensation account balances; and</w:t>
      </w:r>
    </w:p>
    <w:p>
      <w:pPr>
        <w:spacing w:after="0" w:line="150" w:lineRule="exact"/>
        <w:rPr>
          <w:sz w:val="20"/>
          <w:szCs w:val="20"/>
          <w:color w:val="auto"/>
        </w:rPr>
      </w:pPr>
    </w:p>
    <w:p>
      <w:pPr>
        <w:ind w:firstLine="622"/>
        <w:spacing w:after="0" w:line="233" w:lineRule="auto"/>
        <w:tabs>
          <w:tab w:leader="none" w:pos="1093"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increased or decreased (without duplication) by, as applicable, any non-cash adjustments resulting from the application of FASB Interpretation No. 45 </w:t>
      </w:r>
      <w:r>
        <w:rPr>
          <w:rFonts w:ascii="Arial" w:cs="Arial" w:eastAsia="Arial" w:hAnsi="Arial"/>
          <w:sz w:val="21"/>
          <w:szCs w:val="21"/>
          <w:i w:val="1"/>
          <w:iCs w:val="1"/>
          <w:color w:val="auto"/>
        </w:rPr>
        <w:t>Guarantees</w:t>
      </w:r>
      <w:r>
        <w:rPr>
          <w:rFonts w:ascii="Arial" w:cs="Arial" w:eastAsia="Arial" w:hAnsi="Arial"/>
          <w:sz w:val="21"/>
          <w:szCs w:val="21"/>
          <w:color w:val="auto"/>
        </w:rPr>
        <w:t>.</w:t>
      </w:r>
    </w:p>
    <w:p>
      <w:pPr>
        <w:spacing w:after="0" w:line="150"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There shall be included in determining Consolidated EBITDA for any period, without duplication, (A) the Acquired EBITDA of any Person, property, business or asset acquired by the Borrower or any Restricted Subsidiary during such period (but not the Acquired EBITDA of any related Person, property, business or assets to the extent not so acquired), to the extent not subsequently sold, transferred or otherwise disposed by the Borrower or such Restricted Subsidiary during such period (each such Person, property, business or asset acquired and not subsequently so disposed of, an “</w:t>
      </w:r>
      <w:r>
        <w:rPr>
          <w:rFonts w:ascii="Arial" w:cs="Arial" w:eastAsia="Arial" w:hAnsi="Arial"/>
          <w:sz w:val="21"/>
          <w:szCs w:val="21"/>
          <w:b w:val="1"/>
          <w:bCs w:val="1"/>
          <w:color w:val="auto"/>
        </w:rPr>
        <w:t>Acquired Entity or Business</w:t>
      </w:r>
      <w:r>
        <w:rPr>
          <w:rFonts w:ascii="Arial" w:cs="Arial" w:eastAsia="Arial" w:hAnsi="Arial"/>
          <w:sz w:val="21"/>
          <w:szCs w:val="21"/>
          <w:color w:val="auto"/>
        </w:rPr>
        <w:t>”) and the Acquired EBITDA of any Unrestricted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310" w:lineRule="exact"/>
        <w:rPr>
          <w:sz w:val="20"/>
          <w:szCs w:val="20"/>
          <w:color w:val="auto"/>
        </w:rPr>
      </w:pPr>
    </w:p>
    <w:p>
      <w:pPr>
        <w:jc w:val="both"/>
        <w:ind w:firstLine="6"/>
        <w:spacing w:after="0" w:line="231" w:lineRule="auto"/>
        <w:rPr>
          <w:sz w:val="20"/>
          <w:szCs w:val="20"/>
          <w:color w:val="auto"/>
        </w:rPr>
      </w:pPr>
      <w:r>
        <w:rPr>
          <w:rFonts w:ascii="Arial" w:cs="Arial" w:eastAsia="Arial" w:hAnsi="Arial"/>
          <w:sz w:val="19"/>
          <w:szCs w:val="19"/>
          <w:color w:val="auto"/>
        </w:rPr>
        <w:t>Subsidiary that is converted into a Restricted Subsidiary during such period (each, a “</w:t>
      </w:r>
      <w:r>
        <w:rPr>
          <w:rFonts w:ascii="Arial" w:cs="Arial" w:eastAsia="Arial" w:hAnsi="Arial"/>
          <w:sz w:val="19"/>
          <w:szCs w:val="19"/>
          <w:b w:val="1"/>
          <w:bCs w:val="1"/>
          <w:color w:val="auto"/>
        </w:rPr>
        <w:t>Converted Restricted Subsidiary</w:t>
      </w:r>
      <w:r>
        <w:rPr>
          <w:rFonts w:ascii="Arial" w:cs="Arial" w:eastAsia="Arial" w:hAnsi="Arial"/>
          <w:sz w:val="19"/>
          <w:szCs w:val="19"/>
          <w:color w:val="auto"/>
        </w:rPr>
        <w:t>”), based on the actual Acquired EBITDA of such Acquired Entity or Business or Converted Restricted Subsidiary for such period (including the portion thereof occurring prior to such acquisition) and (B) for the purposes of the definition of the term “</w:t>
      </w:r>
      <w:r>
        <w:rPr>
          <w:rFonts w:ascii="Arial" w:cs="Arial" w:eastAsia="Arial" w:hAnsi="Arial"/>
          <w:sz w:val="19"/>
          <w:szCs w:val="19"/>
          <w:b w:val="1"/>
          <w:bCs w:val="1"/>
          <w:color w:val="auto"/>
        </w:rPr>
        <w:t>Permitted Acquisition</w:t>
      </w:r>
      <w:r>
        <w:rPr>
          <w:rFonts w:ascii="Arial" w:cs="Arial" w:eastAsia="Arial" w:hAnsi="Arial"/>
          <w:sz w:val="19"/>
          <w:szCs w:val="19"/>
          <w:color w:val="auto"/>
        </w:rPr>
        <w:t>,” compliance with the covenant set forth in Section 7.11 and the calculation of the Consolidated Total Net Leverage Ratio, an adjustment in respect of each Acquired Entity or Business equal to the amount of the Pro Forma Adjustment with respect to such Acquired Entity or Business for such period (including the portion thereof occurring prior to such acquisition) as specified in a certificate executed by a Responsible Officer and delivered to the Lenders and the Administrative Agent. There shall be excluded in determining Consolidated EBITDA for any period the Disposed EBITDA of any Person, property, business or asset (other than an Unrestricted Subsidiary)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Borrower or any Restricted Subsidiary during such period (each such Person, property, business or asset so sold or disposed of, a “</w:t>
      </w:r>
      <w:r>
        <w:rPr>
          <w:rFonts w:ascii="Arial" w:cs="Arial" w:eastAsia="Arial" w:hAnsi="Arial"/>
          <w:sz w:val="19"/>
          <w:szCs w:val="19"/>
          <w:b w:val="1"/>
          <w:bCs w:val="1"/>
          <w:color w:val="auto"/>
        </w:rPr>
        <w:t>Sold Entity or Business</w:t>
      </w:r>
      <w:r>
        <w:rPr>
          <w:rFonts w:ascii="Arial" w:cs="Arial" w:eastAsia="Arial" w:hAnsi="Arial"/>
          <w:sz w:val="19"/>
          <w:szCs w:val="19"/>
          <w:color w:val="auto"/>
        </w:rPr>
        <w:t>”) and the Disposed EBITDA of any Restricted Subsidiary that is converted into an Unrestricted Subsidiary during such period (each a “</w:t>
      </w:r>
      <w:r>
        <w:rPr>
          <w:rFonts w:ascii="Arial" w:cs="Arial" w:eastAsia="Arial" w:hAnsi="Arial"/>
          <w:sz w:val="19"/>
          <w:szCs w:val="19"/>
          <w:b w:val="1"/>
          <w:bCs w:val="1"/>
          <w:color w:val="auto"/>
        </w:rPr>
        <w:t>Converted Unrestricted Subsidiary</w:t>
      </w:r>
      <w:r>
        <w:rPr>
          <w:rFonts w:ascii="Arial" w:cs="Arial" w:eastAsia="Arial" w:hAnsi="Arial"/>
          <w:sz w:val="19"/>
          <w:szCs w:val="19"/>
          <w:color w:val="auto"/>
        </w:rPr>
        <w:t>”), based on the actual Disposed EBITDA of such Sold Entity or Business or Converted Unrestricted Subsidiary for such period (including the portion thereof occurring prior to such sale, transfer or disposition).</w:t>
      </w:r>
    </w:p>
    <w:p>
      <w:pPr>
        <w:spacing w:after="0" w:line="172" w:lineRule="exact"/>
        <w:rPr>
          <w:sz w:val="20"/>
          <w:szCs w:val="20"/>
          <w:color w:val="auto"/>
        </w:rPr>
      </w:pPr>
    </w:p>
    <w:p>
      <w:pPr>
        <w:ind w:left="620" w:right="3400"/>
        <w:spacing w:after="0" w:line="41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Interest Expense</w:t>
      </w:r>
      <w:r>
        <w:rPr>
          <w:rFonts w:ascii="Arial" w:cs="Arial" w:eastAsia="Arial" w:hAnsi="Arial"/>
          <w:sz w:val="21"/>
          <w:szCs w:val="21"/>
          <w:color w:val="auto"/>
        </w:rPr>
        <w:t>” means, for any period, the sum, without duplication, of:</w:t>
      </w:r>
    </w:p>
    <w:p>
      <w:pPr>
        <w:spacing w:after="0" w:line="2" w:lineRule="exact"/>
        <w:rPr>
          <w:sz w:val="20"/>
          <w:szCs w:val="20"/>
          <w:color w:val="auto"/>
        </w:rPr>
      </w:pPr>
    </w:p>
    <w:p>
      <w:pPr>
        <w:jc w:val="both"/>
        <w:ind w:left="620" w:firstLine="621"/>
        <w:spacing w:after="0" w:line="219" w:lineRule="auto"/>
        <w:tabs>
          <w:tab w:leader="none" w:pos="17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consolidated interest expense of the Borrower and its Restricted Subsidiaries for such period, to the extent such expense was deducted (and not added back) in computing Consolidated Net Income, including (a) amortization of OID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Swap Obligations or other derivative instruments pursuant to GAAP), (d) the interest component of Financing Lease Obligations, and (e) net payments, if any made (less net payments, if any, received), pursuant to interest rate Swap Obligations with respect to Indebtedness, and excluding (o) annual agency or similar fees paid to the administrative agents and collateral agents and other agents under this Agreement or other credit facilities, (p) any additional interest with respect to failure to comply with any registration rights agreement owing with respect to any securities, (q) costs associated with obtaining Swap Obligations, (r) any expense resulting from the discounting of any Indebtedness in connection with the application of recapitalization accounting or, if applicable, purchase accounting in connection with the Transactions or any acquisition, (s) penalties and interest relating to taxes, (t) any “additional interest” or “liquidated damages” with respect to other securities for failure to timely comply with registration rights obligations, (u) amortization or expensing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440" w:right="339" w:bottom="1440" w:gutter="0" w:footer="0" w:header="0"/>
        </w:sectPr>
      </w:pPr>
    </w:p>
    <w:bookmarkStart w:id="68" w:name="page69"/>
    <w:bookmarkEnd w:id="68"/>
    <w:p>
      <w:pPr>
        <w:spacing w:after="0" w:line="316" w:lineRule="exact"/>
        <w:rPr>
          <w:sz w:val="20"/>
          <w:szCs w:val="20"/>
          <w:color w:val="auto"/>
        </w:rPr>
      </w:pPr>
    </w:p>
    <w:p>
      <w:pPr>
        <w:jc w:val="both"/>
        <w:ind w:left="540" w:firstLine="6"/>
        <w:spacing w:after="0" w:line="223" w:lineRule="auto"/>
        <w:rPr>
          <w:sz w:val="20"/>
          <w:szCs w:val="20"/>
          <w:color w:val="auto"/>
        </w:rPr>
      </w:pPr>
      <w:r>
        <w:rPr>
          <w:rFonts w:ascii="Arial" w:cs="Arial" w:eastAsia="Arial" w:hAnsi="Arial"/>
          <w:sz w:val="20"/>
          <w:szCs w:val="20"/>
          <w:color w:val="auto"/>
        </w:rPr>
        <w:t>deferred financing fees, amendment and consent fees, debt issuance costs, commissions, fees, expenses and discounted liabilities and any other amounts of non-cash interest, (v) any expensing of bridge, commitment and other financing fees and any other fees related to the Transactions or any acquisitions after the Closing Date, (w) commissions, discounts, yield and other fees and charges (including any interest expense) related to any Qualified Securitization Facility, (x) any accretion of accrued interest on discounted liabilities and any prepayment, make-whole or breakage premium, cost or penalty, (y) interest expense attributable to a parent entity resulting from push-down accounting, and (z) any lease, rental or other expense in connection with a Non-Financing Lease Obligation; plus</w:t>
      </w:r>
    </w:p>
    <w:p>
      <w:pPr>
        <w:spacing w:after="0" w:line="180" w:lineRule="exact"/>
        <w:rPr>
          <w:sz w:val="20"/>
          <w:szCs w:val="20"/>
          <w:color w:val="auto"/>
        </w:rPr>
      </w:pPr>
    </w:p>
    <w:p>
      <w:pPr>
        <w:ind w:left="1760" w:hanging="519"/>
        <w:spacing w:after="0"/>
        <w:tabs>
          <w:tab w:leader="none" w:pos="17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consolidated capitalized interest of the Borrower and its Restricted Subsidiaries for such period, whether paid or</w:t>
      </w:r>
    </w:p>
    <w:p>
      <w:pPr>
        <w:spacing w:after="0" w:line="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1"/>
          <w:szCs w:val="21"/>
          <w:color w:val="auto"/>
        </w:rPr>
        <w:t>accrued; less</w:t>
      </w:r>
    </w:p>
    <w:p>
      <w:pPr>
        <w:spacing w:after="0" w:line="153" w:lineRule="exact"/>
        <w:rPr>
          <w:rFonts w:ascii="Arial" w:cs="Arial" w:eastAsia="Arial" w:hAnsi="Arial"/>
          <w:sz w:val="19"/>
          <w:szCs w:val="19"/>
          <w:color w:val="auto"/>
        </w:rPr>
      </w:pPr>
    </w:p>
    <w:p>
      <w:pPr>
        <w:ind w:left="1680" w:hanging="439"/>
        <w:spacing w:after="0"/>
        <w:tabs>
          <w:tab w:leader="none" w:pos="16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interest income of the Borrower and its Restricted Subsidiaries for such period.</w:t>
      </w:r>
    </w:p>
    <w:p>
      <w:pPr>
        <w:spacing w:after="0" w:line="171"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For purposes of this definition, interest on a Financing Lease Obligation shall be deemed to accrue at an interest rate reasonably determined by the Borrower to be the rate of interest implicit in such Financing Lease Obligation in accordance with GAAP (or, if not implicit, as otherwise determined in accordance with GAAP).</w:t>
      </w:r>
    </w:p>
    <w:p>
      <w:pPr>
        <w:spacing w:after="0" w:line="143"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Net Income</w:t>
      </w:r>
      <w:r>
        <w:rPr>
          <w:rFonts w:ascii="Arial" w:cs="Arial" w:eastAsia="Arial" w:hAnsi="Arial"/>
          <w:sz w:val="21"/>
          <w:szCs w:val="21"/>
          <w:color w:val="auto"/>
        </w:rPr>
        <w:t xml:space="preserve">” means, for any period, the net income (loss) of the Borrower and the Restricted Subsidiaries for such period determined on a consolidated basis, and otherwise determined in accordance with GAAP and before any reduction in respect of preferred stock dividends;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without duplication,</w:t>
      </w:r>
    </w:p>
    <w:p>
      <w:pPr>
        <w:spacing w:after="0" w:line="149" w:lineRule="exact"/>
        <w:rPr>
          <w:sz w:val="20"/>
          <w:szCs w:val="20"/>
          <w:color w:val="auto"/>
        </w:rPr>
      </w:pPr>
    </w:p>
    <w:p>
      <w:pPr>
        <w:jc w:val="both"/>
        <w:ind w:left="620" w:firstLine="621"/>
        <w:spacing w:after="0" w:line="261" w:lineRule="auto"/>
        <w:tabs>
          <w:tab w:leader="none" w:pos="16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after-Tax effect of extraordinary, exceptional, unusual or nonrecurring gains or losses less all fees and expenses relating thereto (including any extraordinary, exceptional, unusual or nonrecurring operating expenses directly attributable to the implementation of cost savings initiatives and any accruals or reserves in respect of any extraordinary, exceptional unusual or nonrecurring items, charges or expenses (including relating to any multi-year strategic initiatives) shall be excluded;</w:t>
      </w:r>
    </w:p>
    <w:p>
      <w:pPr>
        <w:spacing w:after="0" w:line="130" w:lineRule="exact"/>
        <w:rPr>
          <w:rFonts w:ascii="Arial" w:cs="Arial" w:eastAsia="Arial" w:hAnsi="Arial"/>
          <w:sz w:val="18"/>
          <w:szCs w:val="18"/>
          <w:color w:val="auto"/>
        </w:rPr>
      </w:pPr>
    </w:p>
    <w:p>
      <w:pPr>
        <w:jc w:val="both"/>
        <w:ind w:left="620" w:firstLine="621"/>
        <w:spacing w:after="0" w:line="221" w:lineRule="auto"/>
        <w:tabs>
          <w:tab w:leader="none" w:pos="1792" w:val="left"/>
        </w:tabs>
        <w:numPr>
          <w:ilvl w:val="0"/>
          <w:numId w:val="43"/>
        </w:numPr>
        <w:rPr>
          <w:rFonts w:ascii="Arial" w:cs="Arial" w:eastAsia="Arial" w:hAnsi="Arial"/>
          <w:sz w:val="20"/>
          <w:szCs w:val="20"/>
          <w:color w:val="auto"/>
        </w:rPr>
      </w:pPr>
      <w:r>
        <w:rPr>
          <w:rFonts w:ascii="Arial" w:cs="Arial" w:eastAsia="Arial" w:hAnsi="Arial"/>
          <w:sz w:val="20"/>
          <w:szCs w:val="20"/>
          <w:color w:val="auto"/>
        </w:rPr>
        <w:t>Transaction Expenses, restructuring and duplicative running costs, restructuring charges or reserves, relocation costs, start-up or initial costs for any project or new production line, division or new line of business, integration and facilities opening costs, facility consolidation and closing costs, severance costs and expenses, one-time charges (including compensation charges), payments made pursuant to the terms of change-in-control agreements that the Borrower or a Restricted Subsidiary or a parent entity of the Borrower had entered into with employees of the Borrower, a Restricted Subsidiary or a parent entity of the Borrower, costs relating to pre-opening, opening and conversion costs for facilities, losses, costs or cost inefficiencies related to facility or property disruptions or shutdowns, signing, retention and completion bonuses, recruiting costs, costs incurred in connection with any strategic initiatives, transition costs, litigation and arbitration fees (whether or not recurring), costs and charges, expenses in connection with one-time rate changes, costs incurred in connection with acquisitions, investments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19"/>
          <w:szCs w:val="19"/>
          <w:color w:val="auto"/>
        </w:rPr>
        <w:t>dispositions (including travel and out-of-pocket costs, professional fees for legal, accounting and other services, human resources costs (including relocation bonuses), litigation and arbitration costs (whether or not recurring), charges, fees and expenses (including related judgments and settlements), management transition costs, advertising costs, losses associated with temporary decreases in work volume and expenses related to maintaining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cost-savings initiatives, and curtailments or modifications to pension and post-retirement employee benefit plans shall be excluded;</w:t>
      </w:r>
    </w:p>
    <w:p>
      <w:pPr>
        <w:spacing w:after="0" w:line="179" w:lineRule="exact"/>
        <w:rPr>
          <w:sz w:val="20"/>
          <w:szCs w:val="20"/>
          <w:color w:val="auto"/>
        </w:rPr>
      </w:pPr>
    </w:p>
    <w:p>
      <w:pPr>
        <w:ind w:left="80" w:firstLine="621"/>
        <w:spacing w:after="0" w:line="276" w:lineRule="auto"/>
        <w:tabs>
          <w:tab w:leader="none" w:pos="1177" w:val="left"/>
        </w:tabs>
        <w:numPr>
          <w:ilvl w:val="0"/>
          <w:numId w:val="44"/>
        </w:numPr>
        <w:rPr>
          <w:rFonts w:ascii="Arial" w:cs="Arial" w:eastAsia="Arial" w:hAnsi="Arial"/>
          <w:sz w:val="19"/>
          <w:szCs w:val="19"/>
          <w:color w:val="auto"/>
        </w:rPr>
      </w:pPr>
      <w:r>
        <w:rPr>
          <w:rFonts w:ascii="Arial" w:cs="Arial" w:eastAsia="Arial" w:hAnsi="Arial"/>
          <w:sz w:val="19"/>
          <w:szCs w:val="19"/>
          <w:color w:val="auto"/>
        </w:rPr>
        <w:t>at the election of the Borrower with respect to any quarterly period, the cumulative after-Tax effect of a change in accounting principles and changes as a result of the adoption or modification of accounting policies shall be excluded;</w:t>
      </w:r>
    </w:p>
    <w:p>
      <w:pPr>
        <w:spacing w:after="0" w:line="116" w:lineRule="exact"/>
        <w:rPr>
          <w:rFonts w:ascii="Arial" w:cs="Arial" w:eastAsia="Arial" w:hAnsi="Arial"/>
          <w:sz w:val="19"/>
          <w:szCs w:val="19"/>
          <w:color w:val="auto"/>
        </w:rPr>
      </w:pPr>
    </w:p>
    <w:p>
      <w:pPr>
        <w:ind w:left="80" w:firstLine="621"/>
        <w:spacing w:after="0" w:line="233" w:lineRule="auto"/>
        <w:tabs>
          <w:tab w:leader="none" w:pos="1189"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any net after-Tax effect of gains or losses on disposal, abandonment or discontinuance of disposed, abandoned or discontinued operations, as applicable, shall be excluded;</w:t>
      </w:r>
    </w:p>
    <w:p>
      <w:pPr>
        <w:spacing w:after="0" w:line="149" w:lineRule="exact"/>
        <w:rPr>
          <w:rFonts w:ascii="Arial" w:cs="Arial" w:eastAsia="Arial" w:hAnsi="Arial"/>
          <w:sz w:val="21"/>
          <w:szCs w:val="21"/>
          <w:color w:val="auto"/>
        </w:rPr>
      </w:pPr>
    </w:p>
    <w:p>
      <w:pPr>
        <w:jc w:val="both"/>
        <w:ind w:left="80" w:firstLine="621"/>
        <w:spacing w:after="0" w:line="224" w:lineRule="auto"/>
        <w:tabs>
          <w:tab w:leader="none" w:pos="1178"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any net after-Tax effect of gains or losses (less all fees, expenses and charges relating thereto) attributable to asset dispositions or abandonments or the sale or other disposition of any Equity Interests of any Person other than in the ordinary course of business shall be excluded;</w:t>
      </w:r>
    </w:p>
    <w:p>
      <w:pPr>
        <w:spacing w:after="0" w:line="148" w:lineRule="exact"/>
        <w:rPr>
          <w:rFonts w:ascii="Arial" w:cs="Arial" w:eastAsia="Arial" w:hAnsi="Arial"/>
          <w:sz w:val="21"/>
          <w:szCs w:val="21"/>
          <w:color w:val="auto"/>
        </w:rPr>
      </w:pPr>
    </w:p>
    <w:p>
      <w:pPr>
        <w:jc w:val="both"/>
        <w:ind w:left="80" w:firstLine="621"/>
        <w:spacing w:after="0" w:line="227" w:lineRule="auto"/>
        <w:tabs>
          <w:tab w:leader="none" w:pos="1272"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the net income for such period of any Person that is not a Subsidiary of the Borrower, or is an Unrestricted Subsidiary, or that is accounted for by the equity method of accounting shall be excluded;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Consolidated Net Income of the Borrower shall be increased by the amount of dividends or distributions or other payments that are actually paid in cash or Cash Equivalents (or to the extent converted, or having the ability to be converted, into cash or Cash Equivalents) to the Borrower or a Restricted Subsidiary thereof in respect of such period;</w:t>
      </w:r>
    </w:p>
    <w:p>
      <w:pPr>
        <w:spacing w:after="0" w:line="150" w:lineRule="exact"/>
        <w:rPr>
          <w:rFonts w:ascii="Arial" w:cs="Arial" w:eastAsia="Arial" w:hAnsi="Arial"/>
          <w:sz w:val="20"/>
          <w:szCs w:val="20"/>
          <w:color w:val="auto"/>
        </w:rPr>
      </w:pPr>
    </w:p>
    <w:p>
      <w:pPr>
        <w:jc w:val="both"/>
        <w:ind w:left="80" w:firstLine="621"/>
        <w:spacing w:after="0" w:line="212" w:lineRule="auto"/>
        <w:tabs>
          <w:tab w:leader="none" w:pos="1286" w:val="left"/>
        </w:tabs>
        <w:numPr>
          <w:ilvl w:val="0"/>
          <w:numId w:val="44"/>
        </w:numPr>
        <w:rPr>
          <w:rFonts w:ascii="Arial" w:cs="Arial" w:eastAsia="Arial" w:hAnsi="Arial"/>
          <w:sz w:val="21"/>
          <w:szCs w:val="21"/>
          <w:color w:val="auto"/>
        </w:rPr>
      </w:pPr>
      <w:r>
        <w:rPr>
          <w:rFonts w:ascii="Arial" w:cs="Arial" w:eastAsia="Arial" w:hAnsi="Arial"/>
          <w:sz w:val="21"/>
          <w:szCs w:val="21"/>
          <w:color w:val="auto"/>
        </w:rPr>
        <w:t>solely for purposes of determining the amount of Excess Cash Flow, the net income for such period of any Restricted Subsidiary (other than any Guarantor) shall be excluded to the extent that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(other than restrictions in this Agreement), unless such restriction with respect to the payment of dividends or similar distributions has been legally waived or released (or such Person reasonably believes such restriction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0700"/>
          </w:cols>
          <w:pgMar w:left="860" w:top="1440" w:right="339" w:bottom="1440" w:gutter="0" w:footer="0" w:header="0"/>
        </w:sectPr>
      </w:pPr>
    </w:p>
    <w:bookmarkStart w:id="70" w:name="page71"/>
    <w:bookmarkEnd w:id="70"/>
    <w:p>
      <w:pPr>
        <w:spacing w:after="0" w:line="316" w:lineRule="exact"/>
        <w:rPr>
          <w:sz w:val="20"/>
          <w:szCs w:val="20"/>
          <w:color w:val="auto"/>
        </w:rPr>
      </w:pPr>
    </w:p>
    <w:p>
      <w:pPr>
        <w:jc w:val="both"/>
        <w:ind w:firstLine="6"/>
        <w:spacing w:after="0" w:line="216" w:lineRule="auto"/>
        <w:rPr>
          <w:sz w:val="20"/>
          <w:szCs w:val="20"/>
          <w:color w:val="auto"/>
        </w:rPr>
      </w:pPr>
      <w:r>
        <w:rPr>
          <w:rFonts w:ascii="Arial" w:cs="Arial" w:eastAsia="Arial" w:hAnsi="Arial"/>
          <w:sz w:val="21"/>
          <w:szCs w:val="21"/>
          <w:color w:val="auto"/>
        </w:rPr>
        <w:t>waived or released and is using commercially reasonable efforts to pursue such waiver or release); provided that the Consolidated Net Income of the Borrower and its Restricted Subsidiaries will be increased by the amount of dividends or other distributions or other payments actually paid in cash or Cash Equivalents (or to the extent converted, or having the ability to be converted, into cash or Cash Equivalents) to the Borrower or a Restricted Subsidiary thereof in respect of such period, to the extent not already included therein;</w:t>
      </w:r>
    </w:p>
    <w:p>
      <w:pPr>
        <w:spacing w:after="0" w:line="177" w:lineRule="exact"/>
        <w:rPr>
          <w:sz w:val="20"/>
          <w:szCs w:val="20"/>
          <w:color w:val="auto"/>
        </w:rPr>
      </w:pPr>
    </w:p>
    <w:p>
      <w:pPr>
        <w:jc w:val="both"/>
        <w:ind w:firstLine="621"/>
        <w:spacing w:after="0" w:line="223" w:lineRule="auto"/>
        <w:tabs>
          <w:tab w:leader="none" w:pos="11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effects of adjustments (including the effects of such adjustments pushed down to the Borrower and its Restricted Subsidiaries) in the Borrower’s consolidated financial statements pursuant to GAAP (including in the inventory (including any impact of changes to inventory valuation policy methods, including changes in capitalization of variances), property and equipment, software, loans and leases, goodwill, intangible assets, in-process research and development, deferred revenue and debt line items thereof) resulting from the application of recapitalization accounting or purchase accounting, as the case may be, in relation to the Transactions or any consummated acquisition or joint venture investment or the amortization or write-off or write-down of any amounts thereof, net of taxes, shall be excluded;</w:t>
      </w:r>
    </w:p>
    <w:p>
      <w:pPr>
        <w:spacing w:after="0" w:line="154" w:lineRule="exact"/>
        <w:rPr>
          <w:rFonts w:ascii="Arial" w:cs="Arial" w:eastAsia="Arial" w:hAnsi="Arial"/>
          <w:sz w:val="20"/>
          <w:szCs w:val="20"/>
          <w:color w:val="auto"/>
        </w:rPr>
      </w:pPr>
    </w:p>
    <w:p>
      <w:pPr>
        <w:ind w:firstLine="621"/>
        <w:spacing w:after="0" w:line="233" w:lineRule="auto"/>
        <w:tabs>
          <w:tab w:leader="none" w:pos="1239" w:val="left"/>
        </w:tabs>
        <w:numPr>
          <w:ilvl w:val="0"/>
          <w:numId w:val="45"/>
        </w:numPr>
        <w:rPr>
          <w:rFonts w:ascii="Arial" w:cs="Arial" w:eastAsia="Arial" w:hAnsi="Arial"/>
          <w:sz w:val="21"/>
          <w:szCs w:val="21"/>
          <w:color w:val="auto"/>
        </w:rPr>
      </w:pPr>
      <w:r>
        <w:rPr>
          <w:rFonts w:ascii="Arial" w:cs="Arial" w:eastAsia="Arial" w:hAnsi="Arial"/>
          <w:sz w:val="21"/>
          <w:szCs w:val="21"/>
          <w:color w:val="auto"/>
        </w:rPr>
        <w:t>any after-Tax effect of income (loss) from the extinguishment or conversion of (i) Indebtedness, (ii) Swap Obligations or (iii) other derivative instruments shall be excluded;</w:t>
      </w:r>
    </w:p>
    <w:p>
      <w:pPr>
        <w:spacing w:after="0" w:line="149" w:lineRule="exact"/>
        <w:rPr>
          <w:rFonts w:ascii="Arial" w:cs="Arial" w:eastAsia="Arial" w:hAnsi="Arial"/>
          <w:sz w:val="21"/>
          <w:szCs w:val="21"/>
          <w:color w:val="auto"/>
        </w:rPr>
      </w:pPr>
    </w:p>
    <w:p>
      <w:pPr>
        <w:jc w:val="both"/>
        <w:ind w:firstLine="621"/>
        <w:spacing w:after="0" w:line="219" w:lineRule="auto"/>
        <w:tabs>
          <w:tab w:leader="none" w:pos="1169" w:val="left"/>
        </w:tabs>
        <w:numPr>
          <w:ilvl w:val="0"/>
          <w:numId w:val="45"/>
        </w:numPr>
        <w:rPr>
          <w:rFonts w:ascii="Arial" w:cs="Arial" w:eastAsia="Arial" w:hAnsi="Arial"/>
          <w:sz w:val="21"/>
          <w:szCs w:val="21"/>
          <w:color w:val="auto"/>
        </w:rPr>
      </w:pPr>
      <w:r>
        <w:rPr>
          <w:rFonts w:ascii="Arial" w:cs="Arial" w:eastAsia="Arial" w:hAnsi="Arial"/>
          <w:sz w:val="21"/>
          <w:szCs w:val="21"/>
          <w:color w:val="auto"/>
        </w:rPr>
        <w:t>any impairment charge or asset write-off or write-down, including impairment charges or asset write-offs or write-downs related to intangible assets, long-lived assets, investments in debt and equity securities and investments recorded using the equity method or as a result of a change in law or regulation, in each case, pursuant to GAAP, and the amortization of intangibles arising pursuant to GAAP shall be excluded;</w:t>
      </w:r>
    </w:p>
    <w:p>
      <w:pPr>
        <w:spacing w:after="0" w:line="149" w:lineRule="exact"/>
        <w:rPr>
          <w:rFonts w:ascii="Arial" w:cs="Arial" w:eastAsia="Arial" w:hAnsi="Arial"/>
          <w:sz w:val="21"/>
          <w:szCs w:val="21"/>
          <w:color w:val="auto"/>
        </w:rPr>
      </w:pPr>
    </w:p>
    <w:p>
      <w:pPr>
        <w:jc w:val="both"/>
        <w:ind w:firstLine="621"/>
        <w:spacing w:after="0" w:line="232" w:lineRule="auto"/>
        <w:tabs>
          <w:tab w:leader="none" w:pos="1221"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equity-based or non-cash compensation or similar charge or expense or reduction of revenue including any such charge, expense or amount arising from grants of stock appreciation or similar rights, stock options, restricted stock, profits interests or other rights or equity or equity-based incentive programs (“</w:t>
      </w:r>
      <w:r>
        <w:rPr>
          <w:rFonts w:ascii="Arial" w:cs="Arial" w:eastAsia="Arial" w:hAnsi="Arial"/>
          <w:sz w:val="19"/>
          <w:szCs w:val="19"/>
          <w:b w:val="1"/>
          <w:bCs w:val="1"/>
          <w:color w:val="auto"/>
        </w:rPr>
        <w:t>equity incentives</w:t>
      </w:r>
      <w:r>
        <w:rPr>
          <w:rFonts w:ascii="Arial" w:cs="Arial" w:eastAsia="Arial" w:hAnsi="Arial"/>
          <w:sz w:val="19"/>
          <w:szCs w:val="19"/>
          <w:color w:val="auto"/>
        </w:rPr>
        <w:t>”), any one-time cash charges associated with the equity incentives or other long-term incentive compensation plans (including under deferred compensation arrangements of the Borrower or any of its direct or indirect parent entities or subsidiaries), roll-over, acceleration, or payout of Equity Interests by management, future, present or former employees, directors, officers, managers, members, partners, independent contractors or consultants or business partners (or their respective Controlled Investment Affiliates or Immediate Family Members) of the Borrower or any of its direct or indirect parent entities or subsidiaries, and any cash awards granted to future, present or former employees, directors, officers, managers, members, partners, independent contractors or consultants or business partners (or their respective Controlled Investment Affiliates or Immediate Family Members) of the Borrower and its Subsidiaries in replacement for forfeited equity awards,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0620"/>
          </w:cols>
          <w:pgMar w:left="940" w:top="1440" w:right="339" w:bottom="1440" w:gutter="0" w:footer="0" w:header="0"/>
        </w:sectPr>
      </w:pPr>
    </w:p>
    <w:bookmarkStart w:id="71" w:name="page72"/>
    <w:bookmarkEnd w:id="71"/>
    <w:p>
      <w:pPr>
        <w:spacing w:after="0" w:line="316" w:lineRule="exact"/>
        <w:rPr>
          <w:sz w:val="20"/>
          <w:szCs w:val="20"/>
          <w:color w:val="auto"/>
        </w:rPr>
      </w:pPr>
    </w:p>
    <w:p>
      <w:pPr>
        <w:jc w:val="both"/>
        <w:ind w:left="-500" w:firstLine="621"/>
        <w:spacing w:after="0" w:line="232" w:lineRule="auto"/>
        <w:tabs>
          <w:tab w:leader="none" w:pos="821"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any fees, expenses or charges incurred during such period, or any amortization thereof for such period, in connection with any acquisition, recapitalization, investment, asset sale, disposition, incurrence or repayment of Indebtedness (including such fees, expenses or charges related to the offering and issuance of any securities and the syndication and incurrence of any Facility), issuance of Equity Interests of the Borrower or its direct or indirect parent entities, refinancing transaction or amendment or modification of any debt instrument (including any amendment or other modification of any securities and any Facility) and including, in each case, any such transaction consummated on or prior to the Closing Date and any such transaction undertaken but not completed, and any charges or non-recurring merger costs incurred during such period as a result of any such transaction, in each case whether or not successful or consummated (including, for the avoidance of doubt the effects of expensing all transaction related expenses in accordance with Financial Accounting Standards Board Accounting Standards Codification Topic No. 805, </w:t>
      </w:r>
      <w:r>
        <w:rPr>
          <w:rFonts w:ascii="Arial" w:cs="Arial" w:eastAsia="Arial" w:hAnsi="Arial"/>
          <w:sz w:val="19"/>
          <w:szCs w:val="19"/>
          <w:i w:val="1"/>
          <w:iCs w:val="1"/>
          <w:color w:val="auto"/>
        </w:rPr>
        <w:t>Business Combinations</w:t>
      </w:r>
      <w:r>
        <w:rPr>
          <w:rFonts w:ascii="Arial" w:cs="Arial" w:eastAsia="Arial" w:hAnsi="Arial"/>
          <w:sz w:val="19"/>
          <w:szCs w:val="19"/>
          <w:color w:val="auto"/>
        </w:rPr>
        <w:t>), shall be excluded;</w:t>
      </w:r>
    </w:p>
    <w:p>
      <w:pPr>
        <w:spacing w:after="0" w:line="156" w:lineRule="exact"/>
        <w:rPr>
          <w:rFonts w:ascii="Arial" w:cs="Arial" w:eastAsia="Arial" w:hAnsi="Arial"/>
          <w:sz w:val="19"/>
          <w:szCs w:val="19"/>
          <w:color w:val="auto"/>
        </w:rPr>
      </w:pPr>
    </w:p>
    <w:p>
      <w:pPr>
        <w:jc w:val="both"/>
        <w:ind w:left="-500" w:firstLine="621"/>
        <w:spacing w:after="0" w:line="251" w:lineRule="auto"/>
        <w:tabs>
          <w:tab w:leader="none" w:pos="728" w:val="left"/>
        </w:tabs>
        <w:numPr>
          <w:ilvl w:val="0"/>
          <w:numId w:val="46"/>
        </w:numPr>
        <w:rPr>
          <w:rFonts w:ascii="Arial" w:cs="Arial" w:eastAsia="Arial" w:hAnsi="Arial"/>
          <w:sz w:val="19"/>
          <w:szCs w:val="19"/>
          <w:color w:val="auto"/>
        </w:rPr>
      </w:pPr>
      <w:r>
        <w:rPr>
          <w:rFonts w:ascii="Arial" w:cs="Arial" w:eastAsia="Arial" w:hAnsi="Arial"/>
          <w:sz w:val="19"/>
          <w:szCs w:val="19"/>
          <w:color w:val="auto"/>
        </w:rPr>
        <w:t>accruals and reserves that are established or adjusted in connection with the Transactions or within twenty-four months after the closing of any acquisition that are so required to be established or adjusted as a result of such acquisition in accordance with GAAP or changes as a result of modifications of accounting policies shall be excluded;</w:t>
      </w:r>
    </w:p>
    <w:p>
      <w:pPr>
        <w:spacing w:after="0" w:line="139" w:lineRule="exact"/>
        <w:rPr>
          <w:rFonts w:ascii="Arial" w:cs="Arial" w:eastAsia="Arial" w:hAnsi="Arial"/>
          <w:sz w:val="19"/>
          <w:szCs w:val="19"/>
          <w:color w:val="auto"/>
        </w:rPr>
      </w:pPr>
    </w:p>
    <w:p>
      <w:pPr>
        <w:jc w:val="both"/>
        <w:ind w:left="-500" w:firstLine="621"/>
        <w:spacing w:after="0" w:line="227" w:lineRule="auto"/>
        <w:tabs>
          <w:tab w:leader="none" w:pos="723"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expenses, charges or losses to the extent covered by insurance or indemnity and actually reimbursed,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(net of any amount so added back in any prior period to the extent not so reimbursed within the applicable 365-day period), shall be excluded;</w:t>
      </w:r>
    </w:p>
    <w:p>
      <w:pPr>
        <w:spacing w:after="0" w:line="150" w:lineRule="exact"/>
        <w:rPr>
          <w:rFonts w:ascii="Arial" w:cs="Arial" w:eastAsia="Arial" w:hAnsi="Arial"/>
          <w:sz w:val="20"/>
          <w:szCs w:val="20"/>
          <w:color w:val="auto"/>
        </w:rPr>
      </w:pPr>
    </w:p>
    <w:p>
      <w:pPr>
        <w:ind w:left="-500" w:firstLine="621"/>
        <w:spacing w:after="0" w:line="233" w:lineRule="auto"/>
        <w:tabs>
          <w:tab w:leader="none" w:pos="730" w:val="left"/>
        </w:tabs>
        <w:numPr>
          <w:ilvl w:val="0"/>
          <w:numId w:val="46"/>
        </w:numPr>
        <w:rPr>
          <w:rFonts w:ascii="Arial" w:cs="Arial" w:eastAsia="Arial" w:hAnsi="Arial"/>
          <w:sz w:val="21"/>
          <w:szCs w:val="21"/>
          <w:color w:val="auto"/>
        </w:rPr>
      </w:pPr>
      <w:r>
        <w:rPr>
          <w:rFonts w:ascii="Arial" w:cs="Arial" w:eastAsia="Arial" w:hAnsi="Arial"/>
          <w:sz w:val="21"/>
          <w:szCs w:val="21"/>
          <w:color w:val="auto"/>
        </w:rPr>
        <w:t>any non-cash compensation expense resulting from the application of Accounting Standards Codification Topic No. 718, Compensation—Stock Compensation, shall be excluded;</w:t>
      </w:r>
    </w:p>
    <w:p>
      <w:pPr>
        <w:spacing w:after="0" w:line="149" w:lineRule="exact"/>
        <w:rPr>
          <w:rFonts w:ascii="Arial" w:cs="Arial" w:eastAsia="Arial" w:hAnsi="Arial"/>
          <w:sz w:val="21"/>
          <w:szCs w:val="21"/>
          <w:color w:val="auto"/>
        </w:rPr>
      </w:pPr>
    </w:p>
    <w:p>
      <w:pPr>
        <w:jc w:val="both"/>
        <w:ind w:left="-500" w:firstLine="621"/>
        <w:spacing w:after="0" w:line="219" w:lineRule="auto"/>
        <w:tabs>
          <w:tab w:leader="none" w:pos="714" w:val="left"/>
        </w:tabs>
        <w:numPr>
          <w:ilvl w:val="0"/>
          <w:numId w:val="46"/>
        </w:numPr>
        <w:rPr>
          <w:rFonts w:ascii="Arial" w:cs="Arial" w:eastAsia="Arial" w:hAnsi="Arial"/>
          <w:sz w:val="21"/>
          <w:szCs w:val="21"/>
          <w:color w:val="auto"/>
        </w:rPr>
      </w:pPr>
      <w:r>
        <w:rPr>
          <w:rFonts w:ascii="Arial" w:cs="Arial" w:eastAsia="Arial" w:hAnsi="Arial"/>
          <w:sz w:val="21"/>
          <w:szCs w:val="21"/>
          <w:color w:val="auto"/>
        </w:rPr>
        <w:t>any net pension or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Statement on Financial Accounting Standards No. 87, 106 and 112; and any other items of a similar nature, shall be excluded;</w:t>
      </w:r>
    </w:p>
    <w:p>
      <w:pPr>
        <w:spacing w:after="0" w:line="149" w:lineRule="exact"/>
        <w:rPr>
          <w:rFonts w:ascii="Arial" w:cs="Arial" w:eastAsia="Arial" w:hAnsi="Arial"/>
          <w:sz w:val="21"/>
          <w:szCs w:val="21"/>
          <w:color w:val="auto"/>
        </w:rPr>
      </w:pPr>
    </w:p>
    <w:p>
      <w:pPr>
        <w:ind w:left="680" w:hanging="559"/>
        <w:spacing w:after="0"/>
        <w:tabs>
          <w:tab w:leader="none" w:pos="6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following items shall be excluded:</w:t>
      </w:r>
    </w:p>
    <w:p>
      <w:pPr>
        <w:spacing w:after="0" w:line="171" w:lineRule="exact"/>
        <w:rPr>
          <w:rFonts w:ascii="Arial" w:cs="Arial" w:eastAsia="Arial" w:hAnsi="Arial"/>
          <w:sz w:val="21"/>
          <w:szCs w:val="21"/>
          <w:color w:val="auto"/>
        </w:rPr>
      </w:pPr>
    </w:p>
    <w:p>
      <w:pPr>
        <w:ind w:left="120" w:firstLine="620"/>
        <w:spacing w:after="0" w:line="233" w:lineRule="auto"/>
        <w:tabs>
          <w:tab w:leader="none" w:pos="1245" w:val="left"/>
        </w:tabs>
        <w:numPr>
          <w:ilvl w:val="1"/>
          <w:numId w:val="46"/>
        </w:numPr>
        <w:rPr>
          <w:rFonts w:ascii="Arial" w:cs="Arial" w:eastAsia="Arial" w:hAnsi="Arial"/>
          <w:sz w:val="21"/>
          <w:szCs w:val="21"/>
          <w:color w:val="auto"/>
        </w:rPr>
      </w:pPr>
      <w:r>
        <w:rPr>
          <w:rFonts w:ascii="Arial" w:cs="Arial" w:eastAsia="Arial" w:hAnsi="Arial"/>
          <w:sz w:val="21"/>
          <w:szCs w:val="21"/>
          <w:color w:val="auto"/>
        </w:rPr>
        <w:t>any unrealized net gain or loss (after any offset) resulting in such period from Swap Obligations and the application of Accounting Standards Codification Topic No. 815, Derivatives and Hedging,</w:t>
      </w:r>
    </w:p>
    <w:p>
      <w:pPr>
        <w:spacing w:after="0" w:line="149" w:lineRule="exact"/>
        <w:rPr>
          <w:rFonts w:ascii="Arial" w:cs="Arial" w:eastAsia="Arial" w:hAnsi="Arial"/>
          <w:sz w:val="21"/>
          <w:szCs w:val="21"/>
          <w:color w:val="auto"/>
        </w:rPr>
      </w:pPr>
    </w:p>
    <w:p>
      <w:pPr>
        <w:ind w:left="120" w:firstLine="620"/>
        <w:spacing w:after="0" w:line="233" w:lineRule="auto"/>
        <w:tabs>
          <w:tab w:leader="none" w:pos="1210" w:val="left"/>
        </w:tabs>
        <w:numPr>
          <w:ilvl w:val="1"/>
          <w:numId w:val="46"/>
        </w:numPr>
        <w:rPr>
          <w:rFonts w:ascii="Arial" w:cs="Arial" w:eastAsia="Arial" w:hAnsi="Arial"/>
          <w:sz w:val="21"/>
          <w:szCs w:val="21"/>
          <w:color w:val="auto"/>
        </w:rPr>
      </w:pPr>
      <w:r>
        <w:rPr>
          <w:rFonts w:ascii="Arial" w:cs="Arial" w:eastAsia="Arial" w:hAnsi="Arial"/>
          <w:sz w:val="21"/>
          <w:szCs w:val="21"/>
          <w:color w:val="auto"/>
        </w:rPr>
        <w:t>any unrealized net gain or loss (after any offset) resulting in such period from currency translation gains or losses including those related to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0120"/>
          </w:cols>
          <w:pgMar w:left="1440" w:top="1440" w:right="339" w:bottom="1440" w:gutter="0" w:footer="0" w:header="0"/>
        </w:sectPr>
      </w:pPr>
    </w:p>
    <w:bookmarkStart w:id="72" w:name="page73"/>
    <w:bookmarkEnd w:id="72"/>
    <w:p>
      <w:pPr>
        <w:spacing w:after="0" w:line="316" w:lineRule="exact"/>
        <w:rPr>
          <w:sz w:val="20"/>
          <w:szCs w:val="20"/>
          <w:color w:val="auto"/>
        </w:rPr>
      </w:pPr>
    </w:p>
    <w:p>
      <w:pPr>
        <w:ind w:left="1240"/>
        <w:spacing w:after="0" w:line="305" w:lineRule="auto"/>
        <w:rPr>
          <w:sz w:val="20"/>
          <w:szCs w:val="20"/>
          <w:color w:val="auto"/>
        </w:rPr>
      </w:pPr>
      <w:r>
        <w:rPr>
          <w:rFonts w:ascii="Arial" w:cs="Arial" w:eastAsia="Arial" w:hAnsi="Arial"/>
          <w:sz w:val="18"/>
          <w:szCs w:val="18"/>
          <w:color w:val="auto"/>
        </w:rPr>
        <w:t>remeasurements of Indebtedness (including any net gain or loss resulting from Swap Obligations for currency exchange risk) and any other foreign currency translation gains and losses to the extent such gains or losses are non-cash items,</w:t>
      </w:r>
    </w:p>
    <w:p>
      <w:pPr>
        <w:spacing w:after="0" w:line="119" w:lineRule="exact"/>
        <w:rPr>
          <w:sz w:val="20"/>
          <w:szCs w:val="20"/>
          <w:color w:val="auto"/>
        </w:rPr>
      </w:pPr>
    </w:p>
    <w:p>
      <w:pPr>
        <w:ind w:left="1240" w:firstLine="620"/>
        <w:spacing w:after="0" w:line="233" w:lineRule="auto"/>
        <w:tabs>
          <w:tab w:leader="none" w:pos="2455" w:val="left"/>
        </w:tabs>
        <w:numPr>
          <w:ilvl w:val="0"/>
          <w:numId w:val="47"/>
        </w:numPr>
        <w:rPr>
          <w:rFonts w:ascii="Arial" w:cs="Arial" w:eastAsia="Arial" w:hAnsi="Arial"/>
          <w:sz w:val="21"/>
          <w:szCs w:val="21"/>
          <w:color w:val="auto"/>
        </w:rPr>
      </w:pPr>
      <w:r>
        <w:rPr>
          <w:rFonts w:ascii="Arial" w:cs="Arial" w:eastAsia="Arial" w:hAnsi="Arial"/>
          <w:sz w:val="21"/>
          <w:szCs w:val="21"/>
          <w:color w:val="auto"/>
        </w:rPr>
        <w:t>any adjustments resulting from the application of Accounting Standards Codification Topic No. 460, Guarantees, or any comparable regulation,</w:t>
      </w:r>
    </w:p>
    <w:p>
      <w:pPr>
        <w:spacing w:after="0" w:line="149" w:lineRule="exact"/>
        <w:rPr>
          <w:rFonts w:ascii="Arial" w:cs="Arial" w:eastAsia="Arial" w:hAnsi="Arial"/>
          <w:sz w:val="21"/>
          <w:szCs w:val="21"/>
          <w:color w:val="auto"/>
        </w:rPr>
      </w:pPr>
    </w:p>
    <w:p>
      <w:pPr>
        <w:jc w:val="both"/>
        <w:ind w:left="1240" w:firstLine="620"/>
        <w:spacing w:after="0" w:line="224" w:lineRule="auto"/>
        <w:tabs>
          <w:tab w:leader="none" w:pos="2347" w:val="left"/>
        </w:tabs>
        <w:numPr>
          <w:ilvl w:val="0"/>
          <w:numId w:val="47"/>
        </w:numPr>
        <w:rPr>
          <w:rFonts w:ascii="Arial" w:cs="Arial" w:eastAsia="Arial" w:hAnsi="Arial"/>
          <w:sz w:val="21"/>
          <w:szCs w:val="21"/>
          <w:color w:val="auto"/>
        </w:rPr>
      </w:pPr>
      <w:r>
        <w:rPr>
          <w:rFonts w:ascii="Arial" w:cs="Arial" w:eastAsia="Arial" w:hAnsi="Arial"/>
          <w:sz w:val="21"/>
          <w:szCs w:val="21"/>
          <w:color w:val="auto"/>
        </w:rPr>
        <w:t>at the election of the Borrower with respect to any quarterly period, effects of adjustments to accruals and reserves during a prior period relating to any change in the methodology of calculating reserves for returns, rebates and other chargebacks, and</w:t>
      </w:r>
    </w:p>
    <w:p>
      <w:pPr>
        <w:spacing w:after="0" w:line="148" w:lineRule="exact"/>
        <w:rPr>
          <w:rFonts w:ascii="Arial" w:cs="Arial" w:eastAsia="Arial" w:hAnsi="Arial"/>
          <w:sz w:val="21"/>
          <w:szCs w:val="21"/>
          <w:color w:val="auto"/>
        </w:rPr>
      </w:pPr>
    </w:p>
    <w:p>
      <w:pPr>
        <w:ind w:left="1240" w:firstLine="620"/>
        <w:spacing w:after="0" w:line="233" w:lineRule="auto"/>
        <w:tabs>
          <w:tab w:leader="none" w:pos="2368" w:val="left"/>
        </w:tabs>
        <w:numPr>
          <w:ilvl w:val="0"/>
          <w:numId w:val="47"/>
        </w:numPr>
        <w:rPr>
          <w:rFonts w:ascii="Arial" w:cs="Arial" w:eastAsia="Arial" w:hAnsi="Arial"/>
          <w:sz w:val="21"/>
          <w:szCs w:val="21"/>
          <w:color w:val="auto"/>
        </w:rPr>
      </w:pPr>
      <w:r>
        <w:rPr>
          <w:rFonts w:ascii="Arial" w:cs="Arial" w:eastAsia="Arial" w:hAnsi="Arial"/>
          <w:sz w:val="21"/>
          <w:szCs w:val="21"/>
          <w:color w:val="auto"/>
        </w:rPr>
        <w:t>earn-out, non-compete and contingent consideration obligations (including to the extent accounted for as bonuses or otherwise) and adjustments thereof and purchase price adjustments; and</w:t>
      </w:r>
    </w:p>
    <w:p>
      <w:pPr>
        <w:spacing w:after="0" w:line="150" w:lineRule="exact"/>
        <w:rPr>
          <w:sz w:val="20"/>
          <w:szCs w:val="20"/>
          <w:color w:val="auto"/>
        </w:rPr>
      </w:pPr>
    </w:p>
    <w:p>
      <w:pPr>
        <w:jc w:val="both"/>
        <w:ind w:left="620" w:firstLine="621"/>
        <w:spacing w:after="0" w:line="224" w:lineRule="auto"/>
        <w:tabs>
          <w:tab w:leader="none" w:pos="1847"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amount of distributions actually made to any direct or indirect parent company of such Person in respect of such period in accordance with Section 7.06(i)(iii) shall be included in calculating Consolidated Net Income as though such amounts had been paid as taxes directly by such Person for such period.</w:t>
      </w:r>
    </w:p>
    <w:p>
      <w:pPr>
        <w:spacing w:after="0" w:line="149"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In addition, to the extent not already included in the Consolidated Net Income of the Borrower and its Restricted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under this Agreement.</w:t>
      </w:r>
    </w:p>
    <w:p>
      <w:pPr>
        <w:spacing w:after="0" w:line="145"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Net Debt</w:t>
      </w:r>
      <w:r>
        <w:rPr>
          <w:rFonts w:ascii="Arial" w:cs="Arial" w:eastAsia="Arial" w:hAnsi="Arial"/>
          <w:sz w:val="19"/>
          <w:szCs w:val="19"/>
          <w:color w:val="auto"/>
        </w:rPr>
        <w:t xml:space="preserve">” means, as of any date of determination, the aggregate principal amount of Indebtedness of the Borrower and its Restricted Subsidiaries outstanding on such date, in an amount that would be reflected on a balance sheet prepared as of such date on a consolidated basis in accordance with GAAP (but excluding the effects of any discounting of Indebtedness resulting from the application of purchase accounting in connection with the Transactions or other Investments and excluding any Indebtedness incurred by any other Person), consisting of Indebtedness for borrowed money, purchase money indebtedness, Attributable Indebtedness, and debt obligations evidenced by promissory notes, bonds, debentures, loan agreements or similar instruments,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aggregate amount of all unrestricted cash and Cash Equivalents on the balance sheet of the Borrower and its Restricted Subsidiaries as of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Consolidated Total Net Debt shall not include (i) Indebtedness in respect of letters of credit (including Letters of Credit), except to the extent of unreimbursed amounts thereunder;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unreimbursed amount under commercial letters of credit shall not be counted as Consolidated Total Net Debt until three Business Days after such amount is drawn, (ii) Non-Financing Lease Obligations and (iii) Indebtedness of Unrestricted Subsidiaries; it being understood, for the avoidance of doubt, that obligations under Swap Contracts do not constitute Consolidated Total Net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Net Leverage Ratio</w:t>
      </w:r>
      <w:r>
        <w:rPr>
          <w:rFonts w:ascii="Arial" w:cs="Arial" w:eastAsia="Arial" w:hAnsi="Arial"/>
          <w:sz w:val="19"/>
          <w:szCs w:val="19"/>
          <w:color w:val="auto"/>
        </w:rPr>
        <w:t>” means, with respect to any four-quarter period, the ratio of (a) Consolidated Total Net Debt as of the last day of such period (or, solely with respect to the testing of actual compliance with Section 7.11, as of the Financial Covenant Testing Date) to (b) Consolidated EBITDA of the Borrower and its Restricted Subsidiaries for such period.</w:t>
      </w:r>
    </w:p>
    <w:p>
      <w:pPr>
        <w:spacing w:after="0" w:line="131"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Working Capital</w:t>
      </w:r>
      <w:r>
        <w:rPr>
          <w:rFonts w:ascii="Arial" w:cs="Arial" w:eastAsia="Arial" w:hAnsi="Arial"/>
          <w:sz w:val="20"/>
          <w:szCs w:val="20"/>
          <w:color w:val="auto"/>
        </w:rPr>
        <w:t xml:space="preserve">” means, with respect to the Borrower and its Restricted Subsidiaries on a consolidated basis at any date of determination, Current Assets at such date of determination </w:t>
      </w:r>
      <w:r>
        <w:rPr>
          <w:rFonts w:ascii="Arial" w:cs="Arial" w:eastAsia="Arial" w:hAnsi="Arial"/>
          <w:sz w:val="20"/>
          <w:szCs w:val="20"/>
          <w:i w:val="1"/>
          <w:iCs w:val="1"/>
          <w:color w:val="auto"/>
        </w:rPr>
        <w:t>minus</w:t>
      </w:r>
      <w:r>
        <w:rPr>
          <w:rFonts w:ascii="Arial" w:cs="Arial" w:eastAsia="Arial" w:hAnsi="Arial"/>
          <w:sz w:val="20"/>
          <w:szCs w:val="20"/>
          <w:color w:val="auto"/>
        </w:rPr>
        <w:t xml:space="preserve"> Current Liabilities at such date of determination;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increases or decreases in Consolidated Working Capital shall be calculated without regard to any changes in Current</w:t>
      </w:r>
      <w:r>
        <w:rPr>
          <w:rFonts w:ascii="Arial" w:cs="Arial" w:eastAsia="Arial" w:hAnsi="Arial"/>
          <w:sz w:val="20"/>
          <w:szCs w:val="20"/>
          <w:i w:val="1"/>
          <w:iCs w:val="1"/>
          <w:color w:val="auto"/>
        </w:rPr>
        <w:t xml:space="preserve"> </w:t>
      </w:r>
      <w:r>
        <w:rPr>
          <w:rFonts w:ascii="Arial" w:cs="Arial" w:eastAsia="Arial" w:hAnsi="Arial"/>
          <w:sz w:val="20"/>
          <w:szCs w:val="20"/>
          <w:color w:val="auto"/>
        </w:rPr>
        <w:t>Assets or Current Liabilities as a result of (a) any reclassification in accordance with GAAP of assets or liabilities, as applicable, between current and noncurrent or (b) the effects of purchase accounting.</w:t>
      </w:r>
    </w:p>
    <w:p>
      <w:pPr>
        <w:spacing w:after="0" w:line="14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Contractual Obligation</w:t>
      </w:r>
      <w:r>
        <w:rPr>
          <w:rFonts w:ascii="Arial" w:cs="Arial" w:eastAsia="Arial" w:hAnsi="Arial"/>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Control</w:t>
      </w:r>
      <w:r>
        <w:rPr>
          <w:rFonts w:ascii="Arial" w:cs="Arial" w:eastAsia="Arial" w:hAnsi="Arial"/>
          <w:sz w:val="21"/>
          <w:szCs w:val="21"/>
          <w:color w:val="auto"/>
        </w:rPr>
        <w:t>” has the meaning set forth in the definition of “Affiliate.”</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Controlled Investment Affiliate</w:t>
      </w:r>
      <w:r>
        <w:rPr>
          <w:rFonts w:ascii="Arial" w:cs="Arial" w:eastAsia="Arial" w:hAnsi="Arial"/>
          <w:sz w:val="21"/>
          <w:szCs w:val="21"/>
          <w:color w:val="auto"/>
        </w:rPr>
        <w:t>” means, as to any Person, any other Person, other than the Investors,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Converted Restricted Subsidiary</w:t>
      </w:r>
      <w:r>
        <w:rPr>
          <w:rFonts w:ascii="Arial" w:cs="Arial" w:eastAsia="Arial" w:hAnsi="Arial"/>
          <w:sz w:val="21"/>
          <w:szCs w:val="21"/>
          <w:color w:val="auto"/>
        </w:rPr>
        <w:t>” has the meaning set forth in the definition of “Consolidated EBITDA.”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Converted Unrestricted Subsidiary</w:t>
      </w:r>
      <w:r>
        <w:rPr>
          <w:rFonts w:ascii="Arial" w:cs="Arial" w:eastAsia="Arial" w:hAnsi="Arial"/>
          <w:sz w:val="21"/>
          <w:szCs w:val="21"/>
          <w:color w:val="auto"/>
        </w:rPr>
        <w:t>” has the meaning set forth in the definition of “Consolidated EBITDA.”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Party</w:t>
      </w:r>
      <w:r>
        <w:rPr>
          <w:rFonts w:ascii="Arial" w:cs="Arial" w:eastAsia="Arial" w:hAnsi="Arial"/>
          <w:sz w:val="21"/>
          <w:szCs w:val="21"/>
          <w:color w:val="auto"/>
        </w:rPr>
        <w:t>” has the meaning set forth in Section 10.25(a).</w:t>
      </w:r>
    </w:p>
    <w:p>
      <w:pPr>
        <w:spacing w:after="0" w:line="171"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Agreement Refinancing Indebtedness</w:t>
      </w:r>
      <w:r>
        <w:rPr>
          <w:rFonts w:ascii="Arial" w:cs="Arial" w:eastAsia="Arial" w:hAnsi="Arial"/>
          <w:sz w:val="20"/>
          <w:szCs w:val="20"/>
          <w:color w:val="auto"/>
        </w:rPr>
        <w:t>” means (a) Permitted First Priority Refinancing Debt, (b) Permitted Junior Lien Refinancing Debt, (c) Permitted Unsecured Refinancing Debt or (d) other Indebtedness incurred pursuant to a Refinancing Amendment, in each case, issued, incurred or otherwise obtained (including by means of the extension or renewal of existing Indebtedness) in exchange for, or to extend, renew, replace, repurchase, retire or refinance, in whole or part, existing Term Loans and Revolving Credit Loans (or Commitments in respect to Revolving Credit Loans), or any then-existing Credit Agreement Refinancing Indebtedness (“</w:t>
      </w:r>
      <w:r>
        <w:rPr>
          <w:rFonts w:ascii="Arial" w:cs="Arial" w:eastAsia="Arial" w:hAnsi="Arial"/>
          <w:sz w:val="20"/>
          <w:szCs w:val="20"/>
          <w:b w:val="1"/>
          <w:bCs w:val="1"/>
          <w:color w:val="auto"/>
        </w:rPr>
        <w:t>Refinanced Debt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such Indebtedness has a maturity no earlier than, and, in the case of Refinancing Term Loans, a Weighted Average Life to Maturity equal to or greater than the Refinanced Debt, (ii) such Indebtedness shall not have a greater principal amount than the principal amount of the Refinanced Debt plus unused commitments in respect of the Refinanced Debt, accrued interest, fees, premiums (if any) and penalties thereon and reasonable fees and expenses associated with the refinancing, (iii) the other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316" w:lineRule="exact"/>
        <w:rPr>
          <w:sz w:val="20"/>
          <w:szCs w:val="20"/>
          <w:color w:val="auto"/>
        </w:rPr>
      </w:pPr>
    </w:p>
    <w:p>
      <w:pPr>
        <w:jc w:val="both"/>
        <w:ind w:firstLine="6"/>
        <w:spacing w:after="0" w:line="227" w:lineRule="auto"/>
        <w:rPr>
          <w:sz w:val="20"/>
          <w:szCs w:val="20"/>
          <w:color w:val="auto"/>
        </w:rPr>
      </w:pPr>
      <w:r>
        <w:rPr>
          <w:rFonts w:ascii="Arial" w:cs="Arial" w:eastAsia="Arial" w:hAnsi="Arial"/>
          <w:sz w:val="19"/>
          <w:szCs w:val="19"/>
          <w:color w:val="auto"/>
        </w:rPr>
        <w:t>of such Indebtedness shall either, at the option of the Borrower (I) reflect market terms and conditions (taken as a whole) at the time of incurrence or issuance (as determined by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any more restrictive financial maintenance covenant is added for the benefit of such Credit Agreement Refinancing Indebtedness, such more restrictive financial maintenance covenant shall be added for the benefit of each Facility that then benefits from a financial maintenance covenant and is remaining outstanding (except to the extent such more restrictive financial maintenance covenant is applicable only to periods after the Latest Maturity Date of each such Facility)) or (II) if not consistent with the terms of the Refinanced Debt being refinanced or replaced, be not materially more restrictive (taken as a whole) on the Borrower and its Restricted Subsidiaries (as determined by the Borrower) than those applicable to the Refinanced Debt being refinanced or replaced (except for (x) pricing, premiums, fees, rate floors and prepayment and redemption terms and (y) covenants or other provisions applicable only to periods after the Latest Maturity Date at the time of incurrence of such Indebtedness and it being understood that to the extent any financial maintenance covenant is added for the benefit of such (A) Credit Agreement Refinancing Indebtedness in the form of Refinancing Term Loans or refinancing notes or other debt securities (whether issued in a public offering, Rule 144A, private placement or otherwise), no consent shall be required from the Administrative Agent or any of the Lenders to the extent that such financial maintenance covenant is also added for the benefit of each Facility remaining outstanding after the incurrence or issuance of such Credit Agreement Refinancing Indebtedness or (B) Credit Agreement Refinancing Indebtedness in the form of Other Revolving Credit Commitments or Other Revolving Credit Loans, no consent shall be required from the Administrative Agent or any of the Lenders to the extent that such financial maintenance covenant (x) is also added for the benefit of the Revolving Credit Facility that then benefits from a financial maintenance covenant and is remaining outstanding after the incurrence of such Other Revolving Credit Commitments or Other Revolving Credit Loans or (y) applies only to periods after the Latest Maturity Date of such Revolving Credit Facility)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certificate of a Responsible Officer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 of this clause (iii) shall be conclusive evidence that such terms and conditions satisfy such requirement unless the Administrative Agent notifies the Borrower within such five (5) Business Day period that it disagrees with such determination (including a description of the basis upon which it disagrees)), and (iv) such Refinanced Debt shall be repaid, repurchased, retired, defeased or satisfied and discharged, all accrued interest, fees, premiums (if any) and penalties in connection therewith shall be paid, and all commitments thereunder terminated, on the date such Credit Agreement Refinancing Indebtedness is issued, incurred or obtained.</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Extension</w:t>
      </w:r>
      <w:r>
        <w:rPr>
          <w:rFonts w:ascii="Arial" w:cs="Arial" w:eastAsia="Arial" w:hAnsi="Arial"/>
          <w:sz w:val="21"/>
          <w:szCs w:val="21"/>
          <w:color w:val="auto"/>
        </w:rPr>
        <w:t>” means each of the following: (a) a Borrowing and (b) an L/C Credit Extension.</w:t>
      </w:r>
    </w:p>
    <w:p>
      <w:pPr>
        <w:spacing w:after="0" w:line="14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Cumulative Credit</w:t>
      </w:r>
      <w:r>
        <w:rPr>
          <w:rFonts w:ascii="Arial" w:cs="Arial" w:eastAsia="Arial" w:hAnsi="Arial"/>
          <w:sz w:val="21"/>
          <w:szCs w:val="21"/>
          <w:color w:val="auto"/>
        </w:rPr>
        <w:t>” means, at any date, an amount, not less than zero in the aggregate, determined on a cumulative basis equal to, without duplication:</w:t>
      </w:r>
    </w:p>
    <w:p>
      <w:pPr>
        <w:spacing w:after="0" w:line="150" w:lineRule="exact"/>
        <w:rPr>
          <w:sz w:val="20"/>
          <w:szCs w:val="20"/>
          <w:color w:val="auto"/>
        </w:rPr>
      </w:pPr>
    </w:p>
    <w:p>
      <w:pPr>
        <w:ind w:left="1060" w:hanging="438"/>
        <w:spacing w:after="0"/>
        <w:tabs>
          <w:tab w:leader="none" w:pos="10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greater of (x) $100,000,000 and (y) 35% of LTM Consolidated EBITDA; plus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2" w:lineRule="exact"/>
        <w:rPr>
          <w:rFonts w:ascii="Arial" w:cs="Arial" w:eastAsia="Arial" w:hAnsi="Arial"/>
          <w:sz w:val="21"/>
          <w:szCs w:val="21"/>
          <w:color w:val="auto"/>
        </w:rPr>
      </w:pPr>
    </w:p>
    <w:p>
      <w:pPr>
        <w:ind w:left="5520"/>
        <w:spacing w:after="0"/>
        <w:rPr>
          <w:rFonts w:ascii="Arial" w:cs="Arial" w:eastAsia="Arial" w:hAnsi="Arial"/>
          <w:sz w:val="21"/>
          <w:szCs w:val="21"/>
          <w:color w:val="auto"/>
        </w:rPr>
      </w:pPr>
      <w:r>
        <w:rPr>
          <w:rFonts w:ascii="Arial" w:cs="Arial" w:eastAsia="Arial" w:hAnsi="Arial"/>
          <w:sz w:val="21"/>
          <w:szCs w:val="21"/>
          <w:color w:val="auto"/>
        </w:rPr>
        <w:t>27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19" w:lineRule="auto"/>
        <w:tabs>
          <w:tab w:leader="none" w:pos="1099"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amount, not less than zero in the aggregate, determined on a cumulative basis, equal to the aggregate cumulative sum of 50% of the Excess Cash Flow calculated as of the last day of each fiscal year following the Closing Date beginning with the fiscal year ending December 31, 2019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 respect to the fiscal year ending December 31, 2019, such amount shall be for the period from the Closing Date until December 31, 2019); plus</w:t>
      </w:r>
    </w:p>
    <w:p>
      <w:pPr>
        <w:spacing w:after="0" w:line="149" w:lineRule="exact"/>
        <w:rPr>
          <w:rFonts w:ascii="Arial" w:cs="Arial" w:eastAsia="Arial" w:hAnsi="Arial"/>
          <w:sz w:val="21"/>
          <w:szCs w:val="21"/>
          <w:color w:val="auto"/>
        </w:rPr>
      </w:pPr>
    </w:p>
    <w:p>
      <w:pPr>
        <w:ind w:left="1060" w:hanging="438"/>
        <w:spacing w:after="0"/>
        <w:tabs>
          <w:tab w:leader="none" w:pos="1060"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Cumulative Retained Asset Sale Proceeds Amount at such time; plus</w:t>
      </w:r>
    </w:p>
    <w:p>
      <w:pPr>
        <w:spacing w:after="0" w:line="171" w:lineRule="exact"/>
        <w:rPr>
          <w:rFonts w:ascii="Arial" w:cs="Arial" w:eastAsia="Arial" w:hAnsi="Arial"/>
          <w:sz w:val="21"/>
          <w:szCs w:val="21"/>
          <w:color w:val="auto"/>
        </w:rPr>
      </w:pPr>
    </w:p>
    <w:p>
      <w:pPr>
        <w:jc w:val="both"/>
        <w:ind w:firstLine="622"/>
        <w:spacing w:after="0" w:line="247" w:lineRule="auto"/>
        <w:tabs>
          <w:tab w:leader="none" w:pos="110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cumulative amount of cash and Cash Equivalent proceeds (other than Excluded Contributions) and/or the fair market value of assets received from (i) the sale or transfer of Equity Interests (other than any Disqualified Equity Interests and other than any Designated Equity Contribution) of Holdings, the Borrower or any direct or indirect parent of the Borrower after the Closing Date and on or prior to such time (including upon exercise of warrants or options) which proceeds or assets have been contributed as common equity to the capital of the Borrower or (ii) the common Equity Interests of the Borrower (or Holdings or any direct or indirect parent of Holdings) (other than Disqualified Equity Interests of the Borrower (or any direct or indirect parent of the Borrower) and other than any Designated Equity Contribution) issued upon conversion of Indebtedness (other than Indebtedness that is contractually subordinated to the Obligations) of the Borrower or any Restricted Subsidiary of the Borrower owed to a Person other than a Loan Party or a Restricted Subsidiary of a Loan Party, in each case, not previously applied for a purpose other than use in the Cumulative Credit; plus</w:t>
      </w:r>
    </w:p>
    <w:p>
      <w:pPr>
        <w:spacing w:after="0" w:line="145" w:lineRule="exact"/>
        <w:rPr>
          <w:rFonts w:ascii="Arial" w:cs="Arial" w:eastAsia="Arial" w:hAnsi="Arial"/>
          <w:sz w:val="18"/>
          <w:szCs w:val="18"/>
          <w:color w:val="auto"/>
        </w:rPr>
      </w:pPr>
    </w:p>
    <w:p>
      <w:pPr>
        <w:jc w:val="both"/>
        <w:ind w:firstLine="622"/>
        <w:spacing w:after="0" w:line="224" w:lineRule="auto"/>
        <w:tabs>
          <w:tab w:leader="none" w:pos="1091" w:val="left"/>
        </w:tabs>
        <w:numPr>
          <w:ilvl w:val="0"/>
          <w:numId w:val="50"/>
        </w:numPr>
        <w:rPr>
          <w:rFonts w:ascii="Arial" w:cs="Arial" w:eastAsia="Arial" w:hAnsi="Arial"/>
          <w:sz w:val="21"/>
          <w:szCs w:val="21"/>
          <w:color w:val="auto"/>
        </w:rPr>
      </w:pPr>
      <w:r>
        <w:rPr>
          <w:rFonts w:ascii="Arial" w:cs="Arial" w:eastAsia="Arial" w:hAnsi="Arial"/>
          <w:sz w:val="21"/>
          <w:szCs w:val="21"/>
          <w:color w:val="auto"/>
        </w:rPr>
        <w:t>100% of the aggregate amount of contributions to the common capital (other than from a Restricted Subsidiary and other than any Designated Equity Contribution) of the Borrower received after the Closing Date (other than Excluded Contributions), not previously applied for a purpose other than use in the Cumulative Credit; plus</w:t>
      </w:r>
    </w:p>
    <w:p>
      <w:pPr>
        <w:spacing w:after="0" w:line="148" w:lineRule="exact"/>
        <w:rPr>
          <w:rFonts w:ascii="Arial" w:cs="Arial" w:eastAsia="Arial" w:hAnsi="Arial"/>
          <w:sz w:val="21"/>
          <w:szCs w:val="21"/>
          <w:color w:val="auto"/>
        </w:rPr>
      </w:pPr>
    </w:p>
    <w:p>
      <w:pPr>
        <w:ind w:left="1040" w:hanging="418"/>
        <w:spacing w:after="0"/>
        <w:tabs>
          <w:tab w:leader="none" w:pos="1040" w:val="left"/>
        </w:tabs>
        <w:numPr>
          <w:ilvl w:val="0"/>
          <w:numId w:val="50"/>
        </w:numPr>
        <w:rPr>
          <w:rFonts w:ascii="Arial" w:cs="Arial" w:eastAsia="Arial" w:hAnsi="Arial"/>
          <w:sz w:val="21"/>
          <w:szCs w:val="21"/>
          <w:color w:val="auto"/>
        </w:rPr>
      </w:pPr>
      <w:r>
        <w:rPr>
          <w:rFonts w:ascii="Arial" w:cs="Arial" w:eastAsia="Arial" w:hAnsi="Arial"/>
          <w:sz w:val="21"/>
          <w:szCs w:val="21"/>
          <w:color w:val="auto"/>
        </w:rPr>
        <w:t>100% of the aggregate amount received by the Borrower or any Restricted Subsidiary of the Borrower from:</w:t>
      </w:r>
    </w:p>
    <w:p>
      <w:pPr>
        <w:spacing w:after="0" w:line="171" w:lineRule="exact"/>
        <w:rPr>
          <w:rFonts w:ascii="Arial" w:cs="Arial" w:eastAsia="Arial" w:hAnsi="Arial"/>
          <w:sz w:val="21"/>
          <w:szCs w:val="21"/>
          <w:color w:val="auto"/>
        </w:rPr>
      </w:pPr>
    </w:p>
    <w:p>
      <w:pPr>
        <w:ind w:left="620" w:firstLine="621"/>
        <w:spacing w:after="0" w:line="233" w:lineRule="auto"/>
        <w:tabs>
          <w:tab w:leader="none" w:pos="1886"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sale or transfer (other than to the Borrower or any Restricted Subsidiary) of the Equity Interests of an Unrestricted Subsidiary, joint venture or any minority investments, or</w:t>
      </w:r>
    </w:p>
    <w:p>
      <w:pPr>
        <w:spacing w:after="0" w:line="149" w:lineRule="exact"/>
        <w:rPr>
          <w:rFonts w:ascii="Arial" w:cs="Arial" w:eastAsia="Arial" w:hAnsi="Arial"/>
          <w:sz w:val="21"/>
          <w:szCs w:val="21"/>
          <w:color w:val="auto"/>
        </w:rPr>
      </w:pPr>
    </w:p>
    <w:p>
      <w:pPr>
        <w:ind w:left="620" w:firstLine="621"/>
        <w:spacing w:after="0" w:line="233" w:lineRule="auto"/>
        <w:tabs>
          <w:tab w:leader="none" w:pos="1743" w:val="left"/>
        </w:tabs>
        <w:numPr>
          <w:ilvl w:val="1"/>
          <w:numId w:val="50"/>
        </w:numPr>
        <w:rPr>
          <w:rFonts w:ascii="Arial" w:cs="Arial" w:eastAsia="Arial" w:hAnsi="Arial"/>
          <w:sz w:val="21"/>
          <w:szCs w:val="21"/>
          <w:color w:val="auto"/>
        </w:rPr>
      </w:pPr>
      <w:r>
        <w:rPr>
          <w:rFonts w:ascii="Arial" w:cs="Arial" w:eastAsia="Arial" w:hAnsi="Arial"/>
          <w:sz w:val="21"/>
          <w:szCs w:val="21"/>
          <w:color w:val="auto"/>
        </w:rPr>
        <w:t>any dividend or other distribution by an Unrestricted Subsidiary or received in respect of any minority investment (except to the extent increasing Consolidated Net Income and excluding Excluded Contributions), or</w:t>
      </w:r>
    </w:p>
    <w:p>
      <w:pPr>
        <w:spacing w:after="0" w:line="149" w:lineRule="exact"/>
        <w:rPr>
          <w:rFonts w:ascii="Arial" w:cs="Arial" w:eastAsia="Arial" w:hAnsi="Arial"/>
          <w:sz w:val="21"/>
          <w:szCs w:val="21"/>
          <w:color w:val="auto"/>
        </w:rPr>
      </w:pPr>
    </w:p>
    <w:p>
      <w:pPr>
        <w:ind w:left="620" w:firstLine="621"/>
        <w:spacing w:after="0" w:line="276" w:lineRule="auto"/>
        <w:tabs>
          <w:tab w:leader="none" w:pos="1754" w:val="left"/>
        </w:tabs>
        <w:numPr>
          <w:ilvl w:val="1"/>
          <w:numId w:val="50"/>
        </w:numPr>
        <w:rPr>
          <w:rFonts w:ascii="Arial" w:cs="Arial" w:eastAsia="Arial" w:hAnsi="Arial"/>
          <w:sz w:val="19"/>
          <w:szCs w:val="19"/>
          <w:color w:val="auto"/>
        </w:rPr>
      </w:pPr>
      <w:r>
        <w:rPr>
          <w:rFonts w:ascii="Arial" w:cs="Arial" w:eastAsia="Arial" w:hAnsi="Arial"/>
          <w:sz w:val="19"/>
          <w:szCs w:val="19"/>
          <w:color w:val="auto"/>
        </w:rPr>
        <w:t>any interest, returns of principal payments and similar payments by an Unrestricted Subsidiary or joint venture or received in respect of any minority investments (except to the extent increasing Consolidated Net Income); plus</w:t>
      </w:r>
    </w:p>
    <w:p>
      <w:pPr>
        <w:spacing w:after="0" w:line="116" w:lineRule="exact"/>
        <w:rPr>
          <w:rFonts w:ascii="Arial" w:cs="Arial" w:eastAsia="Arial" w:hAnsi="Arial"/>
          <w:sz w:val="19"/>
          <w:szCs w:val="19"/>
          <w:color w:val="auto"/>
        </w:rPr>
      </w:pPr>
    </w:p>
    <w:p>
      <w:pPr>
        <w:jc w:val="both"/>
        <w:ind w:firstLine="622"/>
        <w:spacing w:after="0" w:line="251" w:lineRule="auto"/>
        <w:tabs>
          <w:tab w:leader="none" w:pos="1066"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 the event any Unrestricted Subsidiary has been redesignated as a Restricted Subsidiary or has been merged, consolidated or amalgamated with or into, or transfers or conveys its assets to, or is liquidated into, the Borrower or a Restricted Subsidiary, the fair market value of the Investments of the Borrower and the Restricted Subsidiaries in such Unrestricted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40" w:right="339" w:bottom="1440" w:gutter="0" w:footer="0" w:header="0"/>
        </w:sectPr>
      </w:pPr>
    </w:p>
    <w:bookmarkStart w:id="76" w:name="page77"/>
    <w:bookmarkEnd w:id="76"/>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at the time of such redesignation, combination or transfer (or of the assets transferred or conveyed, as applicable) so long as such Investments were originally made pursuant to Section 7.02(n)(y); plus</w:t>
      </w:r>
    </w:p>
    <w:p>
      <w:pPr>
        <w:spacing w:after="0" w:line="176" w:lineRule="exact"/>
        <w:rPr>
          <w:sz w:val="20"/>
          <w:szCs w:val="20"/>
          <w:color w:val="auto"/>
        </w:rPr>
      </w:pPr>
    </w:p>
    <w:p>
      <w:pPr>
        <w:jc w:val="both"/>
        <w:ind w:firstLine="622"/>
        <w:spacing w:after="0" w:line="272" w:lineRule="auto"/>
        <w:tabs>
          <w:tab w:leader="none" w:pos="122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extent not already included in Consolidated Net Income, an amount equal to any returns in cash and Cash Equivalents (including dividends, interest, distributions, returns of principal, profits on sale, repayments, income and similar amounts) actually received by the Borrower or any Restricted Subsidiary in respect of any Investments made pursuant to Section 7.02(n)(y); plus</w:t>
      </w:r>
    </w:p>
    <w:p>
      <w:pPr>
        <w:spacing w:after="0" w:line="121" w:lineRule="exact"/>
        <w:rPr>
          <w:rFonts w:ascii="Arial" w:cs="Arial" w:eastAsia="Arial" w:hAnsi="Arial"/>
          <w:sz w:val="18"/>
          <w:szCs w:val="18"/>
          <w:color w:val="auto"/>
        </w:rPr>
      </w:pPr>
    </w:p>
    <w:p>
      <w:pPr>
        <w:ind w:left="1020" w:hanging="398"/>
        <w:spacing w:after="0"/>
        <w:tabs>
          <w:tab w:leader="none" w:pos="1020" w:val="left"/>
        </w:tabs>
        <w:numPr>
          <w:ilvl w:val="0"/>
          <w:numId w:val="51"/>
        </w:numPr>
        <w:rPr>
          <w:rFonts w:ascii="Arial" w:cs="Arial" w:eastAsia="Arial" w:hAnsi="Arial"/>
          <w:sz w:val="21"/>
          <w:szCs w:val="21"/>
          <w:color w:val="auto"/>
        </w:rPr>
      </w:pPr>
      <w:r>
        <w:rPr>
          <w:rFonts w:ascii="Arial" w:cs="Arial" w:eastAsia="Arial" w:hAnsi="Arial"/>
          <w:sz w:val="21"/>
          <w:szCs w:val="21"/>
          <w:color w:val="auto"/>
        </w:rPr>
        <w:t>100% of the aggregate amount of any Declined Proceeds; minus</w:t>
      </w:r>
    </w:p>
    <w:p>
      <w:pPr>
        <w:spacing w:after="0" w:line="171" w:lineRule="exact"/>
        <w:rPr>
          <w:rFonts w:ascii="Arial" w:cs="Arial" w:eastAsia="Arial" w:hAnsi="Arial"/>
          <w:sz w:val="21"/>
          <w:szCs w:val="21"/>
          <w:color w:val="auto"/>
        </w:rPr>
      </w:pPr>
    </w:p>
    <w:p>
      <w:pPr>
        <w:jc w:val="both"/>
        <w:ind w:firstLine="622"/>
        <w:spacing w:after="0" w:line="235" w:lineRule="auto"/>
        <w:tabs>
          <w:tab w:leader="none" w:pos="1136"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sum of (x) any amount of the Cumulative Credit used to make Investments pursuant to Section 7.02(n)(y) of the Original Credit Agreement after the Closing Date and prior to the Restatement Date and (y) any amount of the Cumulative Credit used to make Investments pursuant to Section 7.02(n)(y) after the Restatement Date and prior to such time; minus</w:t>
      </w:r>
    </w:p>
    <w:p>
      <w:pPr>
        <w:spacing w:after="0" w:line="149" w:lineRule="exact"/>
        <w:rPr>
          <w:rFonts w:ascii="Arial" w:cs="Arial" w:eastAsia="Arial" w:hAnsi="Arial"/>
          <w:sz w:val="20"/>
          <w:szCs w:val="20"/>
          <w:color w:val="auto"/>
        </w:rPr>
      </w:pPr>
    </w:p>
    <w:p>
      <w:pPr>
        <w:jc w:val="both"/>
        <w:ind w:firstLine="622"/>
        <w:spacing w:after="0" w:line="261" w:lineRule="auto"/>
        <w:tabs>
          <w:tab w:leader="none" w:pos="116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sum of (x) any amount of the Cumulative Credit used to pay dividends or make distributions pursuant to Section 7.06(h)(y) of the Original Credit Agreement after the Closing Date and prior to the Restatement Date together with all accrued interest and fees payable thereon and (y) any amount of the Cumulative Credit used to pay dividends or make distributions pursuant to Section 7.06(h)(y) hereof after the Restatement Date together with all accrued interest and fees payable thereon, and prior to such time; minus</w:t>
      </w:r>
    </w:p>
    <w:p>
      <w:pPr>
        <w:spacing w:after="0" w:line="130" w:lineRule="exact"/>
        <w:rPr>
          <w:rFonts w:ascii="Arial" w:cs="Arial" w:eastAsia="Arial" w:hAnsi="Arial"/>
          <w:sz w:val="18"/>
          <w:szCs w:val="18"/>
          <w:color w:val="auto"/>
        </w:rPr>
      </w:pPr>
    </w:p>
    <w:p>
      <w:pPr>
        <w:jc w:val="both"/>
        <w:ind w:firstLine="622"/>
        <w:spacing w:after="0" w:line="230" w:lineRule="auto"/>
        <w:tabs>
          <w:tab w:leader="none" w:pos="1026"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sum of (x) any amount of the Cumulative Credit used to make payments or distributions in respect of Junior Financings pursuant to Section 7.13(a)(v)(y) of the Original Credit Agreement after the Closing Date and prior to the Restatement Date and prior to such time and (y) any amount of the Cumulative Credit used to make payments or distributions in respect of Junior Financings pursuant to Section 7.13(a)(v)(y) hereof after the Restatement Date and prior to such time.</w:t>
      </w:r>
    </w:p>
    <w:p>
      <w:pPr>
        <w:spacing w:after="0" w:line="14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Cumulative Retained Asset Sale Proceeds Amount</w:t>
      </w:r>
      <w:r>
        <w:rPr>
          <w:rFonts w:ascii="Arial" w:cs="Arial" w:eastAsia="Arial" w:hAnsi="Arial"/>
          <w:sz w:val="18"/>
          <w:szCs w:val="18"/>
          <w:color w:val="auto"/>
        </w:rPr>
        <w:t>” means the cumulative portion (since the Closing Date) of the Net Proceeds of Dispositions not required to be applied to prepay the Loans pursuant to Section 2.05(b)(ii) (or pursuant to Section 2.05(b) (ii) of the Original Credit Agreement prior to the Restatement Date) due to the Applicable Asset Sale Percentage being less than 100%.</w:t>
      </w:r>
    </w:p>
    <w:p>
      <w:pPr>
        <w:spacing w:after="0" w:line="11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Assets</w:t>
      </w:r>
      <w:r>
        <w:rPr>
          <w:rFonts w:ascii="Arial" w:cs="Arial" w:eastAsia="Arial" w:hAnsi="Arial"/>
          <w:sz w:val="18"/>
          <w:szCs w:val="18"/>
          <w:color w:val="auto"/>
        </w:rPr>
        <w:t>” means, with respect to the Borrower and its Restricted Subsidiaries on a consolidated basis at any date of determination, all assets (other than cash and Cash Equivalents) of the Borrower and its Restricted Subsidiaries that would, in accordance with GAAP, be classified on a consolidated balance sheet of the Borrower and its Restricted Subsidiaries as current assets at such date of determination, other than amounts related to current or deferred Taxes based on income or profits (but excluding assets held for sale, loans (permitted) to third parties, pension assets, deferred bank fees and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means, with respect to the Borrower and its Restricted Subsidiaries on a consolidated basis at any date of determination, all liabilities of the Borrower and its Restricted Subsidiaries that would, in accordance with GAAP, be classified on a consolidated balance sheet of the Borrower and its Restricted Subsidiaries as current liabilities at such date of determination, other than</w:t>
      </w:r>
    </w:p>
    <w:p>
      <w:pPr>
        <w:spacing w:after="0" w:line="1" w:lineRule="exact"/>
        <w:rPr>
          <w:sz w:val="20"/>
          <w:szCs w:val="20"/>
          <w:color w:val="auto"/>
        </w:rPr>
      </w:pPr>
    </w:p>
    <w:p>
      <w:pPr>
        <w:jc w:val="both"/>
        <w:ind w:firstLine="3"/>
        <w:spacing w:after="0" w:line="218" w:lineRule="auto"/>
        <w:tabs>
          <w:tab w:leader="none" w:pos="281"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current portion of any Indebtedness, (b) accruals of Consolidated Interest Expense (excluding Consolidated Interest Expense that is past due and unpaid), (c) accruals for current or deferred Taxes based on income or profits, (d) accruals of any costs or expenses related to restructuring reserves, and (e) any Revolving Credit Exposure.</w:t>
      </w:r>
    </w:p>
    <w:p>
      <w:pPr>
        <w:spacing w:after="0" w:line="143"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Simple SOFR</w:t>
      </w:r>
      <w:r>
        <w:rPr>
          <w:rFonts w:ascii="Arial" w:cs="Arial" w:eastAsia="Arial" w:hAnsi="Arial"/>
          <w:sz w:val="19"/>
          <w:szCs w:val="19"/>
          <w:color w:val="auto"/>
        </w:rPr>
        <w:t>” means, for any day (a “</w:t>
      </w:r>
      <w:r>
        <w:rPr>
          <w:rFonts w:ascii="Arial" w:cs="Arial" w:eastAsia="Arial" w:hAnsi="Arial"/>
          <w:sz w:val="19"/>
          <w:szCs w:val="19"/>
          <w:b w:val="1"/>
          <w:bCs w:val="1"/>
          <w:color w:val="auto"/>
        </w:rPr>
        <w:t>SOFR Rate Day</w:t>
      </w:r>
      <w:r>
        <w:rPr>
          <w:rFonts w:ascii="Arial" w:cs="Arial" w:eastAsia="Arial" w:hAnsi="Arial"/>
          <w:sz w:val="19"/>
          <w:szCs w:val="19"/>
          <w:color w:val="auto"/>
        </w:rPr>
        <w:t>”), a rate per annum equal to the greater of (a) SOFR for the day (such day the “</w:t>
      </w:r>
      <w:r>
        <w:rPr>
          <w:rFonts w:ascii="Arial" w:cs="Arial" w:eastAsia="Arial" w:hAnsi="Arial"/>
          <w:sz w:val="19"/>
          <w:szCs w:val="19"/>
          <w:b w:val="1"/>
          <w:bCs w:val="1"/>
          <w:color w:val="auto"/>
        </w:rPr>
        <w:t>SOFR Determination Date</w:t>
      </w:r>
      <w:r>
        <w:rPr>
          <w:rFonts w:ascii="Arial" w:cs="Arial" w:eastAsia="Arial" w:hAnsi="Arial"/>
          <w:sz w:val="19"/>
          <w:szCs w:val="19"/>
          <w:color w:val="auto"/>
        </w:rPr>
        <w:t xml:space="preserve">”) that is five Business Days (or such other period as determined by the Borrower and the Administrative Agent based on the then prevailing market convention) prior to (i) if such SOFR Rate Day is a Business Day, such SOFR Rate Day or (ii) if such SOFR Rate Day is not a Business Day, the Business Day immediately preceding such SOFR Rate Day, and (b) the Applicable Term SOFR Floor. If by 5:00 pm (New York City time) on the second Business Day immediately following any SOFR Determination Date, the SOFR in respect of such SOFR Determination Date has not been published on the Federal Reserve Bank of New York’s Website and a Replacement Event with respect to the Daily Simple SOFR has not occurred, then the SOFR for such SOFR Determination Date will be the SOFR as published in respect of the first preceding Business Day for which such SOFR was published on the Federal Reserve Bank of New York’s Website;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SOFR determined pursuant to this sentence shall be utilized for purposes of calculation of Daily Simple SOFR for no more than five consecutive Business Days.</w:t>
      </w:r>
    </w:p>
    <w:p>
      <w:pPr>
        <w:spacing w:after="0" w:line="14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Daily SOFR Loan</w:t>
      </w:r>
      <w:r>
        <w:rPr>
          <w:rFonts w:ascii="Arial" w:cs="Arial" w:eastAsia="Arial" w:hAnsi="Arial"/>
          <w:sz w:val="21"/>
          <w:szCs w:val="21"/>
          <w:color w:val="auto"/>
        </w:rPr>
        <w:t>” means any Loan bearing interest at a rate determined by reference to Daily Simple SOFR and made pursuant to clause (a)(ii) of the definition of “Term SOFR” or Section 3.03.</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 Fund Affiliate</w:t>
      </w:r>
      <w:r>
        <w:rPr>
          <w:rFonts w:ascii="Arial" w:cs="Arial" w:eastAsia="Arial" w:hAnsi="Arial"/>
          <w:sz w:val="19"/>
          <w:szCs w:val="19"/>
          <w:color w:val="auto"/>
        </w:rPr>
        <w:t>” ” means (i) any fund or client managed by, or under common management with Blackstone Alternative Credit Advisors LP, GSO Capital Partners, LP, Blackstone Real Estate Special Situations Advisors L.L.C. and Blackstone Tactical Opportunities Fund L.P., (ii) any fund or client managed by an adviser within the credit focused division of The Blackstone Group Inc. or Blackstone ISG-I Advisors L.L.C., (iii) The Blackstone Strategic Opportunity Funds (including masters, feeders, onshore, offshore and parallel funds), (iv) funds and accounts managed by Blackstone Alternative Solutions, L.L.C. or its Affiliates and (v) any other Affiliate of the Permitted Holders or the Borrower that is a Bona Fide Debt Fund or an investment vehicle that is engaged in the making, purchasing, holding or otherwise investing in commercial loans, bonds and similar extensions of credit in the ordinary course.</w:t>
      </w:r>
    </w:p>
    <w:p>
      <w:pPr>
        <w:spacing w:after="0" w:line="14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Debtor Relief Laws</w:t>
      </w:r>
      <w:r>
        <w:rPr>
          <w:rFonts w:ascii="Arial" w:cs="Arial" w:eastAsia="Arial" w:hAnsi="Arial"/>
          <w:sz w:val="19"/>
          <w:szCs w:val="19"/>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Declined Proceeds</w:t>
      </w:r>
      <w:r>
        <w:rPr>
          <w:rFonts w:ascii="Arial" w:cs="Arial" w:eastAsia="Arial" w:hAnsi="Arial"/>
          <w:sz w:val="21"/>
          <w:szCs w:val="21"/>
          <w:color w:val="auto"/>
        </w:rPr>
        <w:t>” has the meaning set forth in Section 2.05(b)(viii).</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means any event or condition that constitutes an Event of Default or that, with the giving of any notice, the passage of time, or both, would be an Event of Default.</w:t>
      </w:r>
    </w:p>
    <w:p>
      <w:pPr>
        <w:spacing w:after="0" w:line="144"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 Rate</w:t>
      </w:r>
      <w:r>
        <w:rPr>
          <w:rFonts w:ascii="Arial" w:cs="Arial" w:eastAsia="Arial" w:hAnsi="Arial"/>
          <w:sz w:val="20"/>
          <w:szCs w:val="20"/>
          <w:color w:val="auto"/>
        </w:rPr>
        <w:t xml:space="preserve">” means an interest rate equal to (a) the Base Rate plus (b) the Applicable Rate applicable to Base Rate Loans plus (c) 2.0% per annum;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with respect to the overdue principal or interest in respect of a Term SOFR Loan or Eurocurrency Rate Loan, the Default Rate shall be an interest rate equal to the interest rate (including any Applicable Rate) otherwise applicable to such Loan, plus 2.0% per annum, in each case to the fullest extent permitted by applicable Laws.</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Defaulting Lender</w:t>
      </w:r>
      <w:r>
        <w:rPr>
          <w:rFonts w:ascii="Arial" w:cs="Arial" w:eastAsia="Arial" w:hAnsi="Arial"/>
          <w:sz w:val="21"/>
          <w:szCs w:val="21"/>
          <w:color w:val="auto"/>
        </w:rPr>
        <w:t>” means any Lender whose acts or failure to act, whether directly or indirectly, cause it to meet any part of the definition of “Lender Default.”</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Delaware Divided LLC</w:t>
      </w:r>
      <w:r>
        <w:rPr>
          <w:rFonts w:ascii="Arial" w:cs="Arial" w:eastAsia="Arial" w:hAnsi="Arial"/>
          <w:sz w:val="21"/>
          <w:szCs w:val="21"/>
          <w:color w:val="auto"/>
        </w:rPr>
        <w:t>” means any Delaware LLC which has been formed upon the consummation of a Delaware LLC Division.</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Delaware LLC</w:t>
      </w:r>
      <w:r>
        <w:rPr>
          <w:rFonts w:ascii="Arial" w:cs="Arial" w:eastAsia="Arial" w:hAnsi="Arial"/>
          <w:sz w:val="21"/>
          <w:szCs w:val="21"/>
          <w:color w:val="auto"/>
        </w:rPr>
        <w:t>” means any limited liability company organized or formed under the laws of the State of Delaware.</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Delaware LLC Division</w:t>
      </w:r>
      <w:r>
        <w:rPr>
          <w:rFonts w:ascii="Arial" w:cs="Arial" w:eastAsia="Arial" w:hAnsi="Arial"/>
          <w:sz w:val="21"/>
          <w:szCs w:val="21"/>
          <w:color w:val="auto"/>
        </w:rPr>
        <w:t>” means the statutory division of any Delaware LLC into two or more Delaware LLCs pursuant to Section 18-217 of the Delaware Limited Liability Company Act.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Equity Contribution</w:t>
      </w:r>
      <w:r>
        <w:rPr>
          <w:rFonts w:ascii="Arial" w:cs="Arial" w:eastAsia="Arial" w:hAnsi="Arial"/>
          <w:sz w:val="21"/>
          <w:szCs w:val="21"/>
          <w:color w:val="auto"/>
        </w:rPr>
        <w:t>” has the meaning set forth in Section 8.05(a).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Prepayment Accepting Lender</w:t>
      </w:r>
      <w:r>
        <w:rPr>
          <w:rFonts w:ascii="Arial" w:cs="Arial" w:eastAsia="Arial" w:hAnsi="Arial"/>
          <w:sz w:val="21"/>
          <w:szCs w:val="21"/>
          <w:color w:val="auto"/>
        </w:rPr>
        <w:t>” has the meaning set forth in Section 2.05(a)(v)(B)(1).</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Range</w:t>
      </w:r>
      <w:r>
        <w:rPr>
          <w:rFonts w:ascii="Arial" w:cs="Arial" w:eastAsia="Arial" w:hAnsi="Arial"/>
          <w:sz w:val="21"/>
          <w:szCs w:val="21"/>
          <w:color w:val="auto"/>
        </w:rPr>
        <w:t>” has the meaning set forth in Section 2.05(a)(v)(C)(1).</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Range Prepayment Amount</w:t>
      </w:r>
      <w:r>
        <w:rPr>
          <w:rFonts w:ascii="Arial" w:cs="Arial" w:eastAsia="Arial" w:hAnsi="Arial"/>
          <w:sz w:val="21"/>
          <w:szCs w:val="21"/>
          <w:color w:val="auto"/>
        </w:rPr>
        <w:t>” has the meaning set forth in Section 2.05(a)(v)(C)(1).</w:t>
      </w:r>
    </w:p>
    <w:p>
      <w:pPr>
        <w:spacing w:after="0" w:line="171" w:lineRule="exact"/>
        <w:rPr>
          <w:sz w:val="20"/>
          <w:szCs w:val="20"/>
          <w:color w:val="auto"/>
        </w:rPr>
      </w:pPr>
    </w:p>
    <w:p>
      <w:pPr>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Range Prepayment Notice</w:t>
      </w:r>
      <w:r>
        <w:rPr>
          <w:rFonts w:ascii="Arial" w:cs="Arial" w:eastAsia="Arial" w:hAnsi="Arial"/>
          <w:sz w:val="21"/>
          <w:szCs w:val="21"/>
          <w:color w:val="auto"/>
        </w:rPr>
        <w:t>” means a written notice of a Borrower Solicitation of Discount Range Prepayment Offers made pursuant to Section 2.05(a)(v)(C)(1) substantially in the form of Exhibit L-4.</w:t>
      </w:r>
    </w:p>
    <w:p>
      <w:pPr>
        <w:spacing w:after="0" w:line="144" w:lineRule="exact"/>
        <w:rPr>
          <w:sz w:val="20"/>
          <w:szCs w:val="20"/>
          <w:color w:val="auto"/>
        </w:rPr>
      </w:pPr>
    </w:p>
    <w:p>
      <w:pPr>
        <w:ind w:firstLine="61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Offer</w:t>
      </w:r>
      <w:r>
        <w:rPr>
          <w:rFonts w:ascii="Arial" w:cs="Arial" w:eastAsia="Arial" w:hAnsi="Arial"/>
          <w:sz w:val="19"/>
          <w:szCs w:val="19"/>
          <w:color w:val="auto"/>
        </w:rPr>
        <w:t>” means the irrevocable written offer by a Lender, substantially in the form of Exhibit L-5, submitted in response to an invitation to submit offers following the Auction Agent’s receipt of a Discount Range Prepayment Notice.</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Range Prepayment Response Date</w:t>
      </w:r>
      <w:r>
        <w:rPr>
          <w:rFonts w:ascii="Arial" w:cs="Arial" w:eastAsia="Arial" w:hAnsi="Arial"/>
          <w:sz w:val="21"/>
          <w:szCs w:val="21"/>
          <w:color w:val="auto"/>
        </w:rPr>
        <w:t>” has the meaning set forth in Section 2.05(a)(v)(C)(1).</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Range Proration</w:t>
      </w:r>
      <w:r>
        <w:rPr>
          <w:rFonts w:ascii="Arial" w:cs="Arial" w:eastAsia="Arial" w:hAnsi="Arial"/>
          <w:sz w:val="21"/>
          <w:szCs w:val="21"/>
          <w:color w:val="auto"/>
        </w:rPr>
        <w:t>” has the meaning set forth in Section 2.05(a)(v)(C)(3).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Discounted Prepayment Determination Date</w:t>
      </w:r>
      <w:r>
        <w:rPr>
          <w:rFonts w:ascii="Arial" w:cs="Arial" w:eastAsia="Arial" w:hAnsi="Arial"/>
          <w:sz w:val="21"/>
          <w:szCs w:val="21"/>
          <w:color w:val="auto"/>
        </w:rPr>
        <w:t>” has the meaning set forth in Section 2.05(a)(v)(D)(3).</w:t>
      </w:r>
    </w:p>
    <w:p>
      <w:pPr>
        <w:spacing w:after="0" w:line="171" w:lineRule="exact"/>
        <w:rPr>
          <w:sz w:val="20"/>
          <w:szCs w:val="20"/>
          <w:color w:val="auto"/>
        </w:rPr>
      </w:pPr>
    </w:p>
    <w:p>
      <w:pPr>
        <w:jc w:val="both"/>
        <w:ind w:firstLine="6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Discounted Prepayment Effective Date</w:t>
      </w:r>
      <w:r>
        <w:rPr>
          <w:rFonts w:ascii="Arial" w:cs="Arial" w:eastAsia="Arial" w:hAnsi="Arial"/>
          <w:sz w:val="19"/>
          <w:szCs w:val="19"/>
          <w:color w:val="auto"/>
        </w:rPr>
        <w:t>” means in the case of a Borrower Offer of Specified Discount Prepayment, Borrower Solicitation of Discount Range Prepayment Offer or Borrower Solicitation of Discounted Prepayment Offer, five (5) Business Days following the Specified Discount Prepayment Response Date, the Discount Range Prepayment Response Date or the Solicited Discounted Prepayment Response Date, as applicable, in accordance with Section 2.05(a)(v)(B)(1), Section 2.05(a)(v)(C)(1) or Section 2.05(a)(v)(D)(1), respectively, unless a shorter period is agreed to between the Borrower and the Auction Agent.</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Discounted Term Loan Prepayment</w:t>
      </w:r>
      <w:r>
        <w:rPr>
          <w:rFonts w:ascii="Arial" w:cs="Arial" w:eastAsia="Arial" w:hAnsi="Arial"/>
          <w:sz w:val="21"/>
          <w:szCs w:val="21"/>
          <w:color w:val="auto"/>
        </w:rPr>
        <w:t>” has the meaning set forth in Section 2.05(a)(v)(A).</w:t>
      </w:r>
    </w:p>
    <w:p>
      <w:pPr>
        <w:spacing w:after="0" w:line="171"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Disposed EBITDA</w:t>
      </w:r>
      <w:r>
        <w:rPr>
          <w:rFonts w:ascii="Arial" w:cs="Arial" w:eastAsia="Arial" w:hAnsi="Arial"/>
          <w:sz w:val="21"/>
          <w:szCs w:val="21"/>
          <w:color w:val="auto"/>
        </w:rPr>
        <w:t>” means, with respect to any Sold Entity or Business or any Converted Unrestricted Subsidiary for any period, the amount for such period of Consolidated EBITDA of such Sold Entity or Business (determined as if references to the Borrower and the Restricted Subsidiaries in the definition of Consolidated EBITDA (and in the component definitions used therein) were references to such Sold Entity or Business and its Subsidiaries or such Converted Unrestricted Subsidiary and its Subsidiaries) or such Converted Unrestricted Subsidiary, all as determined on a consolidated basis for such Sold Entity or Business or such Converted Unrestricted Subsidiary.</w:t>
      </w:r>
    </w:p>
    <w:p>
      <w:pPr>
        <w:spacing w:after="0" w:line="14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the sale, transfer, license, lease or other disposition (including any sale and leaseback transaction and any sale or issuance of Equity Interests in a Restricted Subsidiary) of any property by any Person, including any sale, assignment, transfer or other disposal, with or without recourse, of any notes or accounts receivable or any rights and claims associated therewith and including any disposition of property to a Delaware Divided LLC pursuant to a Delaware LLC Division;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“Disposition” and “Dispose” shall not be deemed to include any issuance by Holdings of any of its Equity Interests to another Person.</w:t>
      </w:r>
    </w:p>
    <w:p>
      <w:pPr>
        <w:spacing w:after="0" w:line="129"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Disqualified Equity Interests</w:t>
      </w:r>
      <w:r>
        <w:rPr>
          <w:rFonts w:ascii="Arial" w:cs="Arial" w:eastAsia="Arial" w:hAnsi="Arial"/>
          <w:sz w:val="20"/>
          <w:szCs w:val="20"/>
          <w:color w:val="auto"/>
        </w:rPr>
        <w:t>”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termination or expiration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316" w:lineRule="exact"/>
        <w:rPr>
          <w:sz w:val="20"/>
          <w:szCs w:val="20"/>
          <w:color w:val="auto"/>
        </w:rPr>
      </w:pPr>
    </w:p>
    <w:p>
      <w:pPr>
        <w:jc w:val="both"/>
        <w:ind w:firstLine="6"/>
        <w:spacing w:after="0" w:line="220" w:lineRule="auto"/>
        <w:rPr>
          <w:sz w:val="20"/>
          <w:szCs w:val="20"/>
          <w:color w:val="auto"/>
        </w:rPr>
      </w:pPr>
      <w:r>
        <w:rPr>
          <w:rFonts w:ascii="Arial" w:cs="Arial" w:eastAsia="Arial" w:hAnsi="Arial"/>
          <w:sz w:val="20"/>
          <w:szCs w:val="20"/>
          <w:color w:val="auto"/>
        </w:rPr>
        <w:t xml:space="preserve">repayment in full of the Loans and all other Obligations that are accrued and payable and the termination of the Commitments and the expiration or termination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of issuance of such Equity Interests;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Equity Interests are issued pursuant to a plan for the benefit of future, present or former employees, directors, officers, managers or consultants (or their respective Controlled Investment Affiliates or Immediate Family Members) of Holdings (or any direct or indirect parent thereof), the Borrower or the Restricted Subsidiaries or by any such plan to such employees, such Equity Interests shall not constitute Disqualified Equity Interests solely because it may be required to be repurchased by the Borrower or its Restricted Subsidiaries in order to satisfy applicable statutory or regulatory obligations.</w:t>
      </w:r>
    </w:p>
    <w:p>
      <w:pPr>
        <w:spacing w:after="0" w:line="172"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Disqualified Lenders</w:t>
      </w:r>
      <w:r>
        <w:rPr>
          <w:rFonts w:ascii="Arial" w:cs="Arial" w:eastAsia="Arial" w:hAnsi="Arial"/>
          <w:sz w:val="20"/>
          <w:szCs w:val="20"/>
          <w:color w:val="auto"/>
        </w:rPr>
        <w:t xml:space="preserve">” means (i) those Persons identified by the Borrower (or one of its Affiliates) or the Sponsor to the Administrative Agent in writing prior to the Restatement Date, (ii) competitors (and such competitors’ sponsors and Affiliates identified in writing or reasonably identifiable as such solely on the basis of their names) of the Borrower identified by the Borrower to the Administrative Agent in writing (x) prior to the Restatement Date and (y) thereafter (including after the Restatement Date) from time to time and (iii) any Affiliate of any Person described in clause (i) or competitor described in clause (ii) that is identified by the Borrower to the Administrative Agent in writing from time to time or reasonably identifiable by name as an Affiliate of such Person, in each case, other than an Affiliate of such Person that is a Bona Fide Debt Fund; it being understood that the Borrower may withhold its consent with respect to an assignment to any Person that is known by the Borrower to be an affiliate of a Disqualified Lender regardless of whether such Person is reasonably identifiable as an Affiliate of such Disqualified Lender on the basis of such Affiliate’s name (other than a Bona Fide Debt Fund);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updates to the list of Disqualified Lenders shall be deemed to retroactively disqualify any parties that have previously validly acquired an assignment or participation in respect of the Loans from continuing to hold or vote such previously acquired assignments and participations on the terms set forth herein for Lenders that are not Disqualified Lenders. The list of Disqualified Lenders shall be made available to any Lender upon request to the Administrative Agent, subject to customary confidentiality requirements.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Distressed Person</w:t>
      </w:r>
      <w:r>
        <w:rPr>
          <w:rFonts w:ascii="Arial" w:cs="Arial" w:eastAsia="Arial" w:hAnsi="Arial"/>
          <w:sz w:val="21"/>
          <w:szCs w:val="21"/>
          <w:color w:val="auto"/>
        </w:rPr>
        <w:t>” has the meaning set forth in the definition of “Lender-Related Distress Event.”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Dollar</w:t>
      </w:r>
      <w:r>
        <w:rPr>
          <w:rFonts w:ascii="Arial" w:cs="Arial" w:eastAsia="Arial" w:hAnsi="Arial"/>
          <w:sz w:val="21"/>
          <w:szCs w:val="21"/>
          <w:color w:val="auto"/>
        </w:rPr>
        <w:t>” and “</w:t>
      </w:r>
      <w:r>
        <w:rPr>
          <w:rFonts w:ascii="Arial" w:cs="Arial" w:eastAsia="Arial" w:hAnsi="Arial"/>
          <w:sz w:val="21"/>
          <w:szCs w:val="21"/>
          <w:b w:val="1"/>
          <w:bCs w:val="1"/>
          <w:color w:val="auto"/>
        </w:rPr>
        <w:t>$</w:t>
      </w:r>
      <w:r>
        <w:rPr>
          <w:rFonts w:ascii="Arial" w:cs="Arial" w:eastAsia="Arial" w:hAnsi="Arial"/>
          <w:sz w:val="21"/>
          <w:szCs w:val="21"/>
          <w:color w:val="auto"/>
        </w:rPr>
        <w:t>” mean lawful money of the United States.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Dollar Denominated Letter of Credit</w:t>
      </w:r>
      <w:r>
        <w:rPr>
          <w:rFonts w:ascii="Arial" w:cs="Arial" w:eastAsia="Arial" w:hAnsi="Arial"/>
          <w:sz w:val="21"/>
          <w:szCs w:val="21"/>
          <w:color w:val="auto"/>
        </w:rPr>
        <w:t>” means any Letter of Credit incurred in Dollars.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Dollar Denominated Loan</w:t>
      </w:r>
      <w:r>
        <w:rPr>
          <w:rFonts w:ascii="Arial" w:cs="Arial" w:eastAsia="Arial" w:hAnsi="Arial"/>
          <w:sz w:val="21"/>
          <w:szCs w:val="21"/>
          <w:color w:val="auto"/>
        </w:rPr>
        <w:t>” means any Loan incurred in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means, for any amount, at the time of determination thereof, (a) if such amount is expressed in Dollars, such amount, (b) if such amount is expressed in an Approved Foreign Currency, the equivalent of such amount in Dollars determined by using the rate of exchange for the purchase of Dollars with such Approved Foreign Currency last provided (either by publication or otherwise provided to the Administrative Agent) by the applicable Thompson Reuters Corp. (“</w:t>
      </w:r>
      <w:r>
        <w:rPr>
          <w:rFonts w:ascii="Arial" w:cs="Arial" w:eastAsia="Arial" w:hAnsi="Arial"/>
          <w:sz w:val="18"/>
          <w:szCs w:val="18"/>
          <w:b w:val="1"/>
          <w:bCs w:val="1"/>
          <w:color w:val="auto"/>
        </w:rPr>
        <w:t>Reuters</w:t>
      </w:r>
      <w:r>
        <w:rPr>
          <w:rFonts w:ascii="Arial" w:cs="Arial" w:eastAsia="Arial" w:hAnsi="Arial"/>
          <w:sz w:val="18"/>
          <w:szCs w:val="18"/>
          <w:color w:val="auto"/>
        </w:rPr>
        <w:t>”) source on the Business Day (New York City time) immediately preceding the date of determination or if such service ceases to be available or ceases to provide a rate of exchange for the purchase of Dollars with the applicable Approved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w:t>
      </w:r>
    </w:p>
    <w:p>
      <w:pPr>
        <w:spacing w:after="0" w:line="2" w:lineRule="exact"/>
        <w:rPr>
          <w:sz w:val="20"/>
          <w:szCs w:val="20"/>
          <w:color w:val="auto"/>
        </w:rPr>
      </w:pPr>
    </w:p>
    <w:p>
      <w:pPr>
        <w:ind w:firstLine="3"/>
        <w:spacing w:after="0" w:line="224" w:lineRule="auto"/>
        <w:tabs>
          <w:tab w:leader="none" w:pos="286" w:val="left"/>
        </w:tabs>
        <w:numPr>
          <w:ilvl w:val="0"/>
          <w:numId w:val="53"/>
        </w:numPr>
        <w:rPr>
          <w:rFonts w:ascii="Arial" w:cs="Arial" w:eastAsia="Arial" w:hAnsi="Arial"/>
          <w:sz w:val="21"/>
          <w:szCs w:val="21"/>
          <w:color w:val="auto"/>
        </w:rPr>
      </w:pPr>
      <w:r>
        <w:rPr>
          <w:rFonts w:ascii="Arial" w:cs="Arial" w:eastAsia="Arial" w:hAnsi="Arial"/>
          <w:sz w:val="21"/>
          <w:szCs w:val="21"/>
          <w:color w:val="auto"/>
        </w:rPr>
        <w:t>if such amount is denominated in any other currency, the equivalent of such amount in Dollars as determined by the Administrative Agent using any method of determination it deems appropriate in its sole discretion.</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Domestic Subsidiary</w:t>
      </w:r>
      <w:r>
        <w:rPr>
          <w:rFonts w:ascii="Arial" w:cs="Arial" w:eastAsia="Arial" w:hAnsi="Arial"/>
          <w:sz w:val="21"/>
          <w:szCs w:val="21"/>
          <w:color w:val="auto"/>
        </w:rPr>
        <w:t>” means any Subsidiary that is organized under the Laws of the United States, any state thereof or the District of Columbia.</w:t>
      </w:r>
    </w:p>
    <w:p>
      <w:pPr>
        <w:spacing w:after="0" w:line="144"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EEA Financial Institution</w:t>
      </w:r>
      <w:r>
        <w:rPr>
          <w:rFonts w:ascii="Arial" w:cs="Arial" w:eastAsia="Arial" w:hAnsi="Arial"/>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83"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EEA Resolution Authority</w:t>
      </w:r>
      <w:r>
        <w:rPr>
          <w:rFonts w:ascii="Arial" w:cs="Arial" w:eastAsia="Arial" w:hAnsi="Arial"/>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3"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Yield</w:t>
      </w:r>
      <w:r>
        <w:rPr>
          <w:rFonts w:ascii="Arial" w:cs="Arial" w:eastAsia="Arial" w:hAnsi="Arial"/>
          <w:sz w:val="18"/>
          <w:szCs w:val="18"/>
          <w:color w:val="auto"/>
        </w:rPr>
        <w:t>” means, as to any Loans of any Class, the effective yield on such Loans in an amount equal to the sum of (a) the applicable margin, (b) the interest rate (exclusive of applicable margin) after giving effect to any interest rate floors or similar devices and (c) all upfront or similar fees and OID (amortized over the shorter of (x) the original stated life of such Loans and (y) the four years following the date of incurrence thereof) payable generally to Lenders making such Loans, but excluding amendment fees, arrangement fees, structuring fees, commitment fees, underwriting fees or other fees payable to any lead arranger (or its affiliates) in connection with the commitment or syndication of such Indebtedness, consent fees paid to consenting Lenders, ticking fees on undrawn commitments and any other fees not paid or payable generally to all Lenders in the primary syndication of such Indebtedness.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Assignee</w:t>
      </w:r>
      <w:r>
        <w:rPr>
          <w:rFonts w:ascii="Arial" w:cs="Arial" w:eastAsia="Arial" w:hAnsi="Arial"/>
          <w:sz w:val="21"/>
          <w:szCs w:val="21"/>
          <w:color w:val="auto"/>
        </w:rPr>
        <w:t>” has the meaning set forth in Section 10.07(a).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Engagement Letter</w:t>
      </w:r>
      <w:r>
        <w:rPr>
          <w:rFonts w:ascii="Arial" w:cs="Arial" w:eastAsia="Arial" w:hAnsi="Arial"/>
          <w:sz w:val="20"/>
          <w:szCs w:val="20"/>
          <w:color w:val="auto"/>
        </w:rPr>
        <w:t>” means that certain Engagement Letter, dated August 19, 2022, among Holdings and JPMorgan.</w:t>
      </w:r>
    </w:p>
    <w:p>
      <w:pPr>
        <w:spacing w:after="0" w:line="18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w:t>
      </w:r>
      <w:r>
        <w:rPr>
          <w:rFonts w:ascii="Arial" w:cs="Arial" w:eastAsia="Arial" w:hAnsi="Arial"/>
          <w:sz w:val="21"/>
          <w:szCs w:val="21"/>
          <w:color w:val="auto"/>
        </w:rPr>
        <w:t>” means indoor air, ambient air, surface water, groundwater, drinking water, land surface, subsurface strata and natural resources such as wetlands, flora and fauna.</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Laws</w:t>
      </w:r>
      <w:r>
        <w:rPr>
          <w:rFonts w:ascii="Arial" w:cs="Arial" w:eastAsia="Arial" w:hAnsi="Arial"/>
          <w:sz w:val="21"/>
          <w:szCs w:val="21"/>
          <w:color w:val="auto"/>
        </w:rPr>
        <w:t>” means any applicable Law relating to pollution, protection of the Environment and natural resources, Hazardous Materials, or the protection of human health and safety as it relates to exposure to Hazardous Materials, including any applicable provisions of CERCLA.</w:t>
      </w:r>
    </w:p>
    <w:p>
      <w:pPr>
        <w:spacing w:after="0" w:line="143"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Liability</w:t>
      </w:r>
      <w:r>
        <w:rPr>
          <w:rFonts w:ascii="Arial" w:cs="Arial" w:eastAsia="Arial" w:hAnsi="Arial"/>
          <w:sz w:val="21"/>
          <w:szCs w:val="21"/>
          <w:color w:val="auto"/>
        </w:rPr>
        <w:t>” means any liability, contingent or otherwise (including any liability for damages, costs of investigation and remediation, fines, penalties or indemnities), of or relating to the Loan Parties or any of their respective Subsidiaries directly or indirectly resulting from or based upon (a) violation of, or liability under or relating to, any Environmental Law, (b) the generation, use, handling, transportation, storage, treatment or disposal of any Hazardous Materials, (c) exposure to any Hazardous Materials or (d) the actual or alleged presence, Release or threatened Release of any Hazardous Materials, including, in each case of (a) through (d), any such liability which any Loan Party has retained or assumed pursuant to any written contract, agreement or other consensual arrangement.</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Permit</w:t>
      </w:r>
      <w:r>
        <w:rPr>
          <w:rFonts w:ascii="Arial" w:cs="Arial" w:eastAsia="Arial" w:hAnsi="Arial"/>
          <w:sz w:val="21"/>
          <w:szCs w:val="21"/>
          <w:color w:val="auto"/>
        </w:rPr>
        <w:t>” means any permit, approval, identification number, license or other authorization required under any Environmental Law.</w:t>
      </w:r>
    </w:p>
    <w:p>
      <w:pPr>
        <w:spacing w:after="0" w:line="14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Interests</w:t>
      </w:r>
      <w:r>
        <w:rPr>
          <w:rFonts w:ascii="Arial" w:cs="Arial" w:eastAsia="Arial" w:hAnsi="Arial"/>
          <w:sz w:val="21"/>
          <w:szCs w:val="21"/>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Equityholding Vehicle</w:t>
      </w:r>
      <w:r>
        <w:rPr>
          <w:rFonts w:ascii="Arial" w:cs="Arial" w:eastAsia="Arial" w:hAnsi="Arial"/>
          <w:sz w:val="21"/>
          <w:szCs w:val="21"/>
          <w:color w:val="auto"/>
        </w:rPr>
        <w:t>” means any direct or indirect parent entity of the Borrower and any equityholder thereof through which Management Stockholders hold Equity Interests of the Borrower or such parent entity.</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w:t>
      </w:r>
      <w:r>
        <w:rPr>
          <w:rFonts w:ascii="Arial" w:cs="Arial" w:eastAsia="Arial" w:hAnsi="Arial"/>
          <w:sz w:val="21"/>
          <w:szCs w:val="21"/>
          <w:color w:val="auto"/>
        </w:rPr>
        <w:t>” means the Employee Retirement Income Security Act of 1974, as amended from time to time.</w:t>
      </w:r>
    </w:p>
    <w:p>
      <w:pPr>
        <w:spacing w:after="0" w:line="171"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means any trade or business (whether or not incorporated) that, together with a Loan Party or any Restricted Subsidiary, is treated as a single employer under Section 414(b) or (c) of the Code, or solely for purposes of Section 302 of ERISA and Section 412 of the Code, is treated as a single employer under Section 414(m) or (o) of the Code.</w:t>
      </w:r>
    </w:p>
    <w:p>
      <w:pPr>
        <w:spacing w:after="0" w:line="14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Event</w:t>
      </w:r>
      <w:r>
        <w:rPr>
          <w:rFonts w:ascii="Arial" w:cs="Arial" w:eastAsia="Arial" w:hAnsi="Arial"/>
          <w:sz w:val="19"/>
          <w:szCs w:val="19"/>
          <w:color w:val="auto"/>
        </w:rPr>
        <w:t>” means (a) a Reportable Event; (b) a withdrawal by a Loan Party, any Restricted Subsidiary or any ERISA Affiliate from a Pension Plan subject to Section 4063 of ERISA during a plan year in which it was a substantial employer (as defined in Section 4001(a)(2) of ERISA) or a cessation of operations that is treated as such a withdrawal under Section 4062(e)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316" w:lineRule="exact"/>
        <w:rPr>
          <w:sz w:val="20"/>
          <w:szCs w:val="20"/>
          <w:color w:val="auto"/>
        </w:rPr>
      </w:pPr>
    </w:p>
    <w:p>
      <w:pPr>
        <w:jc w:val="both"/>
        <w:ind w:firstLine="6"/>
        <w:spacing w:after="0" w:line="234" w:lineRule="auto"/>
        <w:rPr>
          <w:sz w:val="20"/>
          <w:szCs w:val="20"/>
          <w:color w:val="auto"/>
        </w:rPr>
      </w:pPr>
      <w:r>
        <w:rPr>
          <w:rFonts w:ascii="Arial" w:cs="Arial" w:eastAsia="Arial" w:hAnsi="Arial"/>
          <w:sz w:val="19"/>
          <w:szCs w:val="19"/>
          <w:color w:val="auto"/>
        </w:rPr>
        <w:t>of ERISA; (c) a complete or partial withdrawal by a Loan Party, any Restricted Subsidiary or any ERISA Affiliate from a Multiemployer Plan; (d) the filing by the PBGC of a notice of intent to terminate any Pension Plan, the treatment of a Pension Plan or Multiemployer Plan amendment as a termination under Section 4041 or Section 4041A of ERISA, respectively, or the commencement of proceedings by the PBGC to terminate a Pension Plan or Multiemployer Plan; (e) appointment of a trustee to administer any Pension Plan or Multiemployer Plan; (f) with respect to a Pension Plan, the failure to satisfy the minimum funding standards (within the meaning of Section 412 of the Code or Section 302 of ERISA) applicable to such Pension Plan, whether or not waived; (g) any Foreign Benefit Event; or (h) the imposition of any liability under Title IV of ERISA, other than for PBGC premiums due but not delinquent under Section 4007 of ERISA, upon a Loan Party, any Restricted Subsidiary or any ERISA Affiliate.</w:t>
      </w:r>
    </w:p>
    <w:p>
      <w:pPr>
        <w:spacing w:after="0" w:line="172"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EU Bail-In Legislation Schedule</w:t>
      </w:r>
      <w:r>
        <w:rPr>
          <w:rFonts w:ascii="Arial" w:cs="Arial" w:eastAsia="Arial" w:hAnsi="Arial"/>
          <w:sz w:val="21"/>
          <w:szCs w:val="21"/>
          <w:color w:val="auto"/>
        </w:rPr>
        <w:t>” means the EU Bail-In Legislation Schedule published by the Loan Market Association (or any successor person), as in effect from time to time.</w:t>
      </w:r>
    </w:p>
    <w:p>
      <w:pPr>
        <w:spacing w:after="0" w:line="144"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EURIBOR Screen Rate</w:t>
      </w:r>
      <w:r>
        <w:rPr>
          <w:rFonts w:ascii="Arial" w:cs="Arial" w:eastAsia="Arial" w:hAnsi="Arial"/>
          <w:sz w:val="20"/>
          <w:szCs w:val="20"/>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0.00%, the EURIBOR Screen Rate shall be deemed to be 0.00% for purposes of this Agreement.</w:t>
      </w:r>
    </w:p>
    <w:p>
      <w:pPr>
        <w:spacing w:after="0" w:line="147" w:lineRule="exact"/>
        <w:rPr>
          <w:sz w:val="20"/>
          <w:szCs w:val="20"/>
          <w:color w:val="auto"/>
        </w:rPr>
      </w:pPr>
    </w:p>
    <w:p>
      <w:pPr>
        <w:jc w:val="both"/>
        <w:ind w:firstLine="619"/>
        <w:spacing w:after="0" w:line="31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means the single currency of participating member states of the economic and monetary union in accordance with the Treaty of Rome 1957, as amended by the Single European Act 1986, the Maastricht Treaty of 1992 and the Amsterdam Treaty of 1998.</w:t>
      </w:r>
    </w:p>
    <w:p>
      <w:pPr>
        <w:spacing w:after="0" w:line="82"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Eurocurrency Rate</w:t>
      </w:r>
      <w:r>
        <w:rPr>
          <w:rFonts w:ascii="Arial" w:cs="Arial" w:eastAsia="Arial" w:hAnsi="Arial"/>
          <w:sz w:val="18"/>
          <w:szCs w:val="18"/>
          <w:color w:val="auto"/>
        </w:rPr>
        <w:t xml:space="preserve">” means, (1) with respect to any Eurocurrency Rate Loans denominated in any Approved Foreign Currency (other than Euros), for any Interest Period, the applicable Agreed Approved Foreign Currency Reference Rate and (2) with respect to any Eurocurrency Rate Loans denominated in Euros, for any Interest Period, the EURIBOR Screen Rate at approximately 11:00 a.m., London time, two (2) Business Days prior to the commencement of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that if any Agreed Approved Foreign Currency Reference Rate or the EURIBOR Screen Rate, as applicable, shall not be available at such time for such Interest Period (an “</w:t>
      </w:r>
      <w:r>
        <w:rPr>
          <w:rFonts w:ascii="Arial" w:cs="Arial" w:eastAsia="Arial" w:hAnsi="Arial"/>
          <w:sz w:val="18"/>
          <w:szCs w:val="18"/>
          <w:b w:val="1"/>
          <w:bCs w:val="1"/>
          <w:i w:val="1"/>
          <w:iCs w:val="1"/>
          <w:color w:val="auto"/>
        </w:rPr>
        <w:t>Impacted Interest Period</w:t>
      </w:r>
      <w:r>
        <w:rPr>
          <w:rFonts w:ascii="Arial" w:cs="Arial" w:eastAsia="Arial" w:hAnsi="Arial"/>
          <w:sz w:val="18"/>
          <w:szCs w:val="18"/>
          <w:color w:val="auto"/>
        </w:rPr>
        <w:t>”) with respect to the applicable Approved Foreign Currency, then the Eurocurrency Rate with respect to such Approved Foreign Currency shall be the Interpolated Rate, (y) if (i) the Borrower and the Administrative Agent reasonably determine in good faith that an interest rate is not ascertainable pursuant to the foregoing provisions of this definition and the inability to ascertain such rate is unlikely to be temporary or (ii) the circumstances set forth in the preceding clause (i) have not arisen but the supervisor for the administrator of an applicable Agreed Approved Foreign Currency Reference Rate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316" w:lineRule="exact"/>
        <w:rPr>
          <w:sz w:val="20"/>
          <w:szCs w:val="20"/>
          <w:color w:val="auto"/>
        </w:rPr>
      </w:pPr>
    </w:p>
    <w:p>
      <w:pPr>
        <w:jc w:val="both"/>
        <w:ind w:firstLine="6"/>
        <w:spacing w:after="0" w:line="242" w:lineRule="auto"/>
        <w:rPr>
          <w:sz w:val="20"/>
          <w:szCs w:val="20"/>
          <w:color w:val="auto"/>
        </w:rPr>
      </w:pPr>
      <w:r>
        <w:rPr>
          <w:rFonts w:ascii="Arial" w:cs="Arial" w:eastAsia="Arial" w:hAnsi="Arial"/>
          <w:sz w:val="18"/>
          <w:szCs w:val="18"/>
          <w:color w:val="auto"/>
        </w:rPr>
        <w:t>EURIBOR Screen Rate, as applicable, or a Governmental Authority having jurisdiction over the Administrative Agent has made a public statement identifying a specific date after which an applicable Agreed Approved Foreign Currency Reference Rate or the EURIBOR Screen Rate, as applicable, shall no longer be used for determining interest rates for loans, the “Eurocurrency Rate” shall be an alternate rate of interest established by the Administrative Agent and the Borrower that is generally accepted as the then prevailing market convention for determining a rate of interest for loans in the United States at such time and shall include (A) the spread or method for determining a spread or other adjustment or modification that is generally accepted as the then prevailing market convention for determining such spread, method, adjustment or modification and (B) other adjustments to such alternate rate and this Agreement</w:t>
      </w:r>
    </w:p>
    <w:p>
      <w:pPr>
        <w:spacing w:after="0" w:line="1" w:lineRule="exact"/>
        <w:rPr>
          <w:sz w:val="20"/>
          <w:szCs w:val="20"/>
          <w:color w:val="auto"/>
        </w:rPr>
      </w:pPr>
    </w:p>
    <w:p>
      <w:pPr>
        <w:jc w:val="both"/>
        <w:ind w:firstLine="3"/>
        <w:spacing w:after="0" w:line="229" w:lineRule="auto"/>
        <w:tabs>
          <w:tab w:leader="none" w:pos="31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to not increase or decrease pricing in effect at the time of selection of such alternate rate (but for the avoidance of doubt which would not reduce the Applicable Rate) and (y) other changes necessary to reflect the available interest periods for such alternate rate) for loans in the United States at such time (any such rate, the “</w:t>
      </w:r>
      <w:r>
        <w:rPr>
          <w:rFonts w:ascii="Arial" w:cs="Arial" w:eastAsia="Arial" w:hAnsi="Arial"/>
          <w:sz w:val="19"/>
          <w:szCs w:val="19"/>
          <w:b w:val="1"/>
          <w:bCs w:val="1"/>
          <w:color w:val="auto"/>
        </w:rPr>
        <w:t>Successor Eurocurrency Benchmark Rate</w:t>
      </w:r>
      <w:r>
        <w:rPr>
          <w:rFonts w:ascii="Arial" w:cs="Arial" w:eastAsia="Arial" w:hAnsi="Arial"/>
          <w:sz w:val="19"/>
          <w:szCs w:val="19"/>
          <w:color w:val="auto"/>
        </w:rPr>
        <w:t xml:space="preserve">”), and the Administrative Agent and the Borrower shall enter into an amendment to this Agreement to reflect such alternate rate of interest and such other related changes to this Agreement as may be applicable and, notwithstanding anything to the contrary in Section 10.01, such amendment shall become effective without any further action or consent of any other party to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a Successor Eurocurrency Benchmark Rate has not been established pursuant to the immediately preceding proviso after the Borrower and the Administrative Agent have reached such a determination, at the option of the Borrower, the Borrower and the Required Lenders may select a different alternate rate as long as it is reasonably practicable for the Administrative Agent to administer such different rate and, upon not less than 15 Business Days’ prior written notice to the Administrative Agent, the Required Lenders and the Borrower shall enter into an amendment to this Agreement to reflect such alternate rate of interest and such other related changes to this Agreement as may be applicable and, notwithstanding anything to the contrary in Section 10.01, such amendment shall become effective without any further action or consent of any other party to this Agreement. Notwithstanding the foregoing, the Eurocurrency Rate in respect of any applicable Interest Period will be deemed to be 0.00% if the Eurocurrency Rate for such Interest Period calculated pursuant to the foregoing provisions would otherwise be less than 0.00%.</w:t>
      </w:r>
    </w:p>
    <w:p>
      <w:pPr>
        <w:spacing w:after="0" w:line="17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Eurocurrency Rate Loan</w:t>
      </w:r>
      <w:r>
        <w:rPr>
          <w:rFonts w:ascii="Arial" w:cs="Arial" w:eastAsia="Arial" w:hAnsi="Arial"/>
          <w:sz w:val="21"/>
          <w:szCs w:val="21"/>
          <w:color w:val="auto"/>
        </w:rPr>
        <w:t>” means a Loan that bears interest at a rate based on the Eurocurrency Rate. Eurocurrency Rate Loans may be denominated in any Approved Foreign Currency. For the avoidance of doubt, Eurocurrency Rate Loans shall not be available in Dollars.</w:t>
      </w:r>
    </w:p>
    <w:p>
      <w:pPr>
        <w:spacing w:after="0" w:line="143"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Eurocurrency Rate Revolving Loan</w:t>
      </w:r>
      <w:r>
        <w:rPr>
          <w:rFonts w:ascii="Arial" w:cs="Arial" w:eastAsia="Arial" w:hAnsi="Arial"/>
          <w:sz w:val="21"/>
          <w:szCs w:val="21"/>
          <w:color w:val="auto"/>
        </w:rPr>
        <w:t>” means a Revolving Credit Loan bearing interest at a rate based on the Eurocurrency Rate. Eurocurrency Rate Revolving Loans may be denominated in any Approved Foreign Currency. For the avoidance of doubt, Eurocurrency Rate Revolving Loans shall not be available in Dollars.</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Event of Default</w:t>
      </w:r>
      <w:r>
        <w:rPr>
          <w:rFonts w:ascii="Arial" w:cs="Arial" w:eastAsia="Arial" w:hAnsi="Arial"/>
          <w:sz w:val="21"/>
          <w:szCs w:val="21"/>
          <w:color w:val="auto"/>
        </w:rPr>
        <w:t>” has the meaning set forth in Section 8.01.</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Excess Cash Flow</w:t>
      </w:r>
      <w:r>
        <w:rPr>
          <w:rFonts w:ascii="Arial" w:cs="Arial" w:eastAsia="Arial" w:hAnsi="Arial"/>
          <w:sz w:val="21"/>
          <w:szCs w:val="21"/>
          <w:color w:val="auto"/>
        </w:rPr>
        <w:t>” means, for any period, an amount (which shall not be less than zero) equal to (a) the sum, without duplication, of (i) Consolidated Net Income for such period, (ii) an amount equal to the amount of all non-cash charges to the extent deducted in arriving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316" w:lineRule="exact"/>
        <w:rPr>
          <w:sz w:val="20"/>
          <w:szCs w:val="20"/>
          <w:color w:val="auto"/>
        </w:rPr>
      </w:pPr>
    </w:p>
    <w:p>
      <w:pPr>
        <w:jc w:val="both"/>
        <w:ind w:firstLine="6"/>
        <w:spacing w:after="0" w:line="243" w:lineRule="auto"/>
        <w:rPr>
          <w:sz w:val="20"/>
          <w:szCs w:val="20"/>
          <w:color w:val="auto"/>
        </w:rPr>
      </w:pPr>
      <w:r>
        <w:rPr>
          <w:rFonts w:ascii="Arial" w:cs="Arial" w:eastAsia="Arial" w:hAnsi="Arial"/>
          <w:sz w:val="18"/>
          <w:szCs w:val="18"/>
          <w:color w:val="auto"/>
        </w:rPr>
        <w:t xml:space="preserve">Consolidated Net Income, (iii) decreases in Consolidated Working Capital and long-term accounts receivable of the Borrower and its Restricted Subsidiaries for such period (other than any such decreases arising from acquisitions or dispositions by the Borrower and its Restricted Subsidiaries completed during such period or the application of purchase accounting) and (iv) an amount equal to the aggregate net non-cash loss on Dispositions by the Borrower and its Restricted Subsidiaries during such period (other than sales in the ordinary course of business) or any cash gain, in each case to the extent deducted in arriving at such Consolidated Net Income, </w:t>
      </w:r>
      <w:r>
        <w:rPr>
          <w:rFonts w:ascii="Arial" w:cs="Arial" w:eastAsia="Arial" w:hAnsi="Arial"/>
          <w:sz w:val="18"/>
          <w:szCs w:val="18"/>
          <w:i w:val="1"/>
          <w:iCs w:val="1"/>
          <w:color w:val="auto"/>
        </w:rPr>
        <w:t>minus</w:t>
      </w:r>
    </w:p>
    <w:p>
      <w:pPr>
        <w:spacing w:after="0" w:line="1" w:lineRule="exact"/>
        <w:rPr>
          <w:sz w:val="20"/>
          <w:szCs w:val="20"/>
          <w:color w:val="auto"/>
        </w:rPr>
      </w:pPr>
    </w:p>
    <w:p>
      <w:pPr>
        <w:jc w:val="both"/>
        <w:ind w:firstLine="3"/>
        <w:spacing w:after="0" w:line="239" w:lineRule="auto"/>
        <w:tabs>
          <w:tab w:leader="none" w:pos="2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sum, without duplication, of (i) an amount equal to the amount of all non-cash credits included in arriving at such Consolidated Net Income and cash charges included in clauses (1) through (18) of the definition of “Consolidated Net Income,” (ii) an amount equal to the aggregate net non-cash gain on Dispositions by the Borrower and its Restricted Subsidiaries during such period (other than Dispositions in the ordinary course of business) to the extent included in arriving at such Consolidated Net Income, (iii) increases in Consolidated Working Capital and long-term accounts receivable of the Borrower and its Restricted Subsidiaries for such period (other than any such increases arising from acquisitions or dispositions by the Borrower and its Restricted Subsidiaries during such period or the application of purchase accounting), (iv) the aggregate amount of all principal payments of Indebtedness of the Borrower or the Restricted Subsidiaries made during such period (including (A) the principal component of payments in respect of Financing Leases,</w:t>
      </w:r>
    </w:p>
    <w:p>
      <w:pPr>
        <w:spacing w:after="0" w:line="1" w:lineRule="exact"/>
        <w:rPr>
          <w:rFonts w:ascii="Arial" w:cs="Arial" w:eastAsia="Arial" w:hAnsi="Arial"/>
          <w:sz w:val="18"/>
          <w:szCs w:val="18"/>
          <w:color w:val="auto"/>
        </w:rPr>
      </w:pPr>
    </w:p>
    <w:p>
      <w:pPr>
        <w:jc w:val="both"/>
        <w:spacing w:after="0" w:line="228" w:lineRule="auto"/>
        <w:rPr>
          <w:rFonts w:ascii="Arial" w:cs="Arial" w:eastAsia="Arial" w:hAnsi="Arial"/>
          <w:sz w:val="18"/>
          <w:szCs w:val="18"/>
          <w:color w:val="auto"/>
        </w:rPr>
      </w:pPr>
      <w:r>
        <w:rPr>
          <w:rFonts w:ascii="Arial" w:cs="Arial" w:eastAsia="Arial" w:hAnsi="Arial"/>
          <w:sz w:val="19"/>
          <w:szCs w:val="19"/>
          <w:color w:val="auto"/>
        </w:rPr>
        <w:t>(B) the amount of any scheduled repayment of Term Loans pursuant to Section 2.07, and (C) any mandatory prepayment of Term Loans pursuant to Section 2.05(b)(ii) to the extent required due to a Disposition that resulted in an increase to Consolidated Net Income and not in excess of the amount of such increase but excluding (X) all other voluntary and mandatory prepayments of Term Loans and all prepayments and repayments of Revolving Credit Loans and Swing Line Loans and (Y) all prepayments in respect of any other revolving credit facility, except in the case of clause (Y) to the extent there is an equivalent permanent reduction in commitments thereunder to the extent financed with internally generated cash), (v) cash payments by the Borrower and the Restricted Subsidiaries made during such period in respect of long-term liabilities of the Borrower and the Restricted Subsidiaries (other than Indebtedness), to the extent financed with internally generated cash, (vi) the amount of Investments and acquisitions made by the Borrower and the Restricted Subsidiaries during such period and paid in cash pursuant to Section 7.02 (other than Section 7.02(a), (c) or (x)), to the extent financed with internally generated cash, (vii) the amount of Restricted Payments paid in cash during such period pursuant to Section 7.06(i) (clauses (i), (ii) or (iii) only) or Section 7.06(g), to the extent financed with internally generated cash or Borrowings under the Revolving Credit Facility, (viii) the aggregate amount of expenditures made by the Borrower and its Restricted Subsidiaries in cash during such period (including expenditures for the payment of financing fees) to the extent that such expenditures are not expensed during such period, to the extent financed with internally generated cash, (ix) the aggregate amount of any premium, make-whole or penalty payments paid (or committed to be paid) in cash by the Borrower and its Restricted Subsidiaries during such period that are required to be made in connection with any prepayment of Indebtedness, to the extent financed with internally generated cash and (x) the amount of cash taxes paid in such period to the extent they exceed the amount of tax expense deducted in determining Consolidated Net Income for such period. Notwithstanding anything in the definition of any term used in the definition of Excess Cash Flow to the contrary, all components of Excess Cash Flow shall be computed for the Borrower and its Restricted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means the Securities Exchange Act of 1934, as amended.</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Assets</w:t>
      </w:r>
      <w:r>
        <w:rPr>
          <w:rFonts w:ascii="Arial" w:cs="Arial" w:eastAsia="Arial" w:hAnsi="Arial"/>
          <w:sz w:val="21"/>
          <w:szCs w:val="21"/>
          <w:color w:val="auto"/>
        </w:rPr>
        <w:t>” has the meaning set forth in the definition of “Collateral and Guarantee Requirement.”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Contribution</w:t>
      </w:r>
      <w:r>
        <w:rPr>
          <w:rFonts w:ascii="Arial" w:cs="Arial" w:eastAsia="Arial" w:hAnsi="Arial"/>
          <w:sz w:val="19"/>
          <w:szCs w:val="19"/>
          <w:color w:val="auto"/>
        </w:rPr>
        <w:t>” means net cash proceeds, marketable securities or Qualified Proceeds received by the Borrower</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from:</w:t>
      </w:r>
    </w:p>
    <w:p>
      <w:pPr>
        <w:spacing w:after="0" w:line="153" w:lineRule="exact"/>
        <w:rPr>
          <w:sz w:val="20"/>
          <w:szCs w:val="20"/>
          <w:color w:val="auto"/>
        </w:rPr>
      </w:pPr>
    </w:p>
    <w:p>
      <w:pPr>
        <w:ind w:left="1060" w:hanging="438"/>
        <w:spacing w:after="0"/>
        <w:tabs>
          <w:tab w:leader="none" w:pos="10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contributions to its common equity capital;</w:t>
      </w:r>
    </w:p>
    <w:p>
      <w:pPr>
        <w:spacing w:after="0" w:line="171" w:lineRule="exact"/>
        <w:rPr>
          <w:rFonts w:ascii="Arial" w:cs="Arial" w:eastAsia="Arial" w:hAnsi="Arial"/>
          <w:sz w:val="21"/>
          <w:szCs w:val="21"/>
          <w:color w:val="auto"/>
        </w:rPr>
      </w:pPr>
    </w:p>
    <w:p>
      <w:pPr>
        <w:ind w:firstLine="622"/>
        <w:spacing w:after="0" w:line="250" w:lineRule="auto"/>
        <w:tabs>
          <w:tab w:leader="none" w:pos="1155" w:val="left"/>
        </w:tabs>
        <w:numPr>
          <w:ilvl w:val="0"/>
          <w:numId w:val="56"/>
        </w:numPr>
        <w:rPr>
          <w:rFonts w:ascii="Arial" w:cs="Arial" w:eastAsia="Arial" w:hAnsi="Arial"/>
          <w:sz w:val="20"/>
          <w:szCs w:val="20"/>
          <w:color w:val="auto"/>
        </w:rPr>
      </w:pPr>
      <w:r>
        <w:rPr>
          <w:rFonts w:ascii="Arial" w:cs="Arial" w:eastAsia="Arial" w:hAnsi="Arial"/>
          <w:sz w:val="20"/>
          <w:szCs w:val="20"/>
          <w:color w:val="auto"/>
        </w:rPr>
        <w:t>dividends, distributions, fees and other payments (A) from Unrestricted Subsidiaries and any of their Subsidiaries, (B) received in respect of any minority investments and (C) from any joint ventures that are not Restricted Subsidiaries; and</w:t>
      </w:r>
    </w:p>
    <w:p>
      <w:pPr>
        <w:spacing w:after="0" w:line="139" w:lineRule="exact"/>
        <w:rPr>
          <w:rFonts w:ascii="Arial" w:cs="Arial" w:eastAsia="Arial" w:hAnsi="Arial"/>
          <w:sz w:val="20"/>
          <w:szCs w:val="20"/>
          <w:color w:val="auto"/>
        </w:rPr>
      </w:pPr>
    </w:p>
    <w:p>
      <w:pPr>
        <w:jc w:val="both"/>
        <w:ind w:firstLine="622"/>
        <w:spacing w:after="0" w:line="219" w:lineRule="auto"/>
        <w:tabs>
          <w:tab w:leader="none" w:pos="1117"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sale (other than to a Subsidiary of the Borrower or to any management equity plan or stock option plan or any other management or employee benefit plan or agreement of the Borrower) of Equity Interest (other than Disqualified Equity Interests and preferred stock) of the Borrower (or any direct or indirect parent of the Borrower to the extent contributed as common Equity Interests by the Borrower);</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in each case to the extent designated as Excluded Contributions by the Borrower.</w:t>
      </w:r>
    </w:p>
    <w:p>
      <w:pPr>
        <w:spacing w:after="0" w:line="165" w:lineRule="exact"/>
        <w:rPr>
          <w:sz w:val="20"/>
          <w:szCs w:val="20"/>
          <w:color w:val="auto"/>
        </w:rPr>
      </w:pPr>
    </w:p>
    <w:p>
      <w:pPr>
        <w:jc w:val="both"/>
        <w:ind w:firstLine="6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 any Subsidiary that is not a wholly owned Subsidiary of the Borrower or a Subsidiary Guarantor, (b) any Subsidiary that does not have 5% of Total Assets in the aggregate together with all other Subsidiaries excluded via this clause (b), (c) any Securitization Subsidiary, (d) any Subsidiary that is prohibited by applicable Law (whether on the Closing Date or thereafter) or Contractual Obligations existing on the Closing Date (or, in the case of any newly acquired Subsidiary, in existence at the time of acquisition but not entered into in contemplation thereof) from guaranteeing the Obligations or if guaranteeing the Obligation would require governmental (including regulatory) or regulatory third-party (other than a Loan Party) consent, approval, license or authorization (unless such consent, approval, license or authorization has been obtained), (e) any other Subsidiary with respect to which the Administrative Agent and the Borrower mutually agree that the burden or cost or other consequences (including any material adverse tax consequences) of providing a Guarantee shall be excessive in view of the benefits to be obtained by the Lenders therefrom, (f) any Foreign Subsidiary of the Borrower, (g) any Subsidiary with respect to which the provision of a guarantee by it would result in material adverse tax consequences to Holdings, the Borrower, any direct or indirect parent entity of the Borrower or any of the Borrower’s Subsidiaries, in each case, as reasonably determined by the Borrower in consultation with the Administrative Agent, (h) any not-for-profit Subsidiary, (i) any Unrestricted Subsidiaries, (j) any Subsidiary (x) that is a Domestic Subsidiary of a Foreign Subsidiary that is a CFC or (y) substantially all of the assets of which consist of capital stock and/or indebtedness of (i) one or more Foreign Subsidiaries that are CFCs or (ii) other Subsidiaries described in this clause (j)(y) (any Subsidiary described in this clause (j)(y), a “</w:t>
      </w:r>
      <w:r>
        <w:rPr>
          <w:rFonts w:ascii="Arial" w:cs="Arial" w:eastAsia="Arial" w:hAnsi="Arial"/>
          <w:sz w:val="18"/>
          <w:szCs w:val="18"/>
          <w:b w:val="1"/>
          <w:bCs w:val="1"/>
          <w:i w:val="1"/>
          <w:iCs w:val="1"/>
          <w:color w:val="auto"/>
        </w:rPr>
        <w:t>FSHCO</w:t>
      </w:r>
      <w:r>
        <w:rPr>
          <w:rFonts w:ascii="Arial" w:cs="Arial" w:eastAsia="Arial" w:hAnsi="Arial"/>
          <w:sz w:val="18"/>
          <w:szCs w:val="18"/>
          <w:color w:val="auto"/>
        </w:rPr>
        <w:t xml:space="preserve">”), (k) any special purpose entities and (l) any captive insurance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w:t>
      </w:r>
    </w:p>
    <w:p>
      <w:pPr>
        <w:spacing w:after="0" w:line="13" w:lineRule="exact"/>
        <w:rPr>
          <w:sz w:val="20"/>
          <w:szCs w:val="20"/>
          <w:color w:val="auto"/>
        </w:rPr>
      </w:pPr>
    </w:p>
    <w:p>
      <w:pPr>
        <w:ind w:firstLine="3"/>
        <w:spacing w:after="0" w:line="224" w:lineRule="auto"/>
        <w:tabs>
          <w:tab w:leader="none" w:pos="251" w:val="left"/>
        </w:tabs>
        <w:numPr>
          <w:ilvl w:val="0"/>
          <w:numId w:val="57"/>
        </w:numPr>
        <w:rPr>
          <w:rFonts w:ascii="Arial" w:cs="Arial" w:eastAsia="Arial" w:hAnsi="Arial"/>
          <w:sz w:val="21"/>
          <w:szCs w:val="21"/>
          <w:color w:val="auto"/>
        </w:rPr>
      </w:pPr>
      <w:r>
        <w:rPr>
          <w:rFonts w:ascii="Arial" w:cs="Arial" w:eastAsia="Arial" w:hAnsi="Arial"/>
          <w:sz w:val="21"/>
          <w:szCs w:val="21"/>
          <w:color w:val="auto"/>
        </w:rPr>
        <w:t>at the option of the Borrower, any Excluded Subsidiary may issue a Guaranty and become a Guarantor as described in clause (iii) of the definition of “Guarantors” and (ii) any Person that becomes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316"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color w:val="auto"/>
        </w:rPr>
        <w:t>Guarantor pursuant to clause (iii) of the definition of “Guarantors” shall cease to constitute an Excluded Subsidiary, and shall not be released from its obligations under the Guaranty, solely on the basis that, prior to becoming a Guarantor, such Person constituted an Excluded Subsidiary.</w:t>
      </w:r>
    </w:p>
    <w:p>
      <w:pPr>
        <w:spacing w:after="0" w:line="169"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Swap Obligation</w:t>
      </w:r>
      <w:r>
        <w:rPr>
          <w:rFonts w:ascii="Arial" w:cs="Arial" w:eastAsia="Arial" w:hAnsi="Arial"/>
          <w:sz w:val="18"/>
          <w:szCs w:val="18"/>
          <w:color w:val="auto"/>
        </w:rPr>
        <w:t>” means, with respect to any Guarantor, (a)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Section 11.12 and any other applicable agreement for the benefit of such Guarantor and any and all applicable guarantees of such Guarantor’s Swap Obligations by other Loan Parties),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or</w:t>
      </w:r>
    </w:p>
    <w:p>
      <w:pPr>
        <w:spacing w:after="0" w:line="7" w:lineRule="exact"/>
        <w:rPr>
          <w:sz w:val="20"/>
          <w:szCs w:val="20"/>
          <w:color w:val="auto"/>
        </w:rPr>
      </w:pPr>
    </w:p>
    <w:p>
      <w:pPr>
        <w:jc w:val="both"/>
        <w:ind w:firstLine="3"/>
        <w:spacing w:after="0" w:line="212" w:lineRule="auto"/>
        <w:tabs>
          <w:tab w:leader="none" w:pos="297" w:val="left"/>
        </w:tabs>
        <w:numPr>
          <w:ilvl w:val="0"/>
          <w:numId w:val="58"/>
        </w:numPr>
        <w:rPr>
          <w:rFonts w:ascii="Arial" w:cs="Arial" w:eastAsia="Arial" w:hAnsi="Arial"/>
          <w:sz w:val="21"/>
          <w:szCs w:val="21"/>
          <w:color w:val="auto"/>
        </w:rPr>
      </w:pPr>
      <w:r>
        <w:rPr>
          <w:rFonts w:ascii="Arial" w:cs="Arial" w:eastAsia="Arial" w:hAnsi="Arial"/>
          <w:sz w:val="21"/>
          <w:szCs w:val="21"/>
          <w:color w:val="auto"/>
        </w:rPr>
        <w:t>any other Swap Obligation designated as an “Excluded Swap Obligation” of such Guarantor as specified in any agreement between the relevant Loan Parties and the Approved Counterparty applicable to such Swap Obligations. If a Swap Obligation arises under a master agreement governing more than one Swap, such exclusion shall apply only to the portion of such Swap Obligation that is attributable to the Swap for which such guarantee or security interest is or becomes excluded in accordance with the first sentence of this definition.</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Letters of Credit</w:t>
      </w:r>
      <w:r>
        <w:rPr>
          <w:rFonts w:ascii="Arial" w:cs="Arial" w:eastAsia="Arial" w:hAnsi="Arial"/>
          <w:sz w:val="19"/>
          <w:szCs w:val="19"/>
          <w:color w:val="auto"/>
        </w:rPr>
        <w:t>” means those letters of credit in existence on the Restatement Date and listed on Schedule 1.01D</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hereto.</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Revolver Tranche</w:t>
      </w:r>
      <w:r>
        <w:rPr>
          <w:rFonts w:ascii="Arial" w:cs="Arial" w:eastAsia="Arial" w:hAnsi="Arial"/>
          <w:sz w:val="21"/>
          <w:szCs w:val="21"/>
          <w:color w:val="auto"/>
        </w:rPr>
        <w:t>” has the meaning set forth in Section 2.16(b).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Term Loan Tranche</w:t>
      </w:r>
      <w:r>
        <w:rPr>
          <w:rFonts w:ascii="Arial" w:cs="Arial" w:eastAsia="Arial" w:hAnsi="Arial"/>
          <w:sz w:val="21"/>
          <w:szCs w:val="21"/>
          <w:color w:val="auto"/>
        </w:rPr>
        <w:t>” has the meaning set forth in Section 2.16(a).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Expiring Credit Commitment</w:t>
      </w:r>
      <w:r>
        <w:rPr>
          <w:rFonts w:ascii="Arial" w:cs="Arial" w:eastAsia="Arial" w:hAnsi="Arial"/>
          <w:sz w:val="21"/>
          <w:szCs w:val="21"/>
          <w:color w:val="auto"/>
        </w:rPr>
        <w:t>” has the meaning set forth in Section 2.04(g).</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Extended Revolving Credit Commitments</w:t>
      </w:r>
      <w:r>
        <w:rPr>
          <w:rFonts w:ascii="Arial" w:cs="Arial" w:eastAsia="Arial" w:hAnsi="Arial"/>
          <w:sz w:val="21"/>
          <w:szCs w:val="21"/>
          <w:color w:val="auto"/>
        </w:rPr>
        <w:t>” has the meaning set forth in Section 2.16(b).</w:t>
      </w:r>
    </w:p>
    <w:p>
      <w:pPr>
        <w:spacing w:after="0" w:line="171" w:lineRule="exact"/>
        <w:rPr>
          <w:sz w:val="20"/>
          <w:szCs w:val="20"/>
          <w:color w:val="auto"/>
        </w:rPr>
      </w:pPr>
    </w:p>
    <w:p>
      <w:pPr>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Extended Revolving Credit Loans</w:t>
      </w:r>
      <w:r>
        <w:rPr>
          <w:rFonts w:ascii="Arial" w:cs="Arial" w:eastAsia="Arial" w:hAnsi="Arial"/>
          <w:sz w:val="21"/>
          <w:szCs w:val="21"/>
          <w:color w:val="auto"/>
        </w:rPr>
        <w:t>” means one or more Classes of Revolving Credit Loans that result from an Extension Amendment.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Extended Term Loans</w:t>
      </w:r>
      <w:r>
        <w:rPr>
          <w:rFonts w:ascii="Arial" w:cs="Arial" w:eastAsia="Arial" w:hAnsi="Arial"/>
          <w:sz w:val="21"/>
          <w:szCs w:val="21"/>
          <w:color w:val="auto"/>
        </w:rPr>
        <w:t>” has the meaning set forth in Section 2.16(a).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Extending Revolving Credit Lender</w:t>
      </w:r>
      <w:r>
        <w:rPr>
          <w:rFonts w:ascii="Arial" w:cs="Arial" w:eastAsia="Arial" w:hAnsi="Arial"/>
          <w:sz w:val="21"/>
          <w:szCs w:val="21"/>
          <w:color w:val="auto"/>
        </w:rPr>
        <w:t>” has the meaning set forth in Section 2.16(c).</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Extending Term Lender</w:t>
      </w:r>
      <w:r>
        <w:rPr>
          <w:rFonts w:ascii="Arial" w:cs="Arial" w:eastAsia="Arial" w:hAnsi="Arial"/>
          <w:sz w:val="21"/>
          <w:szCs w:val="21"/>
          <w:color w:val="auto"/>
        </w:rPr>
        <w:t>” has the meaning set forth in Section 2.16(c).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Extension</w:t>
      </w:r>
      <w:r>
        <w:rPr>
          <w:rFonts w:ascii="Arial" w:cs="Arial" w:eastAsia="Arial" w:hAnsi="Arial"/>
          <w:sz w:val="21"/>
          <w:szCs w:val="21"/>
          <w:color w:val="auto"/>
        </w:rPr>
        <w:t>” means the establishment of an Extension Series by amending a Loan pursuant to Section 2.16 and the applicable Extension Amendment.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Extension Amendment</w:t>
      </w:r>
      <w:r>
        <w:rPr>
          <w:rFonts w:ascii="Arial" w:cs="Arial" w:eastAsia="Arial" w:hAnsi="Arial"/>
          <w:sz w:val="21"/>
          <w:szCs w:val="21"/>
          <w:color w:val="auto"/>
        </w:rPr>
        <w:t>” has the meaning set forth in Section 2.16(d).</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Extension Election</w:t>
      </w:r>
      <w:r>
        <w:rPr>
          <w:rFonts w:ascii="Arial" w:cs="Arial" w:eastAsia="Arial" w:hAnsi="Arial"/>
          <w:sz w:val="21"/>
          <w:szCs w:val="21"/>
          <w:color w:val="auto"/>
        </w:rPr>
        <w:t>” has the meaning set forth in Section 2.16(c).</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 Request</w:t>
      </w:r>
      <w:r>
        <w:rPr>
          <w:rFonts w:ascii="Arial" w:cs="Arial" w:eastAsia="Arial" w:hAnsi="Arial"/>
          <w:sz w:val="20"/>
          <w:szCs w:val="20"/>
          <w:color w:val="auto"/>
        </w:rPr>
        <w:t>” means any Term Loan Extension Request or a Revolver Extension Request, as the case may be.</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Extension Series</w:t>
      </w:r>
      <w:r>
        <w:rPr>
          <w:rFonts w:ascii="Arial" w:cs="Arial" w:eastAsia="Arial" w:hAnsi="Arial"/>
          <w:sz w:val="21"/>
          <w:szCs w:val="21"/>
          <w:color w:val="auto"/>
        </w:rPr>
        <w:t>” means any Term Loan Extension Series or a Revolver Extension Series, as the case may be.</w:t>
      </w:r>
    </w:p>
    <w:p>
      <w:pPr>
        <w:spacing w:after="0" w:line="171"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Facility</w:t>
      </w:r>
      <w:r>
        <w:rPr>
          <w:rFonts w:ascii="Arial" w:cs="Arial" w:eastAsia="Arial" w:hAnsi="Arial"/>
          <w:sz w:val="20"/>
          <w:szCs w:val="20"/>
          <w:color w:val="auto"/>
        </w:rPr>
        <w:t>” means the Restatement Date Term Loans, a given Class of Incremental Term Loans, a given Refinancing Series of Refinancing Term Loans, a given Extension Series of Extended Term Loans, the Revolving Credit Facility, a given Class of Incremental Revolving Credit Commitments, a given Refinancing Series of Other Revolving Credit Commitments or a given Extension Series of Extended Revolving Credit Commitments, as the context may require.</w:t>
      </w:r>
    </w:p>
    <w:p>
      <w:pPr>
        <w:spacing w:after="0" w:line="146"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FATCA</w:t>
      </w:r>
      <w:r>
        <w:rPr>
          <w:rFonts w:ascii="Arial" w:cs="Arial" w:eastAsia="Arial" w:hAnsi="Arial"/>
          <w:sz w:val="21"/>
          <w:szCs w:val="21"/>
          <w:color w:val="auto"/>
        </w:rPr>
        <w:t>” means Sections 1471 through 1474 of the Code (including, for the avoidance of doubt, any agreements entered into pursuant to Section 1471(b)(1) of the Code), as of the Restatement Date (or any amended or successor version thereof that is substantively comparable and not materially more onerous to comply with), any current or future Treasury Regulations or other official administrative guidance promulgated thereunder and any intergovernmental agreements (and any law, regulation or official administrative guidance) implementing the foregoing.</w:t>
      </w:r>
    </w:p>
    <w:p>
      <w:pPr>
        <w:spacing w:after="0" w:line="146" w:lineRule="exact"/>
        <w:rPr>
          <w:sz w:val="20"/>
          <w:szCs w:val="20"/>
          <w:color w:val="auto"/>
        </w:rPr>
      </w:pPr>
    </w:p>
    <w:p>
      <w:pPr>
        <w:jc w:val="both"/>
        <w:ind w:firstLine="6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Effective Rate</w:t>
      </w:r>
      <w:r>
        <w:rPr>
          <w:rFonts w:ascii="Arial" w:cs="Arial" w:eastAsia="Arial" w:hAnsi="Arial"/>
          <w:sz w:val="19"/>
          <w:szCs w:val="19"/>
          <w:color w:val="auto"/>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Federal Funds Effective Rate as so determined would be less than zero, such rate shall be deemed to zero for the purposes of this Agreement.</w:t>
      </w:r>
    </w:p>
    <w:p>
      <w:pPr>
        <w:spacing w:after="0" w:line="14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Federal Reserve Bank of New York’s Website</w:t>
      </w:r>
      <w:r>
        <w:rPr>
          <w:rFonts w:ascii="Arial" w:cs="Arial" w:eastAsia="Arial" w:hAnsi="Arial"/>
          <w:sz w:val="21"/>
          <w:szCs w:val="21"/>
          <w:color w:val="auto"/>
        </w:rPr>
        <w:t>” means the website of the Federal Reserve Bank of New York at http://www.newyorkfed.org, or any successor source.</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Covenant</w:t>
      </w:r>
      <w:r>
        <w:rPr>
          <w:rFonts w:ascii="Arial" w:cs="Arial" w:eastAsia="Arial" w:hAnsi="Arial"/>
          <w:sz w:val="21"/>
          <w:szCs w:val="21"/>
          <w:color w:val="auto"/>
        </w:rPr>
        <w:t>” has the meaning set forth in Section 7.11.</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Covenant Testing Date</w:t>
      </w:r>
      <w:r>
        <w:rPr>
          <w:rFonts w:ascii="Arial" w:cs="Arial" w:eastAsia="Arial" w:hAnsi="Arial"/>
          <w:sz w:val="21"/>
          <w:szCs w:val="21"/>
          <w:color w:val="auto"/>
        </w:rPr>
        <w:t>” means each March 31, June 30, September 30 and December 31 of each calendar year, commencing with September 30, 2022.</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Financing Lease Obligation</w:t>
      </w:r>
      <w:r>
        <w:rPr>
          <w:rFonts w:ascii="Arial" w:cs="Arial" w:eastAsia="Arial" w:hAnsi="Arial"/>
          <w:sz w:val="21"/>
          <w:szCs w:val="21"/>
          <w:color w:val="auto"/>
        </w:rPr>
        <w:t xml:space="preserve">” means, at the time any determination thereof is to be made, the amount of the liability in respect of a Financing Lease;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obligations of the Borrower or its Restricted Subsidiaries either existing on the Restatement Date or created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316" w:lineRule="exact"/>
        <w:rPr>
          <w:sz w:val="20"/>
          <w:szCs w:val="20"/>
          <w:color w:val="auto"/>
        </w:rPr>
      </w:pPr>
    </w:p>
    <w:p>
      <w:pPr>
        <w:jc w:val="both"/>
        <w:ind w:firstLine="6"/>
        <w:spacing w:after="0" w:line="216" w:lineRule="auto"/>
        <w:rPr>
          <w:sz w:val="20"/>
          <w:szCs w:val="20"/>
          <w:color w:val="auto"/>
        </w:rPr>
      </w:pPr>
      <w:r>
        <w:rPr>
          <w:rFonts w:ascii="Arial" w:cs="Arial" w:eastAsia="Arial" w:hAnsi="Arial"/>
          <w:sz w:val="21"/>
          <w:szCs w:val="21"/>
          <w:color w:val="auto"/>
        </w:rPr>
        <w:t>any recharacterization described below (i) that were not included on the consolidated balance sheet of the Borrower as financing or capital lease obligations and (ii) that are subsequently recharacterized as financing or capital lease obligations or indebtedness due to a change in accounting treatment or otherwise, shall for all purposes under this Agreement (including, without limitation, the calculation of Consolidated Net Income and Consolidated EBITDA) not be treated as financing or capital lease obligations, Financing Lease Obligations or Indebtedness.</w:t>
      </w:r>
    </w:p>
    <w:p>
      <w:pPr>
        <w:spacing w:after="0" w:line="171"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Financing Leases</w:t>
      </w:r>
      <w:r>
        <w:rPr>
          <w:rFonts w:ascii="Arial" w:cs="Arial" w:eastAsia="Arial" w:hAnsi="Arial"/>
          <w:sz w:val="21"/>
          <w:szCs w:val="21"/>
          <w:color w:val="auto"/>
        </w:rPr>
        <w:t xml:space="preserve">” means all leases that have been or are required to be, in accordance with GAAP, recorded as a financing or capital leases (and, for the avoidance of doubt, not a straight-line or operating lease) on both the balance sheet and income statement for financial reporting purposes in accordance with GAAP as in effect on January 1, 2015;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all purposes hereunder the amount of obligations under any Financing Lease shall be the amount thereof accounted for as a liability on a balance sheet in accordance with GAAP as in effect on January 1, 2015.</w:t>
      </w:r>
    </w:p>
    <w:p>
      <w:pPr>
        <w:spacing w:after="0" w:line="146"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First Lien Intercreditor Agreement</w:t>
      </w:r>
      <w:r>
        <w:rPr>
          <w:rFonts w:ascii="Arial" w:cs="Arial" w:eastAsia="Arial" w:hAnsi="Arial"/>
          <w:sz w:val="21"/>
          <w:szCs w:val="21"/>
          <w:color w:val="auto"/>
        </w:rPr>
        <w:t xml:space="preserve">” means an intercreditor agreement substantially in the form of Exhibit J-1 (which agreement in such form or with immaterial changes thereto the Collateral Agent is authorized to enter into) among Holdings, the Borrower, the Subsidiaries of the Borrower from time to time party thereto, the Collateral Agent and one or more collateral agents or representatives for the holders of Indebtedness that is permitted under Section 7.03 to be, and intended to be, secured on a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basis with the Liens securing the Obligations.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Fitch</w:t>
      </w:r>
      <w:r>
        <w:rPr>
          <w:rFonts w:ascii="Arial" w:cs="Arial" w:eastAsia="Arial" w:hAnsi="Arial"/>
          <w:sz w:val="21"/>
          <w:szCs w:val="21"/>
          <w:color w:val="auto"/>
        </w:rPr>
        <w:t>” means Fitch Ratings, Inc. or any successor by merger or consolidation to its business.</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Fixed Charges</w:t>
      </w:r>
      <w:r>
        <w:rPr>
          <w:rFonts w:ascii="Arial" w:cs="Arial" w:eastAsia="Arial" w:hAnsi="Arial"/>
          <w:sz w:val="21"/>
          <w:szCs w:val="21"/>
          <w:color w:val="auto"/>
        </w:rPr>
        <w:t>” means, with respect to the Borrower and its Restricted Subsidiaries for any period, the sum of, without duplication:</w:t>
      </w:r>
    </w:p>
    <w:p>
      <w:pPr>
        <w:spacing w:after="0" w:line="150" w:lineRule="exact"/>
        <w:rPr>
          <w:sz w:val="20"/>
          <w:szCs w:val="20"/>
          <w:color w:val="auto"/>
        </w:rPr>
      </w:pPr>
    </w:p>
    <w:p>
      <w:pPr>
        <w:ind w:left="920" w:hanging="298"/>
        <w:spacing w:after="0"/>
        <w:tabs>
          <w:tab w:leader="none" w:pos="9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Consolidated Interest Expense of the Borrower and its Restricted Subsidiaries for such period;</w:t>
      </w:r>
    </w:p>
    <w:p>
      <w:pPr>
        <w:spacing w:after="0" w:line="171" w:lineRule="exact"/>
        <w:rPr>
          <w:rFonts w:ascii="Arial" w:cs="Arial" w:eastAsia="Arial" w:hAnsi="Arial"/>
          <w:sz w:val="21"/>
          <w:szCs w:val="21"/>
          <w:color w:val="auto"/>
        </w:rPr>
      </w:pPr>
    </w:p>
    <w:p>
      <w:pPr>
        <w:ind w:firstLine="622"/>
        <w:spacing w:after="0" w:line="233" w:lineRule="auto"/>
        <w:tabs>
          <w:tab w:leader="none" w:pos="923" w:val="left"/>
        </w:tabs>
        <w:numPr>
          <w:ilvl w:val="0"/>
          <w:numId w:val="59"/>
        </w:numPr>
        <w:rPr>
          <w:rFonts w:ascii="Arial" w:cs="Arial" w:eastAsia="Arial" w:hAnsi="Arial"/>
          <w:sz w:val="21"/>
          <w:szCs w:val="21"/>
          <w:color w:val="auto"/>
        </w:rPr>
      </w:pPr>
      <w:r>
        <w:rPr>
          <w:rFonts w:ascii="Arial" w:cs="Arial" w:eastAsia="Arial" w:hAnsi="Arial"/>
          <w:sz w:val="21"/>
          <w:szCs w:val="21"/>
          <w:color w:val="auto"/>
        </w:rPr>
        <w:t>all cash dividends or other distributions paid (excluding items eliminated in consolidation) on any series of preferred stock during such period; and</w:t>
      </w:r>
    </w:p>
    <w:p>
      <w:pPr>
        <w:spacing w:after="0" w:line="149" w:lineRule="exact"/>
        <w:rPr>
          <w:rFonts w:ascii="Arial" w:cs="Arial" w:eastAsia="Arial" w:hAnsi="Arial"/>
          <w:sz w:val="21"/>
          <w:szCs w:val="21"/>
          <w:color w:val="auto"/>
        </w:rPr>
      </w:pPr>
    </w:p>
    <w:p>
      <w:pPr>
        <w:ind w:firstLine="622"/>
        <w:spacing w:after="0" w:line="233" w:lineRule="auto"/>
        <w:tabs>
          <w:tab w:leader="none" w:pos="937" w:val="left"/>
        </w:tabs>
        <w:numPr>
          <w:ilvl w:val="0"/>
          <w:numId w:val="59"/>
        </w:numPr>
        <w:rPr>
          <w:rFonts w:ascii="Arial" w:cs="Arial" w:eastAsia="Arial" w:hAnsi="Arial"/>
          <w:sz w:val="21"/>
          <w:szCs w:val="21"/>
          <w:color w:val="auto"/>
        </w:rPr>
      </w:pPr>
      <w:r>
        <w:rPr>
          <w:rFonts w:ascii="Arial" w:cs="Arial" w:eastAsia="Arial" w:hAnsi="Arial"/>
          <w:sz w:val="21"/>
          <w:szCs w:val="21"/>
          <w:color w:val="auto"/>
        </w:rPr>
        <w:t>all cash dividends or other distributions paid (excluding items eliminated in consolidation) on any series of Disqualified Equity Interests during such period.</w:t>
      </w:r>
    </w:p>
    <w:p>
      <w:pPr>
        <w:spacing w:after="0" w:line="14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Benefit Event</w:t>
      </w:r>
      <w:r>
        <w:rPr>
          <w:rFonts w:ascii="Arial" w:cs="Arial" w:eastAsia="Arial" w:hAnsi="Arial"/>
          <w:sz w:val="21"/>
          <w:szCs w:val="21"/>
          <w:color w:val="auto"/>
        </w:rPr>
        <w:t>” means, with respect to any Foreign Pension Plan, (a) the existence of unfunded liabilities in excess of the amount permitted under any applicable Law or in excess of the amount that would be permitted absent a waiver from any applicable Governmental Authority or (b) the failure to make the required contributions or payments, under any applicable Law, on or before the due date for such contributions or payments.</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Currency Denominated Letter of Credit</w:t>
      </w:r>
      <w:r>
        <w:rPr>
          <w:rFonts w:ascii="Arial" w:cs="Arial" w:eastAsia="Arial" w:hAnsi="Arial"/>
          <w:sz w:val="21"/>
          <w:szCs w:val="21"/>
          <w:color w:val="auto"/>
        </w:rPr>
        <w:t>” means any Letter of Credit denominated in an Approved Foreign Currency, other than, with respect to each L/C Issuer,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Approved Foreign Currencies not authorized to be issued by such L/C Issuer as notified to the Administrative Agent and the Borrower from time to time.</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Currency Denominated Loan</w:t>
      </w:r>
      <w:r>
        <w:rPr>
          <w:rFonts w:ascii="Arial" w:cs="Arial" w:eastAsia="Arial" w:hAnsi="Arial"/>
          <w:sz w:val="21"/>
          <w:szCs w:val="21"/>
          <w:color w:val="auto"/>
        </w:rPr>
        <w:t>” means any Loan incurred in any Approved Foreign Currency.</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Disposition</w:t>
      </w:r>
      <w:r>
        <w:rPr>
          <w:rFonts w:ascii="Arial" w:cs="Arial" w:eastAsia="Arial" w:hAnsi="Arial"/>
          <w:sz w:val="21"/>
          <w:szCs w:val="21"/>
          <w:color w:val="auto"/>
        </w:rPr>
        <w:t>” has the meaning set forth in Section 2.05(b)(x).</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Pension Plan</w:t>
      </w:r>
      <w:r>
        <w:rPr>
          <w:rFonts w:ascii="Arial" w:cs="Arial" w:eastAsia="Arial" w:hAnsi="Arial"/>
          <w:sz w:val="21"/>
          <w:szCs w:val="21"/>
          <w:color w:val="auto"/>
        </w:rPr>
        <w:t>” means any benefit plan that under applicable Law is required to be funded through a trust or other funding vehicle other than a trust or funding vehicle maintained exclusively by a Governmental Authority.</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Subsidiary</w:t>
      </w:r>
      <w:r>
        <w:rPr>
          <w:rFonts w:ascii="Arial" w:cs="Arial" w:eastAsia="Arial" w:hAnsi="Arial"/>
          <w:sz w:val="21"/>
          <w:szCs w:val="21"/>
          <w:color w:val="auto"/>
        </w:rPr>
        <w:t>” means any direct or indirect Subsidiary of the Borrower that is not a Domestic Subsidiary.</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Subsidiary Total Assets</w:t>
      </w:r>
      <w:r>
        <w:rPr>
          <w:rFonts w:ascii="Arial" w:cs="Arial" w:eastAsia="Arial" w:hAnsi="Arial"/>
          <w:sz w:val="21"/>
          <w:szCs w:val="21"/>
          <w:color w:val="auto"/>
        </w:rPr>
        <w:t xml:space="preserve"> ” means the total assets of the Foreign Subsidiaries, as determined on a consolidated basis in accordance with GAAP in good faith by a Responsible Officer.</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FRB</w:t>
      </w:r>
      <w:r>
        <w:rPr>
          <w:rFonts w:ascii="Arial" w:cs="Arial" w:eastAsia="Arial" w:hAnsi="Arial"/>
          <w:sz w:val="21"/>
          <w:szCs w:val="21"/>
          <w:color w:val="auto"/>
        </w:rPr>
        <w:t>” means the Board of Governors of the Federal Reserve System of the United States.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Free and Clear Incremental Amount</w:t>
      </w:r>
      <w:r>
        <w:rPr>
          <w:rFonts w:ascii="Arial" w:cs="Arial" w:eastAsia="Arial" w:hAnsi="Arial"/>
          <w:sz w:val="21"/>
          <w:szCs w:val="21"/>
          <w:color w:val="auto"/>
        </w:rPr>
        <w:t>” has the meaning set forth in Section 2.14(d)(v).</w:t>
      </w:r>
    </w:p>
    <w:p>
      <w:pPr>
        <w:spacing w:after="0" w:line="171"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Fronting Exposure</w:t>
      </w:r>
      <w:r>
        <w:rPr>
          <w:rFonts w:ascii="Arial" w:cs="Arial" w:eastAsia="Arial" w:hAnsi="Arial"/>
          <w:sz w:val="21"/>
          <w:szCs w:val="21"/>
          <w:color w:val="auto"/>
        </w:rPr>
        <w:t>” means, at any time there is a Defaulting Lender, (a) with respect to the L/C Issuer, such Defaulting Lender’s Pro Rata Share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 than Swing Line Loans as to which such Defaulting Lender’s participation obligation has been reallocated to other Lenders or Cash Collateralized in accordance with the terms hereof.</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FSHCO</w:t>
      </w:r>
      <w:r>
        <w:rPr>
          <w:rFonts w:ascii="Arial" w:cs="Arial" w:eastAsia="Arial" w:hAnsi="Arial"/>
          <w:sz w:val="21"/>
          <w:szCs w:val="21"/>
          <w:color w:val="auto"/>
        </w:rPr>
        <w:t>” has the meaning set forth in the definition of “Excluded Subsidiary”.</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w:t>
      </w:r>
      <w:r>
        <w:rPr>
          <w:rFonts w:ascii="Arial" w:cs="Arial" w:eastAsia="Arial" w:hAnsi="Arial"/>
          <w:sz w:val="21"/>
          <w:szCs w:val="21"/>
          <w:color w:val="auto"/>
        </w:rPr>
        <w:t>” means any Person (other than a natural person) that is engaged in making, purchasing, holding or otherwise investing in commercial loans and similar extensions of credit in the ordinary course.</w:t>
      </w:r>
    </w:p>
    <w:p>
      <w:pPr>
        <w:spacing w:after="0" w:line="144"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xml:space="preserve">” means generally accepted accounting principles in the United States of America, as in effect from time to time; </w:t>
      </w:r>
      <w:r>
        <w:rPr>
          <w:rFonts w:ascii="Arial" w:cs="Arial" w:eastAsia="Arial" w:hAnsi="Arial"/>
          <w:sz w:val="20"/>
          <w:szCs w:val="20"/>
          <w:i w:val="1"/>
          <w:iCs w:val="1"/>
          <w:color w:val="auto"/>
        </w:rPr>
        <w:t>provided, however</w:t>
      </w:r>
      <w:r>
        <w:rPr>
          <w:rFonts w:ascii="Arial" w:cs="Arial" w:eastAsia="Arial" w:hAnsi="Arial"/>
          <w:sz w:val="20"/>
          <w:szCs w:val="20"/>
          <w:color w:val="auto"/>
        </w:rPr>
        <w:t>, that (i) if the Borrower notifies the Administrative Agent that the Borrower requests an amendment to any provision</w:t>
      </w:r>
      <w:r>
        <w:rPr>
          <w:rFonts w:ascii="Arial" w:cs="Arial" w:eastAsia="Arial" w:hAnsi="Arial"/>
          <w:sz w:val="20"/>
          <w:szCs w:val="20"/>
          <w:i w:val="1"/>
          <w:iCs w:val="1"/>
          <w:color w:val="auto"/>
        </w:rPr>
        <w:t xml:space="preserve"> </w:t>
      </w:r>
      <w:r>
        <w:rPr>
          <w:rFonts w:ascii="Arial" w:cs="Arial" w:eastAsia="Arial" w:hAnsi="Arial"/>
          <w:sz w:val="20"/>
          <w:szCs w:val="20"/>
          <w:color w:val="auto"/>
        </w:rPr>
        <w:t>hereof to eliminate the effect of any change in accounting principles or change as a result of the adoption or modification of accounting policies (including, but not limited to, the impact of Accounting Standards Update 2016-12, Revenue from Contracts with Customers (Topic 606) or similar revenue recognition policies or any change in the methodology of calculating reserves for returns, rebates and other chargebacks) occurring after the Closing Date in GAAP or in the application thereof on the operation of such provision (or if the Administrative Agent notifies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316" w:lineRule="exact"/>
        <w:rPr>
          <w:sz w:val="20"/>
          <w:szCs w:val="20"/>
          <w:color w:val="auto"/>
        </w:rPr>
      </w:pPr>
    </w:p>
    <w:p>
      <w:pPr>
        <w:jc w:val="both"/>
        <w:ind w:firstLine="6"/>
        <w:spacing w:after="0" w:line="241" w:lineRule="auto"/>
        <w:rPr>
          <w:sz w:val="20"/>
          <w:szCs w:val="20"/>
          <w:color w:val="auto"/>
        </w:rPr>
      </w:pPr>
      <w:r>
        <w:rPr>
          <w:rFonts w:ascii="Arial" w:cs="Arial" w:eastAsia="Arial" w:hAnsi="Arial"/>
          <w:sz w:val="18"/>
          <w:szCs w:val="18"/>
          <w:color w:val="auto"/>
        </w:rPr>
        <w:t>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(ii) GAAP shall be construed, and all computations of amounts and ratios referred to herein shall be made, without giving effect to any election under FASB ASC Topic 825 (or any other Financial Accounting Standard having a similar result or effect) to value any Indebtedness or other liabilities of the Borrower or any of its Subsidiaries at “fair value,” as defined therein, and Indebtedness shall be measured at the aggregate principal amount thereof, (iii) the accounting for operating leases and financing or capital leases under GAAP as in effect on January 1, 2015 (including, without limitation, Accounting Standards Codification 840) shall apply for the purposes of determining compliance with the provisions of this Agreement, including the definition of Financing Leases and obligations in respect thereof, (iv) all references to codified accounting standards specifically named in this Agreement shall be deemed to include any successor, replacement, amendment or updated accounting standard under GAAP and</w:t>
      </w:r>
    </w:p>
    <w:p>
      <w:pPr>
        <w:spacing w:after="0" w:line="1" w:lineRule="exact"/>
        <w:rPr>
          <w:sz w:val="20"/>
          <w:szCs w:val="20"/>
          <w:color w:val="auto"/>
        </w:rPr>
      </w:pPr>
    </w:p>
    <w:p>
      <w:pPr>
        <w:jc w:val="both"/>
        <w:ind w:firstLine="3"/>
        <w:spacing w:after="0" w:line="212" w:lineRule="auto"/>
        <w:tabs>
          <w:tab w:leader="none" w:pos="303" w:val="left"/>
        </w:tabs>
        <w:numPr>
          <w:ilvl w:val="0"/>
          <w:numId w:val="60"/>
        </w:numPr>
        <w:rPr>
          <w:rFonts w:ascii="Arial" w:cs="Arial" w:eastAsia="Arial" w:hAnsi="Arial"/>
          <w:sz w:val="21"/>
          <w:szCs w:val="21"/>
          <w:color w:val="auto"/>
        </w:rPr>
      </w:pPr>
      <w:r>
        <w:rPr>
          <w:rFonts w:ascii="Arial" w:cs="Arial" w:eastAsia="Arial" w:hAnsi="Arial"/>
          <w:sz w:val="21"/>
          <w:szCs w:val="21"/>
          <w:color w:val="auto"/>
        </w:rPr>
        <w:t>GAAP shall not include the policies, rules and regulations of the SEC, the American Institute of Certified Public Accountants, the International Accounting Standards Board or any other applicable regulatory or governing body applicable only to public companies. The Borrower will give notice of any such election made in accordance with this definition to the Administrative Agent. For the avoidance of doubt, solely making an election (without any other action) referred to in this definition will not be treated as an incurrence of Indebtedness.</w:t>
      </w:r>
    </w:p>
    <w:p>
      <w:pPr>
        <w:spacing w:after="0" w:line="17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nation or government, any state or other political subdivision thereof, any agency, authority, instrumentality, regulatory body, court, administrative tribunal, central bank, self-regulatory organization or other entity exercising executive, legislative, judicial, taxing, regulatory or administrative powers or functions of or pertaining to government.</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Granting Lender</w:t>
      </w:r>
      <w:r>
        <w:rPr>
          <w:rFonts w:ascii="Arial" w:cs="Arial" w:eastAsia="Arial" w:hAnsi="Arial"/>
          <w:sz w:val="21"/>
          <w:szCs w:val="21"/>
          <w:color w:val="auto"/>
        </w:rPr>
        <w:t>” has the meaning set forth in Section 10.07(i).</w:t>
      </w:r>
    </w:p>
    <w:p>
      <w:pPr>
        <w:spacing w:after="0" w:line="171"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w:t>
      </w:r>
      <w:r>
        <w:rPr>
          <w:rFonts w:ascii="Arial" w:cs="Arial" w:eastAsia="Arial" w:hAnsi="Arial"/>
          <w:sz w:val="19"/>
          <w:szCs w:val="19"/>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9"/>
          <w:szCs w:val="19"/>
          <w:b w:val="1"/>
          <w:bCs w:val="1"/>
          <w:color w:val="auto"/>
        </w:rPr>
        <w:t>primary obligor</w:t>
      </w:r>
      <w:r>
        <w:rPr>
          <w:rFonts w:ascii="Arial" w:cs="Arial" w:eastAsia="Arial" w:hAnsi="Arial"/>
          <w:sz w:val="19"/>
          <w:szCs w:val="19"/>
          <w:color w:val="auto"/>
        </w:rPr>
        <w:t>”)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316" w:lineRule="exact"/>
        <w:rPr>
          <w:sz w:val="20"/>
          <w:szCs w:val="20"/>
          <w:color w:val="auto"/>
        </w:rPr>
      </w:pPr>
    </w:p>
    <w:p>
      <w:pPr>
        <w:jc w:val="both"/>
        <w:ind w:firstLine="6"/>
        <w:spacing w:after="0" w:line="222" w:lineRule="auto"/>
        <w:rPr>
          <w:sz w:val="20"/>
          <w:szCs w:val="20"/>
          <w:color w:val="auto"/>
        </w:rPr>
      </w:pPr>
      <w:r>
        <w:rPr>
          <w:rFonts w:ascii="Arial" w:cs="Arial" w:eastAsia="Arial" w:hAnsi="Arial"/>
          <w:sz w:val="20"/>
          <w:szCs w:val="20"/>
          <w:color w:val="auto"/>
        </w:rPr>
        <w:t xml:space="preserve">or other monetary obligation is assumed by such Person (or any right, contingent or otherwise, of any holder of such Indebtedness to obtain any such Lien);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term “</w:t>
      </w:r>
      <w:r>
        <w:rPr>
          <w:rFonts w:ascii="Arial" w:cs="Arial" w:eastAsia="Arial" w:hAnsi="Arial"/>
          <w:sz w:val="20"/>
          <w:szCs w:val="20"/>
          <w:b w:val="1"/>
          <w:bCs w:val="1"/>
          <w:color w:val="auto"/>
        </w:rPr>
        <w:t>Guarantee</w:t>
      </w:r>
      <w:r>
        <w:rPr>
          <w:rFonts w:ascii="Arial" w:cs="Arial" w:eastAsia="Arial" w:hAnsi="Arial"/>
          <w:sz w:val="20"/>
          <w:szCs w:val="20"/>
          <w:color w:val="auto"/>
        </w:rPr>
        <w:t>” shall not include endorsements for collection or deposit, in either case in the ordinary course of business, or customary and reasonable indemnity obligations in effect on the Restatement Date or entered into in connection with any acquisition or disposition of assets not prohibited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20"/>
          <w:szCs w:val="20"/>
          <w:b w:val="1"/>
          <w:bCs w:val="1"/>
          <w:color w:val="auto"/>
        </w:rPr>
        <w:t>Guarantee</w:t>
      </w:r>
      <w:r>
        <w:rPr>
          <w:rFonts w:ascii="Arial" w:cs="Arial" w:eastAsia="Arial" w:hAnsi="Arial"/>
          <w:sz w:val="20"/>
          <w:szCs w:val="20"/>
          <w:color w:val="auto"/>
        </w:rPr>
        <w:t>” as a verb has a corresponding meaning.</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Guaranteed Obligations</w:t>
      </w:r>
      <w:r>
        <w:rPr>
          <w:rFonts w:ascii="Arial" w:cs="Arial" w:eastAsia="Arial" w:hAnsi="Arial"/>
          <w:sz w:val="21"/>
          <w:szCs w:val="21"/>
          <w:color w:val="auto"/>
        </w:rPr>
        <w:t>” has the meaning set forth in Section 11.01.</w:t>
      </w:r>
    </w:p>
    <w:p>
      <w:pPr>
        <w:spacing w:after="0" w:line="171"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collectively, (i) Holdings, (ii) the wholly owned Domestic Subsidiaries of the Borrower (other than any Excluded Subsidiary), (iii) those wholly owned Domestic Subsidiaries of the Borrower that issue a Guaranty of the Obligations after the Closing Date pursuant to Section 6.11 or any other Person (including any Excluded Subsidiary) organized under the laws of the United States, any state thereof or the District of Columbia or, to the extent reasonably acceptable to the Administrative Agent (and subject to clause (D) of the Collateral and Guarantee Requirement), any other jurisdiction that, at the option of the Borrower, issues a Guaranty of the Obligations after the Closing Date and (iv) solely in respect of any Secured Hedge Agreement or Treasury Services Agreement to which the Borrower is not a party, the Borrower, in each case, until the Guaranty thereof is released in accordance with this Agreement.</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Guaranty</w:t>
      </w:r>
      <w:r>
        <w:rPr>
          <w:rFonts w:ascii="Arial" w:cs="Arial" w:eastAsia="Arial" w:hAnsi="Arial"/>
          <w:sz w:val="21"/>
          <w:szCs w:val="21"/>
          <w:color w:val="auto"/>
        </w:rPr>
        <w:t>” means, collectively, the guaranty of the Obligations by the Guarantors pursuant to this Agreement.</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Hazardous Materials</w:t>
      </w:r>
      <w:r>
        <w:rPr>
          <w:rFonts w:ascii="Arial" w:cs="Arial" w:eastAsia="Arial" w:hAnsi="Arial"/>
          <w:sz w:val="21"/>
          <w:szCs w:val="21"/>
          <w:color w:val="auto"/>
        </w:rPr>
        <w:t>” means all materials, pollutants, contaminants, chemicals, compounds, constituents, substances or wastes, including petroleum or petroleum distillates, asbestos or asbestos-containing materials, polychlorinated biphenyls, lead, radon gas, pesticides, fungicides, fertilizers, or toxic mold, in each case that are regulated pursuant to, or which would give rise to liability under, applicable Environmental Law.</w:t>
      </w:r>
    </w:p>
    <w:p>
      <w:pPr>
        <w:spacing w:after="0" w:line="146"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Holdings</w:t>
      </w:r>
      <w:r>
        <w:rPr>
          <w:rFonts w:ascii="Arial" w:cs="Arial" w:eastAsia="Arial" w:hAnsi="Arial"/>
          <w:sz w:val="20"/>
          <w:szCs w:val="20"/>
          <w:color w:val="auto"/>
        </w:rPr>
        <w:t>” means TU MidCo, if it is the direct parent of the Borrower, or, if not, any Domestic Subsidiary of TU MidCo that directly owns 100% of the issued and outstanding Equity Interests in the Borrower and issues a Guaranty of the Obligations and agrees to assume the obligations of “Holdings” pursuant to this Agreement and the other Loan Documents pursuant to one or more instruments in form and substance reasonably satisfactory to the Administrative Agent.</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Honor Date</w:t>
      </w:r>
      <w:r>
        <w:rPr>
          <w:rFonts w:ascii="Arial" w:cs="Arial" w:eastAsia="Arial" w:hAnsi="Arial"/>
          <w:sz w:val="21"/>
          <w:szCs w:val="21"/>
          <w:color w:val="auto"/>
        </w:rPr>
        <w:t>” has the meaning set forth in Section 2.03(c)(i).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Identified Participating Lenders</w:t>
      </w:r>
      <w:r>
        <w:rPr>
          <w:rFonts w:ascii="Arial" w:cs="Arial" w:eastAsia="Arial" w:hAnsi="Arial"/>
          <w:sz w:val="21"/>
          <w:szCs w:val="21"/>
          <w:color w:val="auto"/>
        </w:rPr>
        <w:t>” has the meaning set forth in Section 2.05(a)(v)(C)(3).</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Identified Qualifying Lenders</w:t>
      </w:r>
      <w:r>
        <w:rPr>
          <w:rFonts w:ascii="Arial" w:cs="Arial" w:eastAsia="Arial" w:hAnsi="Arial"/>
          <w:sz w:val="21"/>
          <w:szCs w:val="21"/>
          <w:color w:val="auto"/>
        </w:rPr>
        <w:t>” has the meaning set forth in Section 2.05(a)(v)(D)(3).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Immaterial Subsidiary</w:t>
      </w:r>
      <w:r>
        <w:rPr>
          <w:rFonts w:ascii="Arial" w:cs="Arial" w:eastAsia="Arial" w:hAnsi="Arial"/>
          <w:sz w:val="21"/>
          <w:szCs w:val="21"/>
          <w:color w:val="auto"/>
        </w:rPr>
        <w:t>” has the meaning set forth in Section 8.03.</w:t>
      </w:r>
    </w:p>
    <w:p>
      <w:pPr>
        <w:spacing w:after="0" w:line="171"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Immediate Family Members</w:t>
      </w:r>
      <w:r>
        <w:rPr>
          <w:rFonts w:ascii="Arial" w:cs="Arial" w:eastAsia="Arial" w:hAnsi="Arial"/>
          <w:sz w:val="21"/>
          <w:szCs w:val="21"/>
          <w:color w:val="auto"/>
        </w:rPr>
        <w:t>” means with respect to any individual, such individual’s child, stepchild, grandchild or more remote descendant, parent, stepparent, grandparent, spouse, former spouse, qualified domestic partner, sibling, mother- 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46" w:lineRule="exact"/>
        <w:rPr>
          <w:sz w:val="20"/>
          <w:szCs w:val="20"/>
          <w:color w:val="auto"/>
        </w:rPr>
      </w:pPr>
    </w:p>
    <w:p>
      <w:pPr>
        <w:ind w:left="620" w:right="2260"/>
        <w:spacing w:after="0" w:line="4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Impacted Interest Period</w:t>
      </w:r>
      <w:r>
        <w:rPr>
          <w:rFonts w:ascii="Arial" w:cs="Arial" w:eastAsia="Arial" w:hAnsi="Arial"/>
          <w:sz w:val="20"/>
          <w:szCs w:val="20"/>
          <w:color w:val="auto"/>
        </w:rPr>
        <w:t>” has the meaning assigned to it in the definition of “Eurocurrency Rate.” “</w:t>
      </w:r>
      <w:r>
        <w:rPr>
          <w:rFonts w:ascii="Arial" w:cs="Arial" w:eastAsia="Arial" w:hAnsi="Arial"/>
          <w:sz w:val="20"/>
          <w:szCs w:val="20"/>
          <w:b w:val="1"/>
          <w:bCs w:val="1"/>
          <w:color w:val="auto"/>
        </w:rPr>
        <w:t>Incremental Amendment</w:t>
      </w:r>
      <w:r>
        <w:rPr>
          <w:rFonts w:ascii="Arial" w:cs="Arial" w:eastAsia="Arial" w:hAnsi="Arial"/>
          <w:sz w:val="20"/>
          <w:szCs w:val="20"/>
          <w:color w:val="auto"/>
        </w:rPr>
        <w:t>” has the meaning set forth in Section 2.14(f).</w:t>
      </w:r>
    </w:p>
    <w:p>
      <w:pPr>
        <w:spacing w:after="0" w:line="1" w:lineRule="exact"/>
        <w:rPr>
          <w:sz w:val="20"/>
          <w:szCs w:val="20"/>
          <w:color w:val="auto"/>
        </w:rPr>
      </w:pPr>
    </w:p>
    <w:p>
      <w:pPr>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Base Amount</w:t>
      </w:r>
      <w:r>
        <w:rPr>
          <w:rFonts w:ascii="Arial" w:cs="Arial" w:eastAsia="Arial" w:hAnsi="Arial"/>
          <w:sz w:val="21"/>
          <w:szCs w:val="21"/>
          <w:color w:val="auto"/>
        </w:rPr>
        <w:t>” means the greater of (x) $268,750,000 and (y) an amount equal to 125 % of LTM Consolidated EBITDA.</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Commitments</w:t>
      </w:r>
      <w:r>
        <w:rPr>
          <w:rFonts w:ascii="Arial" w:cs="Arial" w:eastAsia="Arial" w:hAnsi="Arial"/>
          <w:sz w:val="21"/>
          <w:szCs w:val="21"/>
          <w:color w:val="auto"/>
        </w:rPr>
        <w:t>” has the meaning set forth in Section 2.14(a).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Equivalent First Lien Debt</w:t>
      </w:r>
      <w:r>
        <w:rPr>
          <w:rFonts w:ascii="Arial" w:cs="Arial" w:eastAsia="Arial" w:hAnsi="Arial"/>
          <w:sz w:val="21"/>
          <w:szCs w:val="21"/>
          <w:color w:val="auto"/>
        </w:rPr>
        <w:t>” has the meaning set forth in Section 7.03(q).</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Equivalent Junior Lien Debt</w:t>
      </w:r>
      <w:r>
        <w:rPr>
          <w:rFonts w:ascii="Arial" w:cs="Arial" w:eastAsia="Arial" w:hAnsi="Arial"/>
          <w:sz w:val="21"/>
          <w:szCs w:val="21"/>
          <w:color w:val="auto"/>
        </w:rPr>
        <w:t>” has the meaning set forth in Section 7.03(q).</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Equivalent Unsecured Debt</w:t>
      </w:r>
      <w:r>
        <w:rPr>
          <w:rFonts w:ascii="Arial" w:cs="Arial" w:eastAsia="Arial" w:hAnsi="Arial"/>
          <w:sz w:val="21"/>
          <w:szCs w:val="21"/>
          <w:color w:val="auto"/>
        </w:rPr>
        <w:t>” has the meaning set forth in Section 7.03(w).</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Facility</w:t>
      </w:r>
      <w:r>
        <w:rPr>
          <w:rFonts w:ascii="Arial" w:cs="Arial" w:eastAsia="Arial" w:hAnsi="Arial"/>
          <w:sz w:val="21"/>
          <w:szCs w:val="21"/>
          <w:color w:val="auto"/>
        </w:rPr>
        <w:t>” has the meaning set forth in Section 2.14(a).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Facility Closing Date</w:t>
      </w:r>
      <w:r>
        <w:rPr>
          <w:rFonts w:ascii="Arial" w:cs="Arial" w:eastAsia="Arial" w:hAnsi="Arial"/>
          <w:sz w:val="21"/>
          <w:szCs w:val="21"/>
          <w:color w:val="auto"/>
        </w:rPr>
        <w:t>” has the meaning set forth in Section 2.14(d).</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Lenders</w:t>
      </w:r>
      <w:r>
        <w:rPr>
          <w:rFonts w:ascii="Arial" w:cs="Arial" w:eastAsia="Arial" w:hAnsi="Arial"/>
          <w:sz w:val="21"/>
          <w:szCs w:val="21"/>
          <w:color w:val="auto"/>
        </w:rPr>
        <w:t>” has the meaning set forth in Section 2.14(c).</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Loan Request</w:t>
      </w:r>
      <w:r>
        <w:rPr>
          <w:rFonts w:ascii="Arial" w:cs="Arial" w:eastAsia="Arial" w:hAnsi="Arial"/>
          <w:sz w:val="21"/>
          <w:szCs w:val="21"/>
          <w:color w:val="auto"/>
        </w:rPr>
        <w:t>” has the meaning set forth in Section 2.14(a).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Loans</w:t>
      </w:r>
      <w:r>
        <w:rPr>
          <w:rFonts w:ascii="Arial" w:cs="Arial" w:eastAsia="Arial" w:hAnsi="Arial"/>
          <w:sz w:val="21"/>
          <w:szCs w:val="21"/>
          <w:color w:val="auto"/>
        </w:rPr>
        <w:t>” has the meaning set forth in Section 2.14(b).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Credit Commitments</w:t>
      </w:r>
      <w:r>
        <w:rPr>
          <w:rFonts w:ascii="Arial" w:cs="Arial" w:eastAsia="Arial" w:hAnsi="Arial"/>
          <w:sz w:val="21"/>
          <w:szCs w:val="21"/>
          <w:color w:val="auto"/>
        </w:rPr>
        <w:t>” has the meaning set forth in Section 2.14(a).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Credit Lender</w:t>
      </w:r>
      <w:r>
        <w:rPr>
          <w:rFonts w:ascii="Arial" w:cs="Arial" w:eastAsia="Arial" w:hAnsi="Arial"/>
          <w:sz w:val="21"/>
          <w:szCs w:val="21"/>
          <w:color w:val="auto"/>
        </w:rPr>
        <w:t>” has the meaning set forth in Section 2.14(c).</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Credit Loan</w:t>
      </w:r>
      <w:r>
        <w:rPr>
          <w:rFonts w:ascii="Arial" w:cs="Arial" w:eastAsia="Arial" w:hAnsi="Arial"/>
          <w:sz w:val="21"/>
          <w:szCs w:val="21"/>
          <w:color w:val="auto"/>
        </w:rPr>
        <w:t>” has the meaning set forth in Section 2.14(b).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Facility</w:t>
      </w:r>
      <w:r>
        <w:rPr>
          <w:rFonts w:ascii="Arial" w:cs="Arial" w:eastAsia="Arial" w:hAnsi="Arial"/>
          <w:sz w:val="21"/>
          <w:szCs w:val="21"/>
          <w:color w:val="auto"/>
        </w:rPr>
        <w:t>” has the meaning set forth in Section 2.14(a).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Commitments</w:t>
      </w:r>
      <w:r>
        <w:rPr>
          <w:rFonts w:ascii="Arial" w:cs="Arial" w:eastAsia="Arial" w:hAnsi="Arial"/>
          <w:sz w:val="21"/>
          <w:szCs w:val="21"/>
          <w:color w:val="auto"/>
        </w:rPr>
        <w:t>” has the meaning set forth in Section 2.14(a).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Lender</w:t>
      </w:r>
      <w:r>
        <w:rPr>
          <w:rFonts w:ascii="Arial" w:cs="Arial" w:eastAsia="Arial" w:hAnsi="Arial"/>
          <w:sz w:val="21"/>
          <w:szCs w:val="21"/>
          <w:color w:val="auto"/>
        </w:rPr>
        <w:t>” has the meaning set forth in Section 2.14(c).</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Loan</w:t>
      </w:r>
      <w:r>
        <w:rPr>
          <w:rFonts w:ascii="Arial" w:cs="Arial" w:eastAsia="Arial" w:hAnsi="Arial"/>
          <w:sz w:val="21"/>
          <w:szCs w:val="21"/>
          <w:color w:val="auto"/>
        </w:rPr>
        <w:t>” has the meaning set forth in Section 2.14(b).</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Incurrence-Based Incremental Amount</w:t>
      </w:r>
      <w:r>
        <w:rPr>
          <w:rFonts w:ascii="Arial" w:cs="Arial" w:eastAsia="Arial" w:hAnsi="Arial"/>
          <w:sz w:val="21"/>
          <w:szCs w:val="21"/>
          <w:color w:val="auto"/>
        </w:rPr>
        <w:t xml:space="preserve"> ” has the meaning set forth in Section 2.14 (d)(v).</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Indebtedness</w:t>
      </w:r>
      <w:r>
        <w:rPr>
          <w:rFonts w:ascii="Arial" w:cs="Arial" w:eastAsia="Arial" w:hAnsi="Arial"/>
          <w:sz w:val="21"/>
          <w:szCs w:val="21"/>
          <w:color w:val="auto"/>
        </w:rPr>
        <w:t>” means, as to any Person at a particular time, without duplication, all of the following:</w:t>
      </w:r>
    </w:p>
    <w:p>
      <w:pPr>
        <w:spacing w:after="0" w:line="177" w:lineRule="exact"/>
        <w:rPr>
          <w:sz w:val="20"/>
          <w:szCs w:val="20"/>
          <w:color w:val="auto"/>
        </w:rPr>
      </w:pPr>
    </w:p>
    <w:p>
      <w:pPr>
        <w:ind w:firstLine="621"/>
        <w:spacing w:after="0" w:line="233" w:lineRule="auto"/>
        <w:tabs>
          <w:tab w:leader="none" w:pos="1211" w:val="left"/>
        </w:tabs>
        <w:numPr>
          <w:ilvl w:val="0"/>
          <w:numId w:val="61"/>
        </w:numPr>
        <w:rPr>
          <w:rFonts w:ascii="Arial" w:cs="Arial" w:eastAsia="Arial" w:hAnsi="Arial"/>
          <w:sz w:val="21"/>
          <w:szCs w:val="21"/>
          <w:color w:val="auto"/>
        </w:rPr>
      </w:pPr>
      <w:r>
        <w:rPr>
          <w:rFonts w:ascii="Arial" w:cs="Arial" w:eastAsia="Arial" w:hAnsi="Arial"/>
          <w:sz w:val="21"/>
          <w:szCs w:val="21"/>
          <w:color w:val="auto"/>
        </w:rPr>
        <w:t>all obligations of such Person for borrowed money and all obligations of such Person evidenced by bonds, debentures, notes, loan agreements or other similar instruments;</w:t>
      </w:r>
    </w:p>
    <w:p>
      <w:pPr>
        <w:spacing w:after="0" w:line="149" w:lineRule="exact"/>
        <w:rPr>
          <w:rFonts w:ascii="Arial" w:cs="Arial" w:eastAsia="Arial" w:hAnsi="Arial"/>
          <w:sz w:val="21"/>
          <w:szCs w:val="21"/>
          <w:color w:val="auto"/>
        </w:rPr>
      </w:pPr>
    </w:p>
    <w:p>
      <w:pPr>
        <w:jc w:val="both"/>
        <w:ind w:firstLine="621"/>
        <w:spacing w:after="0" w:line="251" w:lineRule="auto"/>
        <w:tabs>
          <w:tab w:leader="none" w:pos="10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139" w:lineRule="exact"/>
        <w:rPr>
          <w:rFonts w:ascii="Arial" w:cs="Arial" w:eastAsia="Arial" w:hAnsi="Arial"/>
          <w:sz w:val="19"/>
          <w:szCs w:val="19"/>
          <w:color w:val="auto"/>
        </w:rPr>
      </w:pPr>
    </w:p>
    <w:p>
      <w:pPr>
        <w:ind w:left="1060" w:hanging="439"/>
        <w:spacing w:after="0"/>
        <w:tabs>
          <w:tab w:leader="none" w:pos="1060" w:val="left"/>
        </w:tabs>
        <w:numPr>
          <w:ilvl w:val="0"/>
          <w:numId w:val="61"/>
        </w:numPr>
        <w:rPr>
          <w:rFonts w:ascii="Arial" w:cs="Arial" w:eastAsia="Arial" w:hAnsi="Arial"/>
          <w:sz w:val="21"/>
          <w:szCs w:val="21"/>
          <w:color w:val="auto"/>
        </w:rPr>
      </w:pPr>
      <w:r>
        <w:rPr>
          <w:rFonts w:ascii="Arial" w:cs="Arial" w:eastAsia="Arial" w:hAnsi="Arial"/>
          <w:sz w:val="21"/>
          <w:szCs w:val="21"/>
          <w:color w:val="auto"/>
        </w:rPr>
        <w:t>net obligations of such Person under any Swap Contract;</w:t>
      </w:r>
    </w:p>
    <w:p>
      <w:pPr>
        <w:spacing w:after="0" w:line="171" w:lineRule="exact"/>
        <w:rPr>
          <w:rFonts w:ascii="Arial" w:cs="Arial" w:eastAsia="Arial" w:hAnsi="Arial"/>
          <w:sz w:val="21"/>
          <w:szCs w:val="21"/>
          <w:color w:val="auto"/>
        </w:rPr>
      </w:pPr>
    </w:p>
    <w:p>
      <w:pPr>
        <w:jc w:val="both"/>
        <w:ind w:firstLine="621"/>
        <w:spacing w:after="0" w:line="216" w:lineRule="auto"/>
        <w:tabs>
          <w:tab w:leader="none" w:pos="1272" w:val="left"/>
        </w:tabs>
        <w:numPr>
          <w:ilvl w:val="0"/>
          <w:numId w:val="61"/>
        </w:numPr>
        <w:rPr>
          <w:rFonts w:ascii="Arial" w:cs="Arial" w:eastAsia="Arial" w:hAnsi="Arial"/>
          <w:sz w:val="21"/>
          <w:szCs w:val="21"/>
          <w:color w:val="auto"/>
        </w:rPr>
      </w:pPr>
      <w:r>
        <w:rPr>
          <w:rFonts w:ascii="Arial" w:cs="Arial" w:eastAsia="Arial" w:hAnsi="Arial"/>
          <w:sz w:val="21"/>
          <w:szCs w:val="21"/>
          <w:color w:val="auto"/>
        </w:rPr>
        <w:t>all obligations of such Person to pay the deferred purchase price of property (including Financing Lease Obligations) or services (other than (i) trade accounts and accrued expenses payable in the ordinary course of business, (ii) any earn-out obligation until (x) sixty (60) days after such obligation becomes due and payable or (y) otherwise not treated as a liability on the balance sheet of such Person in accordance with GAAP and (iii) accruals for payroll and other liabilities accrued in the ordinary course);</w:t>
      </w:r>
    </w:p>
    <w:p>
      <w:pPr>
        <w:spacing w:after="0" w:line="150" w:lineRule="exact"/>
        <w:rPr>
          <w:rFonts w:ascii="Arial" w:cs="Arial" w:eastAsia="Arial" w:hAnsi="Arial"/>
          <w:sz w:val="21"/>
          <w:szCs w:val="21"/>
          <w:color w:val="auto"/>
        </w:rPr>
      </w:pPr>
    </w:p>
    <w:p>
      <w:pPr>
        <w:jc w:val="both"/>
        <w:ind w:firstLine="621"/>
        <w:spacing w:after="0" w:line="219" w:lineRule="auto"/>
        <w:tabs>
          <w:tab w:leader="none" w:pos="1067" w:val="left"/>
        </w:tabs>
        <w:numPr>
          <w:ilvl w:val="0"/>
          <w:numId w:val="61"/>
        </w:numPr>
        <w:rPr>
          <w:rFonts w:ascii="Arial" w:cs="Arial" w:eastAsia="Arial" w:hAnsi="Arial"/>
          <w:sz w:val="21"/>
          <w:szCs w:val="21"/>
          <w:color w:val="auto"/>
        </w:rPr>
      </w:pPr>
      <w:r>
        <w:rPr>
          <w:rFonts w:ascii="Arial" w:cs="Arial" w:eastAsia="Arial" w:hAnsi="Arial"/>
          <w:sz w:val="21"/>
          <w:szCs w:val="21"/>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49" w:lineRule="exact"/>
        <w:rPr>
          <w:rFonts w:ascii="Arial" w:cs="Arial" w:eastAsia="Arial" w:hAnsi="Arial"/>
          <w:sz w:val="21"/>
          <w:szCs w:val="21"/>
          <w:color w:val="auto"/>
        </w:rPr>
      </w:pPr>
    </w:p>
    <w:p>
      <w:pPr>
        <w:ind w:left="1040" w:hanging="419"/>
        <w:spacing w:after="0"/>
        <w:tabs>
          <w:tab w:leader="none" w:pos="1040" w:val="left"/>
        </w:tabs>
        <w:numPr>
          <w:ilvl w:val="0"/>
          <w:numId w:val="61"/>
        </w:numPr>
        <w:rPr>
          <w:rFonts w:ascii="Arial" w:cs="Arial" w:eastAsia="Arial" w:hAnsi="Arial"/>
          <w:sz w:val="21"/>
          <w:szCs w:val="21"/>
          <w:color w:val="auto"/>
        </w:rPr>
      </w:pPr>
      <w:r>
        <w:rPr>
          <w:rFonts w:ascii="Arial" w:cs="Arial" w:eastAsia="Arial" w:hAnsi="Arial"/>
          <w:sz w:val="21"/>
          <w:szCs w:val="21"/>
          <w:color w:val="auto"/>
        </w:rPr>
        <w:t>all Attributable Indebtedness;</w:t>
      </w:r>
    </w:p>
    <w:p>
      <w:pPr>
        <w:spacing w:after="0" w:line="171" w:lineRule="exact"/>
        <w:rPr>
          <w:rFonts w:ascii="Arial" w:cs="Arial" w:eastAsia="Arial" w:hAnsi="Arial"/>
          <w:sz w:val="21"/>
          <w:szCs w:val="21"/>
          <w:color w:val="auto"/>
        </w:rPr>
      </w:pPr>
    </w:p>
    <w:p>
      <w:pPr>
        <w:ind w:left="1060" w:hanging="439"/>
        <w:spacing w:after="0"/>
        <w:tabs>
          <w:tab w:leader="none" w:pos="1060" w:val="left"/>
        </w:tabs>
        <w:numPr>
          <w:ilvl w:val="0"/>
          <w:numId w:val="61"/>
        </w:numPr>
        <w:rPr>
          <w:rFonts w:ascii="Arial" w:cs="Arial" w:eastAsia="Arial" w:hAnsi="Arial"/>
          <w:sz w:val="21"/>
          <w:szCs w:val="21"/>
          <w:color w:val="auto"/>
        </w:rPr>
      </w:pPr>
      <w:r>
        <w:rPr>
          <w:rFonts w:ascii="Arial" w:cs="Arial" w:eastAsia="Arial" w:hAnsi="Arial"/>
          <w:sz w:val="21"/>
          <w:szCs w:val="21"/>
          <w:color w:val="auto"/>
        </w:rPr>
        <w:t>all obligations of such Person in respect of Disqualified Equity Interests;</w:t>
      </w:r>
    </w:p>
    <w:p>
      <w:pPr>
        <w:spacing w:after="0" w:line="171" w:lineRule="exact"/>
        <w:rPr>
          <w:sz w:val="20"/>
          <w:szCs w:val="20"/>
          <w:color w:val="auto"/>
        </w:rPr>
      </w:pPr>
    </w:p>
    <w:p>
      <w:pPr>
        <w:ind w:right="320"/>
        <w:spacing w:after="0" w:line="224" w:lineRule="auto"/>
        <w:rPr>
          <w:sz w:val="20"/>
          <w:szCs w:val="20"/>
          <w:color w:val="auto"/>
        </w:rPr>
      </w:pPr>
      <w:r>
        <w:rPr>
          <w:rFonts w:ascii="Arial" w:cs="Arial" w:eastAsia="Arial" w:hAnsi="Arial"/>
          <w:sz w:val="21"/>
          <w:szCs w:val="21"/>
          <w:color w:val="auto"/>
        </w:rPr>
        <w:t xml:space="preserve">if and to the extent that any of the foregoing would constitute indebtedness or a liability in accordance with GAAP;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Indebtedness of any direct or indirect parent of the Borrower appearing on the balance sheet of the Borrower solely by reason of push-down accounting under GAAP shall be excluded; and</w:t>
      </w:r>
    </w:p>
    <w:p>
      <w:pPr>
        <w:spacing w:after="0" w:line="149" w:lineRule="exact"/>
        <w:rPr>
          <w:sz w:val="20"/>
          <w:szCs w:val="20"/>
          <w:color w:val="auto"/>
        </w:rPr>
      </w:pPr>
    </w:p>
    <w:p>
      <w:pPr>
        <w:ind w:left="1060" w:hanging="439"/>
        <w:spacing w:after="0"/>
        <w:tabs>
          <w:tab w:leader="none" w:pos="10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to the extent not otherwise included above, all Guarantees of such Person in respect of any of the foregoing.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4900"/>
        <w:spacing w:after="0"/>
        <w:rPr>
          <w:rFonts w:ascii="Arial" w:cs="Arial" w:eastAsia="Arial" w:hAnsi="Arial"/>
          <w:sz w:val="19"/>
          <w:szCs w:val="19"/>
          <w:color w:val="auto"/>
        </w:rPr>
      </w:pPr>
      <w:r>
        <w:rPr>
          <w:rFonts w:ascii="Arial" w:cs="Arial" w:eastAsia="Arial" w:hAnsi="Arial"/>
          <w:sz w:val="21"/>
          <w:szCs w:val="21"/>
          <w:color w:val="auto"/>
        </w:rPr>
        <w:t>47</w:t>
      </w:r>
    </w:p>
    <w:p>
      <w:pPr>
        <w:sectPr>
          <w:pgSz w:w="11900" w:h="16838" w:orient="portrait"/>
          <w:cols w:equalWidth="0" w:num="1">
            <w:col w:w="10620"/>
          </w:cols>
          <w:pgMar w:left="940" w:top="1440" w:right="3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8"/>
          <w:szCs w:val="18"/>
          <w:color w:val="auto"/>
        </w:rPr>
        <w:t>For all purposes hereof, the Indebtedness of any Person shall (A)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expressly limited and only to the extent such Indebtedness would be included in the calculation of Consolidated Total Net Debt, (B) in the case of the Borrower and its Restricted Subsidiaries, exclude all intercompany Indebtedness having a term not exceeding 364 days (inclusive of any roll-over or extensions of terms) and made in the ordinary course of business, (C) exclude contingent obligations incurred in the ordinary course of business or consistent with industry practice, obligations under or in respect of Non-Financing Lease Obligations, Qualified Securitization Facilities, straight-line leases, operating leases or sale lease-back transactions (except any resulting Financing Lease Obligations), (D) exclude obligations under any license, permit or other approval (or guarantees given in respect of such obligations) incurred prior to the Restatement Date or in the ordinary course of business or consistent with past practice and (E) exclude (i) deferred or prepaid revenue,</w:t>
      </w:r>
    </w:p>
    <w:p>
      <w:pPr>
        <w:spacing w:after="0" w:line="2" w:lineRule="exact"/>
        <w:rPr>
          <w:sz w:val="20"/>
          <w:szCs w:val="20"/>
          <w:color w:val="auto"/>
        </w:rPr>
      </w:pPr>
    </w:p>
    <w:p>
      <w:pPr>
        <w:jc w:val="both"/>
        <w:ind w:firstLine="3"/>
        <w:spacing w:after="0" w:line="241" w:lineRule="auto"/>
        <w:tabs>
          <w:tab w:leader="none" w:pos="3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purchase price holdbacks in respect of a portion of the purchase price of an asset to satisfy warranty or other unperformed obligations of the seller, (iii) any obligations attributable to the exercise of appraisal rights and the settlement of any claims or actions (whether actual, contingent or potential) with respect thereto, (iv) accrued expenses and royalties, (v) in connection with the purchase by the Borrower or any Restricted Subsidiary of any business, any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in a timely manner, (vi) any obligations in respect of workers’ compensation claims, retirement, post-employment or termination obligations (including pensions and retiree medical care), pension fund obligations or contributions or similar claims, or social security or wage taxes or contributions, (vii) any liability for taxes and (viii) asset retirement obligations and other pension and other post-employment benefit related obligations (including pensions and retiree medical care).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(not to exceed the maximum amount of such Indebtedness for which such Person could be liable) and (ii) the fair market value of the property encumbered thereby as determined by such Person in good faith.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Liabilities</w:t>
      </w:r>
      <w:r>
        <w:rPr>
          <w:rFonts w:ascii="Arial" w:cs="Arial" w:eastAsia="Arial" w:hAnsi="Arial"/>
          <w:sz w:val="21"/>
          <w:szCs w:val="21"/>
          <w:color w:val="auto"/>
        </w:rPr>
        <w:t>” has the meaning set forth in Section 10.05.</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Taxes</w:t>
      </w:r>
      <w:r>
        <w:rPr>
          <w:rFonts w:ascii="Arial" w:cs="Arial" w:eastAsia="Arial" w:hAnsi="Arial"/>
          <w:sz w:val="21"/>
          <w:szCs w:val="21"/>
          <w:color w:val="auto"/>
        </w:rPr>
        <w:t>” means, with respect to any Agent or any Lender, all Taxes imposed on or with respect to any payment made by or on account of any obligation of the Borrower or any Guarantor under this Agreement or any other Loan Document, other than (i) Taxes imposed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440" w:right="339" w:bottom="1440" w:gutter="0" w:footer="0" w:header="0"/>
        </w:sectPr>
      </w:pPr>
    </w:p>
    <w:bookmarkStart w:id="96" w:name="page97"/>
    <w:bookmarkEnd w:id="96"/>
    <w:p>
      <w:pPr>
        <w:spacing w:after="0" w:line="316" w:lineRule="exact"/>
        <w:rPr>
          <w:sz w:val="20"/>
          <w:szCs w:val="20"/>
          <w:color w:val="auto"/>
        </w:rPr>
      </w:pPr>
    </w:p>
    <w:p>
      <w:pPr>
        <w:jc w:val="both"/>
        <w:ind w:firstLine="6"/>
        <w:spacing w:after="0" w:line="244" w:lineRule="auto"/>
        <w:rPr>
          <w:sz w:val="20"/>
          <w:szCs w:val="20"/>
          <w:color w:val="auto"/>
        </w:rPr>
      </w:pPr>
      <w:r>
        <w:rPr>
          <w:rFonts w:ascii="Arial" w:cs="Arial" w:eastAsia="Arial" w:hAnsi="Arial"/>
          <w:sz w:val="18"/>
          <w:szCs w:val="18"/>
          <w:color w:val="auto"/>
        </w:rPr>
        <w:t>measured by its net income, however denominated, and franchise (and similar) Taxes imposed in lieu of net income Taxes, by a jurisdiction (A) as a result of such Agent’s or Lender’s being organized in or having its principal office (or, in the case of any Lender, its applicable Lending Office) in such jurisdiction (or any political subdivision thereof), or (B) as a result of any other connection between such Lender or Agent and such jurisdiction other than any connections arising from executing, delivering, being a party to, engaging in any transactions pursuant to, performing its obligations under, receiving payments under, or enforcing, any Loan Document, (ii) Taxes attributable to the failure by such Agent or Lender to deliver the documentation required to be delivered pursuant to Section 3.01(d) or (h), (iii) any branch profits Taxes imposed by the United States or any similar Tax, imposed by any jurisdiction described in clause (i) above, (iv) in the case of any Lender (other than an assignee pursuant to a request by the Borrower under Section 3.07), any U.S. federal withholding Tax that is imposed pursuant to a law in effect on the date such Lender acquires an interest in the applicable Commitment (or, in the case of an applicable interest in a Loan not funded by such Lender pursuant to a prior Commitment, the date such Lender acquired such interest in such Loan), or designates a new Lending Office, except to the extent such Lender (or its assignor, if any) was entitled immediately prior to the time of designation of a new Lending Office (or assignment) to receive additional amounts with respect to such withholding Tax pursuant to Section 3.01 and (v) any withholding Taxes imposed under FATCA. For the avoidance of doubt, the term “Lender” for purposes of this definition shall include each L/C Issuer and Swing Line Lender.</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Indemnitees</w:t>
      </w:r>
      <w:r>
        <w:rPr>
          <w:rFonts w:ascii="Arial" w:cs="Arial" w:eastAsia="Arial" w:hAnsi="Arial"/>
          <w:sz w:val="21"/>
          <w:szCs w:val="21"/>
          <w:color w:val="auto"/>
        </w:rPr>
        <w:t>” has the meaning set forth in Section 10.05.</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Information</w:t>
      </w:r>
      <w:r>
        <w:rPr>
          <w:rFonts w:ascii="Arial" w:cs="Arial" w:eastAsia="Arial" w:hAnsi="Arial"/>
          <w:sz w:val="21"/>
          <w:szCs w:val="21"/>
          <w:color w:val="auto"/>
        </w:rPr>
        <w:t>” has the meaning set forth in Section 10.08.</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 Security Agreements</w:t>
      </w:r>
      <w:r>
        <w:rPr>
          <w:rFonts w:ascii="Arial" w:cs="Arial" w:eastAsia="Arial" w:hAnsi="Arial"/>
          <w:sz w:val="21"/>
          <w:szCs w:val="21"/>
          <w:color w:val="auto"/>
        </w:rPr>
        <w:t>” has the meaning set forth in the Security Agreement.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Intercompany Note</w:t>
      </w:r>
      <w:r>
        <w:rPr>
          <w:rFonts w:ascii="Arial" w:cs="Arial" w:eastAsia="Arial" w:hAnsi="Arial"/>
          <w:sz w:val="21"/>
          <w:szCs w:val="21"/>
          <w:color w:val="auto"/>
        </w:rPr>
        <w:t>” means a promissory note substantially in the form of Exhibit I.</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Intercreditor Agreements</w:t>
      </w:r>
      <w:r>
        <w:rPr>
          <w:rFonts w:ascii="Arial" w:cs="Arial" w:eastAsia="Arial" w:hAnsi="Arial"/>
          <w:sz w:val="21"/>
          <w:szCs w:val="21"/>
          <w:color w:val="auto"/>
        </w:rPr>
        <w:t>” means the Junior Lien Intercreditor Agreement and any First Lien Intercreditor Agreement, collectively, in each case to the extent in effect.</w:t>
      </w:r>
    </w:p>
    <w:p>
      <w:pPr>
        <w:spacing w:after="0" w:line="144"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Payment Date</w:t>
      </w:r>
      <w:r>
        <w:rPr>
          <w:rFonts w:ascii="Arial" w:cs="Arial" w:eastAsia="Arial" w:hAnsi="Arial"/>
          <w:sz w:val="19"/>
          <w:szCs w:val="19"/>
          <w:color w:val="auto"/>
        </w:rPr>
        <w:t xml:space="preserve">” means, (a) as to any Eurocurrency Rate Loan, the last day of each Interest Period applicable to such Loan and the Maturity Date of the Facility under which such Loan was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Interest Period for a Eurocurrency Rate Loan exceeds three months, the respective dates that fall every three months after the beginning of such Interest Period shall also be Interest Payment Dates, (b) as to any Term SOFR Loan, the last day of each Interest Period applicable to such Loan and the Maturity Date of the Facility under which such Loan was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Interest Period for a Term SOFR Loan exceeds three months, the respective dates that fall every three months after the beginning of such Interest Period shall also be Interest Payment Dates, (c) as to any Base Rate Loan (including a Swing Line Loan), the last Business Day of each March, June, September and December and the Maturity Date of the Facility under which such Loan was made and (d) with respect to any Daily SOFR Loan, each date that is on the numerically corresponding day in each calendar month that is one month (or, at the Borrower’s option, three months) after the borrowing date of such Daily SOFR Loan (or, if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1440" w:right="339" w:bottom="1440" w:gutter="0" w:footer="0" w:header="0"/>
        </w:sectPr>
      </w:pPr>
    </w:p>
    <w:bookmarkStart w:id="97" w:name="page98"/>
    <w:bookmarkEnd w:id="97"/>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is no such numerically corresponding day in such month, then the last day of such month) and the date on which such Daily SOFR Loan is repaid or converted in full.</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Period</w:t>
      </w:r>
      <w:r>
        <w:rPr>
          <w:rFonts w:ascii="Arial" w:cs="Arial" w:eastAsia="Arial" w:hAnsi="Arial"/>
          <w:sz w:val="21"/>
          <w:szCs w:val="21"/>
          <w:color w:val="auto"/>
        </w:rPr>
        <w:t>” means,</w:t>
      </w:r>
    </w:p>
    <w:p>
      <w:pPr>
        <w:spacing w:after="0" w:line="177" w:lineRule="exact"/>
        <w:rPr>
          <w:sz w:val="20"/>
          <w:szCs w:val="20"/>
          <w:color w:val="auto"/>
        </w:rPr>
      </w:pPr>
    </w:p>
    <w:p>
      <w:pPr>
        <w:jc w:val="both"/>
        <w:ind w:firstLine="622"/>
        <w:spacing w:after="0" w:line="219" w:lineRule="auto"/>
        <w:tabs>
          <w:tab w:leader="none" w:pos="1148" w:val="left"/>
        </w:tabs>
        <w:numPr>
          <w:ilvl w:val="0"/>
          <w:numId w:val="64"/>
        </w:numPr>
        <w:rPr>
          <w:rFonts w:ascii="Arial" w:cs="Arial" w:eastAsia="Arial" w:hAnsi="Arial"/>
          <w:sz w:val="21"/>
          <w:szCs w:val="21"/>
          <w:color w:val="auto"/>
        </w:rPr>
      </w:pPr>
      <w:r>
        <w:rPr>
          <w:rFonts w:ascii="Arial" w:cs="Arial" w:eastAsia="Arial" w:hAnsi="Arial"/>
          <w:sz w:val="21"/>
          <w:szCs w:val="21"/>
          <w:color w:val="auto"/>
        </w:rPr>
        <w:t>as to each Eurocurrency Rate Loan, the period commencing on the date such Eurocurrency Rate Loan is disbursed or converted to or continued as a Eurocurrency Rate Loan and ending on the date one, three or six months thereafter or, to the extent agreed by each Lender of such Eurocurrency Rate Loan, twelve months or less than one month, as selected by the Borrower in its Committed Loan Notice; and</w:t>
      </w:r>
    </w:p>
    <w:p>
      <w:pPr>
        <w:spacing w:after="0" w:line="149" w:lineRule="exact"/>
        <w:rPr>
          <w:rFonts w:ascii="Arial" w:cs="Arial" w:eastAsia="Arial" w:hAnsi="Arial"/>
          <w:sz w:val="21"/>
          <w:szCs w:val="21"/>
          <w:color w:val="auto"/>
        </w:rPr>
      </w:pPr>
    </w:p>
    <w:p>
      <w:pPr>
        <w:jc w:val="both"/>
        <w:ind w:firstLine="622"/>
        <w:spacing w:after="0" w:line="235" w:lineRule="auto"/>
        <w:tabs>
          <w:tab w:leader="none" w:pos="1115"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as to each Term SOFR Loan, the period commencing on the date such Term SOFR Loan is disbursed or converted to or continued as a Term SOFR Loan and ending on the date one, three or six months thereafter, as selected by the Borrower in its Committed Loan Notice (in the case of each requested Interest Period, subject to availability);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49" w:lineRule="exact"/>
        <w:rPr>
          <w:rFonts w:ascii="Arial" w:cs="Arial" w:eastAsia="Arial" w:hAnsi="Arial"/>
          <w:sz w:val="20"/>
          <w:szCs w:val="20"/>
          <w:color w:val="auto"/>
        </w:rPr>
      </w:pPr>
    </w:p>
    <w:p>
      <w:pPr>
        <w:jc w:val="both"/>
        <w:ind w:left="620" w:firstLine="621"/>
        <w:spacing w:after="0" w:line="224" w:lineRule="auto"/>
        <w:tabs>
          <w:tab w:leader="none" w:pos="1656" w:val="left"/>
        </w:tabs>
        <w:numPr>
          <w:ilvl w:val="1"/>
          <w:numId w:val="64"/>
        </w:numPr>
        <w:rPr>
          <w:rFonts w:ascii="Arial" w:cs="Arial" w:eastAsia="Arial" w:hAnsi="Arial"/>
          <w:sz w:val="21"/>
          <w:szCs w:val="21"/>
          <w:color w:val="auto"/>
        </w:rPr>
      </w:pPr>
      <w:r>
        <w:rPr>
          <w:rFonts w:ascii="Arial" w:cs="Arial" w:eastAsia="Arial" w:hAnsi="Arial"/>
          <w:sz w:val="21"/>
          <w:szCs w:val="21"/>
          <w:color w:val="auto"/>
        </w:rPr>
        <w:t>any Interest Period that would otherwise end on a day that is not a Business Day shall, subject to clause (iii) below, be extended to the next succeeding Business Day unless such Business Day falls in another calendar month, in which case such Interest Period shall end on the next preceding Business Day;</w:t>
      </w:r>
    </w:p>
    <w:p>
      <w:pPr>
        <w:spacing w:after="0" w:line="148" w:lineRule="exact"/>
        <w:rPr>
          <w:rFonts w:ascii="Arial" w:cs="Arial" w:eastAsia="Arial" w:hAnsi="Arial"/>
          <w:sz w:val="21"/>
          <w:szCs w:val="21"/>
          <w:color w:val="auto"/>
        </w:rPr>
      </w:pPr>
    </w:p>
    <w:p>
      <w:pPr>
        <w:jc w:val="both"/>
        <w:ind w:left="620" w:firstLine="621"/>
        <w:spacing w:after="0" w:line="272" w:lineRule="auto"/>
        <w:tabs>
          <w:tab w:leader="none" w:pos="1729"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21" w:lineRule="exact"/>
        <w:rPr>
          <w:rFonts w:ascii="Arial" w:cs="Arial" w:eastAsia="Arial" w:hAnsi="Arial"/>
          <w:sz w:val="18"/>
          <w:szCs w:val="18"/>
          <w:color w:val="auto"/>
        </w:rPr>
      </w:pPr>
    </w:p>
    <w:p>
      <w:pPr>
        <w:ind w:left="1760" w:hanging="519"/>
        <w:spacing w:after="0"/>
        <w:tabs>
          <w:tab w:leader="none" w:pos="17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 of the Facility under which such Loan was made.</w:t>
      </w:r>
    </w:p>
    <w:p>
      <w:pPr>
        <w:spacing w:after="0" w:line="177"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Interpolated Rate</w:t>
      </w:r>
      <w:r>
        <w:rPr>
          <w:rFonts w:ascii="Arial" w:cs="Arial" w:eastAsia="Arial" w:hAnsi="Arial"/>
          <w:sz w:val="19"/>
          <w:szCs w:val="19"/>
          <w:color w:val="auto"/>
        </w:rPr>
        <w:t>” means, at any time, for any Interest Period, the rate per annum (rounded to the same number of decimal places as the EURIBOR Screen Rate or an applicable Agreed Approved Foreign Currency Reference Rate, as applicable) determined by the Administrative Agent (which determination shall be conclusive and binding absent manifest error) to be equal to the rate that results from interpolating on a linear basis between: (a) the EURIBOR Screen Rate or such Agreed Approved Foreign Currency Reference Rate, as applicable, for the longest period for which the EURIBOR Screen Rate or such Agreed Approved Foreign Currency Reference Rate, as applicable, is available for the applicable currency that is shorter than the Impacted Interest Period; and (b) the EURIBOR Screen Rate or such Agreed Approved Foreign Currency Reference Rate, as applicable, for the shortest period (for which that EURIBOR Screen Rate or such Agreed Approved Foreign Currency Reference Rate, as applicable is available for the applicable currency) that exceeds the Impacted Interest Period, in each case, at such time.</w:t>
      </w:r>
    </w:p>
    <w:p>
      <w:pPr>
        <w:spacing w:after="0" w:line="14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Investment</w:t>
      </w:r>
      <w:r>
        <w:rPr>
          <w:rFonts w:ascii="Arial" w:cs="Arial" w:eastAsia="Arial" w:hAnsi="Arial"/>
          <w:sz w:val="21"/>
          <w:szCs w:val="21"/>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316" w:lineRule="exact"/>
        <w:rPr>
          <w:sz w:val="20"/>
          <w:szCs w:val="20"/>
          <w:color w:val="auto"/>
        </w:rPr>
      </w:pPr>
    </w:p>
    <w:p>
      <w:pPr>
        <w:jc w:val="both"/>
        <w:ind w:firstLine="6"/>
        <w:spacing w:after="0" w:line="232" w:lineRule="auto"/>
        <w:rPr>
          <w:sz w:val="20"/>
          <w:szCs w:val="20"/>
          <w:color w:val="auto"/>
        </w:rPr>
      </w:pPr>
      <w:r>
        <w:rPr>
          <w:rFonts w:ascii="Arial" w:cs="Arial" w:eastAsia="Arial" w:hAnsi="Arial"/>
          <w:sz w:val="19"/>
          <w:szCs w:val="19"/>
          <w:color w:val="auto"/>
        </w:rPr>
        <w:t>assumption of Indebtedness of, or purchase or other acquisition of any other debt or equity participation or interest in, another Person, including any partnership or joint venture interest in such other Person (excluding, in the case of the Borrower and its Restricted Subsidiaries, (i) intercompany advances arising from their cash management, tax, and accounting operations, in each case, in the ordinary course of business or consistent with past practice and (ii) intercompany loans, advances, or Indebtedness having a term not exceeding 364 days (inclusive of any roll-over or extensions of terms) and made in the ordinary course of business or consistent with past practice)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at any time shall be the amount actually invested (measured at the time made), without adjustment for subsequent increases or decreases in the value of such Investment but less all returns, distributions and similar amounts received on such Investment.</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Investors</w:t>
      </w:r>
      <w:r>
        <w:rPr>
          <w:rFonts w:ascii="Arial" w:cs="Arial" w:eastAsia="Arial" w:hAnsi="Arial"/>
          <w:sz w:val="19"/>
          <w:szCs w:val="19"/>
          <w:color w:val="auto"/>
        </w:rPr>
        <w:t>” means each of the Blackstone Funds and any of their Affiliates (other than any portfolio operating companies).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IP Rights</w:t>
      </w:r>
      <w:r>
        <w:rPr>
          <w:rFonts w:ascii="Arial" w:cs="Arial" w:eastAsia="Arial" w:hAnsi="Arial"/>
          <w:sz w:val="21"/>
          <w:szCs w:val="21"/>
          <w:color w:val="auto"/>
        </w:rPr>
        <w:t>” has the meaning set forth in Section 5.15.</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IPO Entity</w:t>
      </w:r>
      <w:r>
        <w:rPr>
          <w:rFonts w:ascii="Arial" w:cs="Arial" w:eastAsia="Arial" w:hAnsi="Arial"/>
          <w:sz w:val="21"/>
          <w:szCs w:val="21"/>
          <w:color w:val="auto"/>
        </w:rPr>
        <w:t>” has the meaning set forth in the definition of “Qualified IPO.”</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IPO Listco</w:t>
      </w:r>
      <w:r>
        <w:rPr>
          <w:rFonts w:ascii="Arial" w:cs="Arial" w:eastAsia="Arial" w:hAnsi="Arial"/>
          <w:sz w:val="19"/>
          <w:szCs w:val="19"/>
          <w:color w:val="auto"/>
        </w:rPr>
        <w:t>” means a wholly owned Subsidiary of Holdings formed in contemplation of any Qualified IPO to become an IPO</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Entity.</w:t>
      </w:r>
    </w:p>
    <w:p>
      <w:pPr>
        <w:spacing w:after="0" w:line="14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JPMorgan</w:t>
      </w:r>
      <w:r>
        <w:rPr>
          <w:rFonts w:ascii="Arial" w:cs="Arial" w:eastAsia="Arial" w:hAnsi="Arial"/>
          <w:sz w:val="21"/>
          <w:szCs w:val="21"/>
          <w:color w:val="auto"/>
        </w:rPr>
        <w:t>” means JPMorgan Chase Bank, N.A. and its successors.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Junior Financing</w:t>
      </w:r>
      <w:r>
        <w:rPr>
          <w:rFonts w:ascii="Arial" w:cs="Arial" w:eastAsia="Arial" w:hAnsi="Arial"/>
          <w:sz w:val="21"/>
          <w:szCs w:val="21"/>
          <w:color w:val="auto"/>
        </w:rPr>
        <w:t>” has the meaning set forth in Section 7.13(a).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Junior Financing Documentation</w:t>
      </w:r>
      <w:r>
        <w:rPr>
          <w:rFonts w:ascii="Arial" w:cs="Arial" w:eastAsia="Arial" w:hAnsi="Arial"/>
          <w:sz w:val="21"/>
          <w:szCs w:val="21"/>
          <w:color w:val="auto"/>
        </w:rPr>
        <w:t>” means any documentation governing any Junior Financing.</w:t>
      </w:r>
    </w:p>
    <w:p>
      <w:pPr>
        <w:spacing w:after="0" w:line="171"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Lien Intercreditor Agreement</w:t>
      </w:r>
      <w:r>
        <w:rPr>
          <w:rFonts w:ascii="Arial" w:cs="Arial" w:eastAsia="Arial" w:hAnsi="Arial"/>
          <w:sz w:val="20"/>
          <w:szCs w:val="20"/>
          <w:color w:val="auto"/>
        </w:rPr>
        <w:t>” means an intercreditor agreement substantially in the form of Exhibit J-2 hereto (which agreement in such form or with immaterial changes thereto the Collateral Agent is authorized to enter into) between, the Collateral Agent and one or more collateral agents or representatives for the holders of Indebtedness that is not prohibited under Section 7.03, and is intended to be, secured on a junior Lien basis to the Liens securing the Obligations.</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Advance</w:t>
      </w:r>
      <w:r>
        <w:rPr>
          <w:rFonts w:ascii="Arial" w:cs="Arial" w:eastAsia="Arial" w:hAnsi="Arial"/>
          <w:sz w:val="21"/>
          <w:szCs w:val="21"/>
          <w:color w:val="auto"/>
        </w:rPr>
        <w:t>” means, with respect to each Revolving Credit Lender, such Lender’s funding of its participation in any L/C Borrowing in accordance with its Pro Rata Share or other applicable share provided for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Borrowing</w:t>
      </w:r>
      <w:r>
        <w:rPr>
          <w:rFonts w:ascii="Arial" w:cs="Arial" w:eastAsia="Arial" w:hAnsi="Arial"/>
          <w:sz w:val="21"/>
          <w:szCs w:val="21"/>
          <w:color w:val="auto"/>
        </w:rPr>
        <w:t>” means an extension of credit resulting from a drawing under any Letter of Credit which has not been reimbursed on the applicable Honor Date or refinanced as a Revolving Credit Borrowing. All L/C Borrowings shall be denominated in Dollars.</w:t>
      </w:r>
    </w:p>
    <w:p>
      <w:pPr>
        <w:spacing w:after="0" w:line="14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Commitment</w:t>
      </w:r>
      <w:r>
        <w:rPr>
          <w:rFonts w:ascii="Arial" w:cs="Arial" w:eastAsia="Arial" w:hAnsi="Arial"/>
          <w:sz w:val="19"/>
          <w:szCs w:val="19"/>
          <w:color w:val="auto"/>
        </w:rPr>
        <w:t>” means, with respect to each L/C Issuer, the commitment of such L/C Issuer to issue Letters of Credit pursuant to Section 2.03, as such commitment is set forth on Schedule 1.01A or if an L/C Issuer has entered into an Assignment and Assumption, the amount set forth for such L/C Issuer as its L/C Commitment in the Register maintained by the Administrative Agent.</w:t>
      </w:r>
    </w:p>
    <w:p>
      <w:pPr>
        <w:spacing w:after="0" w:line="13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Credit Extension</w:t>
      </w:r>
      <w:r>
        <w:rPr>
          <w:rFonts w:ascii="Arial" w:cs="Arial" w:eastAsia="Arial" w:hAnsi="Arial"/>
          <w:sz w:val="21"/>
          <w:szCs w:val="21"/>
          <w:color w:val="auto"/>
        </w:rPr>
        <w:t>” means, with respect to any Letter of Credit, the issuance thereof or extension of the expiry date thereof, or the renewal or increase of the amount thereof.</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Disbursement</w:t>
      </w:r>
      <w:r>
        <w:rPr>
          <w:rFonts w:ascii="Arial" w:cs="Arial" w:eastAsia="Arial" w:hAnsi="Arial"/>
          <w:sz w:val="21"/>
          <w:szCs w:val="21"/>
          <w:color w:val="auto"/>
        </w:rPr>
        <w:t>” means any payment made by an L/C Issuer pursuant to a Letter of Credit.</w:t>
      </w:r>
    </w:p>
    <w:p>
      <w:pPr>
        <w:spacing w:after="0" w:line="171"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Issuer</w:t>
      </w:r>
      <w:r>
        <w:rPr>
          <w:rFonts w:ascii="Arial" w:cs="Arial" w:eastAsia="Arial" w:hAnsi="Arial"/>
          <w:sz w:val="21"/>
          <w:szCs w:val="21"/>
          <w:color w:val="auto"/>
        </w:rPr>
        <w:t xml:space="preserve"> ” means each of (i) JPMorgan and (ii) any other Lender that becomes an L/C Issuer in accordance with Sections 2.03(k) or 10.07(k). Each L/C Issuer may, in its discretion, arrange for one or more Letters of Credit to be issued by Affiliates of similar creditworthiness to such L/C Issuer, in which case the term “L/C Issuer” shall include any such Affiliate with respect to Letters of Credit issued by such Affiliate and for all purposes of the Loan Documents. If there is more than one L/C Issuer at any given time, the term L/C Issuer shall refer to the relevant L/C Issuer(s).</w:t>
      </w:r>
    </w:p>
    <w:p>
      <w:pPr>
        <w:spacing w:after="0" w:line="146"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 Obligations</w:t>
      </w:r>
      <w:r>
        <w:rPr>
          <w:rFonts w:ascii="Arial" w:cs="Arial" w:eastAsia="Arial" w:hAnsi="Arial"/>
          <w:sz w:val="20"/>
          <w:szCs w:val="20"/>
          <w:color w:val="auto"/>
        </w:rPr>
        <w:t>” means, as at any date of determination, the aggregate principal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Section 2.03(l). For all purposes of this Agreement, if on any date of determination a Letter of Credit has expired by its terms but any amount may still be drawn thereunder by reason of the operation of Rule 3.14 of the ISP or Rule 36 of UCP 600, such Letter of Credit shall be deemed to be “outstanding” in the amount so remaining available to be drawn.</w:t>
      </w:r>
    </w:p>
    <w:p>
      <w:pPr>
        <w:spacing w:after="0" w:line="145"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Latest Maturity Date</w:t>
      </w:r>
      <w:r>
        <w:rPr>
          <w:rFonts w:ascii="Arial" w:cs="Arial" w:eastAsia="Arial" w:hAnsi="Arial"/>
          <w:sz w:val="21"/>
          <w:szCs w:val="21"/>
          <w:color w:val="auto"/>
        </w:rPr>
        <w:t>” means, at any date of determination, the latest Maturity Date applicable to any Loan or Commitment hereunder at such time, including the latest maturity date of any Refinancing Term Loan, any Refinancing Term Commitment, any Extended Term Loan, any Extended Revolving Credit Commitment, any Incremental Term Loans, any Incremental Revolving Credit Commitments or any Other Revolving Credit Commitments, in each case as extended in accordance with this Agreement from time to time.</w:t>
      </w:r>
    </w:p>
    <w:p>
      <w:pPr>
        <w:spacing w:after="0" w:line="146"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Laws</w:t>
      </w:r>
      <w:r>
        <w:rPr>
          <w:rFonts w:ascii="Arial" w:cs="Arial" w:eastAsia="Arial" w:hAnsi="Arial"/>
          <w:sz w:val="21"/>
          <w:szCs w:val="21"/>
          <w:color w:val="auto"/>
        </w:rPr>
        <w:t>” means, collectively, all international, foreign, federal, state and local statutes, treaties, rules, guidelines, regulations, ordinances, codes and administrative or judicial precedents, orders, decrees, injunctions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LCT Election</w:t>
      </w:r>
      <w:r>
        <w:rPr>
          <w:rFonts w:ascii="Arial" w:cs="Arial" w:eastAsia="Arial" w:hAnsi="Arial"/>
          <w:sz w:val="21"/>
          <w:szCs w:val="21"/>
          <w:color w:val="auto"/>
        </w:rPr>
        <w:t>” has the meaning set forth in Section 1.02(h).</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LCT Test Date</w:t>
      </w:r>
      <w:r>
        <w:rPr>
          <w:rFonts w:ascii="Arial" w:cs="Arial" w:eastAsia="Arial" w:hAnsi="Arial"/>
          <w:sz w:val="21"/>
          <w:szCs w:val="21"/>
          <w:color w:val="auto"/>
        </w:rPr>
        <w:t>” has the meaning set forth in Section 1.02(h).</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Lead Arrangers</w:t>
      </w:r>
      <w:r>
        <w:rPr>
          <w:rFonts w:ascii="Arial" w:cs="Arial" w:eastAsia="Arial" w:hAnsi="Arial"/>
          <w:sz w:val="21"/>
          <w:szCs w:val="21"/>
          <w:color w:val="auto"/>
        </w:rPr>
        <w:t>” means collectively, (i) JPMorgan Chase Bank, N.A., BofA Securities, Inc. and TD Securities (USA) LLC, in their capacities as the joint lead arrangers and joint bookrunners under the Original Credit Agreement and (ii) JPMorgan Chase Bank, N.A., BofA Securities, Inc., TD Securities (USA) LLC, Fifth Third Bank and U.S. Bank National Association, in their capacities as the joint lead arrangers and joint bookrunners under this Agreement.</w:t>
      </w:r>
    </w:p>
    <w:p>
      <w:pPr>
        <w:spacing w:after="0" w:line="146"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Lender</w:t>
      </w:r>
      <w:r>
        <w:rPr>
          <w:rFonts w:ascii="Arial" w:cs="Arial" w:eastAsia="Arial" w:hAnsi="Arial"/>
          <w:sz w:val="21"/>
          <w:szCs w:val="21"/>
          <w:color w:val="auto"/>
        </w:rPr>
        <w:t>” has the meaning set forth in the introductory paragraph to this Agreement and, as the context requires, includes an L/C Issuer and the Swing Line Lender, and their respective successors and assigns as permitted hereunder, each of which is referred to herein as a “Lender”.</w:t>
      </w:r>
    </w:p>
    <w:p>
      <w:pPr>
        <w:spacing w:after="0" w:line="143"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 Default</w:t>
      </w:r>
      <w:r>
        <w:rPr>
          <w:rFonts w:ascii="Arial" w:cs="Arial" w:eastAsia="Arial" w:hAnsi="Arial"/>
          <w:sz w:val="19"/>
          <w:szCs w:val="19"/>
          <w:color w:val="auto"/>
        </w:rPr>
        <w:t>” means (i) the refusal (which may be given verbally or in writing and has not been retracted) or failure of any Lender to make available its portion of any incurrence of revolving loans or reimbursement obligations required to be made by it, which refusal or failure is not cured within two Business Days after the date of such refusal or failure; (ii) the failure of any Lender to pay over to the Administrative Agent, any L/C Issuer or any other Lender any other amount required to be paid by it hereunder within two Business Days of the date when due, unless subject to a good faith dispute; (iii) a Lender has notified the Borrower or the Administrative Agent that it does not intend to comply with its funding obligations, or has made a public statement to that effect with respect to its funding obligations, under the Revolving Credit Facility or under other agreements generally in which it commits to extend credit; (iv) a Lender has failed, within three Business Days after request by the Administrative Agent, to confirm that it will comply with its funding obligations under the Revolving Credit Facility; or (v) a Lender has admitted in writing that it is insolvent or such Lender becomes subject to a Lender-Related Distress Event or a Bail-In Action. Any determination by the Administrative Agent that a Lender Default has occurred under any one or more of clauses (i) through (v) above shall be conclusive and binding absent manifest error, and the applicable Lender shall be deemed to be a Defaulting Lender (subject to Section 2.17(b)) upon delivery of written notice of such determination to the Borrower, each L/C Issuer, each Swing Line Lender and each Lender.</w:t>
      </w:r>
    </w:p>
    <w:p>
      <w:pPr>
        <w:spacing w:after="0" w:line="154"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Lender-Related Distress Event</w:t>
      </w:r>
      <w:r>
        <w:rPr>
          <w:rFonts w:ascii="Arial" w:cs="Arial" w:eastAsia="Arial" w:hAnsi="Arial"/>
          <w:sz w:val="19"/>
          <w:szCs w:val="19"/>
          <w:color w:val="auto"/>
        </w:rPr>
        <w:t>” means, with respect to any Lender or any person that directly or indirectly controls such Lender (each, a “</w:t>
      </w:r>
      <w:r>
        <w:rPr>
          <w:rFonts w:ascii="Arial" w:cs="Arial" w:eastAsia="Arial" w:hAnsi="Arial"/>
          <w:sz w:val="19"/>
          <w:szCs w:val="19"/>
          <w:b w:val="1"/>
          <w:bCs w:val="1"/>
          <w:color w:val="auto"/>
        </w:rPr>
        <w:t>Distressed Person</w:t>
      </w:r>
      <w:r>
        <w:rPr>
          <w:rFonts w:ascii="Arial" w:cs="Arial" w:eastAsia="Arial" w:hAnsi="Arial"/>
          <w:sz w:val="19"/>
          <w:szCs w:val="19"/>
          <w:color w:val="auto"/>
        </w:rPr>
        <w:t xml:space="preserve">”), as the case may be, a voluntary or involuntary case with respect to such Distressed Person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Lending Office</w:t>
      </w:r>
      <w:r>
        <w:rPr>
          <w:rFonts w:ascii="Arial" w:cs="Arial" w:eastAsia="Arial" w:hAnsi="Arial"/>
          <w:sz w:val="21"/>
          <w:szCs w:val="21"/>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Letter of Credit</w:t>
      </w:r>
      <w:r>
        <w:rPr>
          <w:rFonts w:ascii="Arial" w:cs="Arial" w:eastAsia="Arial" w:hAnsi="Arial"/>
          <w:sz w:val="21"/>
          <w:szCs w:val="21"/>
          <w:color w:val="auto"/>
        </w:rPr>
        <w:t>” means any letter of credit issued hereunder. A Letter of Credit may be a commercial letter of credit or a standby letter of credit and may be issued in any Approved Currency.</w:t>
      </w:r>
    </w:p>
    <w:p>
      <w:pPr>
        <w:spacing w:after="0" w:line="14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Letter of Credit Expiration Date</w:t>
      </w:r>
      <w:r>
        <w:rPr>
          <w:rFonts w:ascii="Arial" w:cs="Arial" w:eastAsia="Arial" w:hAnsi="Arial"/>
          <w:sz w:val="19"/>
          <w:szCs w:val="19"/>
          <w:color w:val="auto"/>
        </w:rPr>
        <w:t>” means the day that is five (5) Business Days prior to the scheduled Maturity Date then in effect for the applicable Revolving Credit Facility (or, if such day is not a Business Day, the next preceding Business Day).</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Letter of Credit Issuance Request</w:t>
      </w:r>
      <w:r>
        <w:rPr>
          <w:rFonts w:ascii="Arial" w:cs="Arial" w:eastAsia="Arial" w:hAnsi="Arial"/>
          <w:sz w:val="21"/>
          <w:szCs w:val="21"/>
          <w:color w:val="auto"/>
        </w:rPr>
        <w:t>” means a letter of credit request substantially in the form of Exhibit B.</w:t>
      </w:r>
    </w:p>
    <w:p>
      <w:pPr>
        <w:spacing w:after="0" w:line="17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Letter of Credit Sublimit</w:t>
      </w:r>
      <w:r>
        <w:rPr>
          <w:rFonts w:ascii="Arial" w:cs="Arial" w:eastAsia="Arial" w:hAnsi="Arial"/>
          <w:sz w:val="19"/>
          <w:szCs w:val="19"/>
          <w:color w:val="auto"/>
        </w:rPr>
        <w:t>” means an amount equal to the lesser of (a) $15,000,000 and (b) the aggregate principal amount of the Revolving Credit Commitments. The Letter of Credit Sublimit is part of, and not in addition to, the Revolving Credit Facility.</w:t>
      </w:r>
    </w:p>
    <w:p>
      <w:pPr>
        <w:spacing w:after="0" w:line="105"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any mortgage, pledge, hypothecation, assignment by way of security,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 provided that in no event shall a Non-Financing Lease Obligation be deemed to constitute a Lien.</w:t>
      </w:r>
    </w:p>
    <w:p>
      <w:pPr>
        <w:spacing w:after="0" w:line="14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Limited Condition Transaction</w:t>
      </w:r>
      <w:r>
        <w:rPr>
          <w:rFonts w:ascii="Arial" w:cs="Arial" w:eastAsia="Arial" w:hAnsi="Arial"/>
          <w:sz w:val="19"/>
          <w:szCs w:val="19"/>
          <w:color w:val="auto"/>
        </w:rPr>
        <w:t>” means any acquisition or other Investment, including by way of merger, amalgamation or consolidation, by one or more of the Borrower and its Restricted Subsidiaries of any assets, business or Person permitted by this Agreement the consummation of which is not conditioned on the availability of, or on obtaining, third party acquisition financing.</w:t>
      </w:r>
    </w:p>
    <w:p>
      <w:pPr>
        <w:spacing w:after="0" w:line="13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w:t>
      </w:r>
      <w:r>
        <w:rPr>
          <w:rFonts w:ascii="Arial" w:cs="Arial" w:eastAsia="Arial" w:hAnsi="Arial"/>
          <w:sz w:val="21"/>
          <w:szCs w:val="21"/>
          <w:color w:val="auto"/>
        </w:rPr>
        <w:t>” means an extension of credit by a Lender to the Borrower under Article 2 in the form of a Term Loan, a Revolving Credit Loan or a Swing Line Loan (including any Incremental Term Loan and any extensions of credit under any Revolving Commitment Increase).</w:t>
      </w:r>
    </w:p>
    <w:p>
      <w:pPr>
        <w:spacing w:after="0" w:line="143"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 Documents</w:t>
      </w:r>
      <w:r>
        <w:rPr>
          <w:rFonts w:ascii="Arial" w:cs="Arial" w:eastAsia="Arial" w:hAnsi="Arial"/>
          <w:sz w:val="21"/>
          <w:szCs w:val="21"/>
          <w:color w:val="auto"/>
        </w:rPr>
        <w:t>” means, collectively, (i) this Agreement, (ii) the Notes, (iii) the Collateral Documents, (iv) each Intercreditor Agreement to the extent then in effect, (v) each Letter of Credit Issuance Request and (vi) any Refinancing Amendment, Incremental Amendment or Extension Amendment.</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 Parties</w:t>
      </w:r>
      <w:r>
        <w:rPr>
          <w:rFonts w:ascii="Arial" w:cs="Arial" w:eastAsia="Arial" w:hAnsi="Arial"/>
          <w:sz w:val="21"/>
          <w:szCs w:val="21"/>
          <w:color w:val="auto"/>
        </w:rPr>
        <w:t>” means, collectively, the Borrower and each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LTM Consolidated EBITDA</w:t>
      </w:r>
      <w:r>
        <w:rPr>
          <w:rFonts w:ascii="Arial" w:cs="Arial" w:eastAsia="Arial" w:hAnsi="Arial"/>
          <w:sz w:val="21"/>
          <w:szCs w:val="21"/>
          <w:color w:val="auto"/>
        </w:rPr>
        <w:t>” means Consolidated EBITDA for the most recently ended period of four consecutive fiscal quarters ended prior to the date of determination for which financial statements are internally available, calculated on a Pro Forma Basis.</w:t>
      </w:r>
    </w:p>
    <w:p>
      <w:pPr>
        <w:spacing w:after="0" w:line="143"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Stockholders</w:t>
      </w:r>
      <w:r>
        <w:rPr>
          <w:rFonts w:ascii="Arial" w:cs="Arial" w:eastAsia="Arial" w:hAnsi="Arial"/>
          <w:sz w:val="18"/>
          <w:szCs w:val="18"/>
          <w:color w:val="auto"/>
        </w:rPr>
        <w:t>” means the future, present and former members of management, employees, directors, officers, managers, members or partners (and their Controlled Investment Affiliates and Immediate Family Members) of Holdings, the Borrower or any of its Subsidiaries who are investors in Holdings, the Borrower or any direct or indirect parent thereof, including any such future, present or former employees, directors, officers, managers, members or partners owning through an Equityholding Vehicle.</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Margin Stock</w:t>
      </w:r>
      <w:r>
        <w:rPr>
          <w:rFonts w:ascii="Arial" w:cs="Arial" w:eastAsia="Arial" w:hAnsi="Arial"/>
          <w:sz w:val="21"/>
          <w:szCs w:val="21"/>
          <w:color w:val="auto"/>
        </w:rPr>
        <w:t>” has the meaning set forth in Regulation U issued by the FRB.</w:t>
      </w:r>
    </w:p>
    <w:p>
      <w:pPr>
        <w:spacing w:after="0" w:line="171"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Capitalization</w:t>
      </w:r>
      <w:r>
        <w:rPr>
          <w:rFonts w:ascii="Arial" w:cs="Arial" w:eastAsia="Arial" w:hAnsi="Arial"/>
          <w:sz w:val="19"/>
          <w:szCs w:val="19"/>
          <w:color w:val="auto"/>
        </w:rPr>
        <w:t>” means an amount equal to (i) the total number of issued and outstanding shares of common Equity Interests of the IPO Entity on the date of the declaration of a Restricted Payment multiplied by (ii) the arithmetic 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Master Agreement</w:t>
      </w:r>
      <w:r>
        <w:rPr>
          <w:rFonts w:ascii="Arial" w:cs="Arial" w:eastAsia="Arial" w:hAnsi="Arial"/>
          <w:sz w:val="21"/>
          <w:szCs w:val="21"/>
          <w:color w:val="auto"/>
        </w:rPr>
        <w:t>” has the meaning set forth in the definition of “Swap Contract.”</w:t>
      </w:r>
    </w:p>
    <w:p>
      <w:pPr>
        <w:spacing w:after="0" w:line="171"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means a (a) material adverse effect on the business, operations, assets, liabilities (actual or contingent) or financial condition of the Borrower and its Restricted Subsidiaries, taken as a whole; (b) material adverse effect on the ability of the Loan Parties (taken as a whole) to fully and timely perform any of their payment obligations under any Loan Document to which the Borrower or any of the Loan Parties is a party; or (c) material adverse effect on the rights and remedies available to the Lenders or any Agent under any Loan Document.</w:t>
      </w:r>
    </w:p>
    <w:p>
      <w:pPr>
        <w:spacing w:after="0" w:line="146"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Maturity Date</w:t>
      </w:r>
      <w:r>
        <w:rPr>
          <w:rFonts w:ascii="Arial" w:cs="Arial" w:eastAsia="Arial" w:hAnsi="Arial"/>
          <w:sz w:val="19"/>
          <w:szCs w:val="19"/>
          <w:color w:val="auto"/>
        </w:rPr>
        <w:t xml:space="preserve">” means (i) with respect to the Restatement Date Term Loans, the date that is five years after the Restatement Date, (ii) with respect to the Revolving Credit Commitments, the date that is five years after the Restatement Date, (iii) with respect to any tranche of Extended Term Loans or Extended Revolving Credit Commitments, the final maturity date applicable thereto as specified in the applicable Extension Request accepted by the respective Lender or Lenders, (iv) with respect to any Refinancing Term Loans or Other Revolving Credit Commitments, the final maturity date applicable thereto as specified in the applicable Refinancing Amendment and (v) with respect to any Incremental Term Loans or Incremental Revolving Credit Commitments, the final maturity date applicable thereto as specified in the applicable Incremental Amendment;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if such date is not a Business Day, then the applicable Maturity Date shall be the next succeeding Business Day.</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Maximum Rate</w:t>
      </w:r>
      <w:r>
        <w:rPr>
          <w:rFonts w:ascii="Arial" w:cs="Arial" w:eastAsia="Arial" w:hAnsi="Arial"/>
          <w:sz w:val="21"/>
          <w:szCs w:val="21"/>
          <w:color w:val="auto"/>
        </w:rPr>
        <w:t>” has the meaning set forth in Section 10.10.</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Moody’s</w:t>
      </w:r>
      <w:r>
        <w:rPr>
          <w:rFonts w:ascii="Arial" w:cs="Arial" w:eastAsia="Arial" w:hAnsi="Arial"/>
          <w:sz w:val="21"/>
          <w:szCs w:val="21"/>
          <w:color w:val="auto"/>
        </w:rPr>
        <w:t>” means Moody’s Investors Service, Inc.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Multiemployer Plan</w:t>
      </w:r>
      <w:r>
        <w:rPr>
          <w:rFonts w:ascii="Arial" w:cs="Arial" w:eastAsia="Arial" w:hAnsi="Arial"/>
          <w:sz w:val="21"/>
          <w:szCs w:val="21"/>
          <w:color w:val="auto"/>
        </w:rPr>
        <w:t>” means any employee benefit plan of the type described in Section 3(37) or Section 4001(a)(3) of ERISA, to which the Borrower, any Restricted Subsidiary or any ERISA Affiliate makes or is obligated to make contributions, or during the preceding six years, has made or been obligated to make contributions.</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Proceeds</w:t>
      </w:r>
      <w:r>
        <w:rPr>
          <w:rFonts w:ascii="Arial" w:cs="Arial" w:eastAsia="Arial" w:hAnsi="Arial"/>
          <w:sz w:val="21"/>
          <w:szCs w:val="21"/>
          <w:color w:val="auto"/>
        </w:rPr>
        <w:t>” means:</w:t>
      </w:r>
    </w:p>
    <w:p>
      <w:pPr>
        <w:spacing w:after="0" w:line="177" w:lineRule="exact"/>
        <w:rPr>
          <w:sz w:val="20"/>
          <w:szCs w:val="20"/>
          <w:color w:val="auto"/>
        </w:rPr>
      </w:pPr>
    </w:p>
    <w:p>
      <w:pPr>
        <w:jc w:val="both"/>
        <w:ind w:left="620" w:firstLine="621"/>
        <w:spacing w:after="0" w:line="241" w:lineRule="auto"/>
        <w:tabs>
          <w:tab w:leader="none" w:pos="17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100% of the cash proceeds actually received by the Borrower or any of the Restricted Subsidiaries from any Disposition or Casualty Event, net of (i) attorneys’ fees, accountants’ fees, consultants’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the principal amount, premium or penalty, if any, interest and other amounts on any Indebtedness that is secured by a Lien (other than a Lien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subordinated to the Liens securing the Obligations) on the asset subject to such Disposition or Casualty Event and that is required to be repaid (and is timely repaid) in connection with such Disposition or Casualty Event (other than Indebtedness under the Loan Documents), (iii) in the case of any Disposition or Casualty Event by a non-wholly owned Restricted Subsidiary, the pro rata portion of the Net Proceeds thereof (calculated without regard to this clause (iii)) attributable to minority interests and not available for distribution to or for the account of the Borrower or a wholly owned Restricted Subsidiary as a result thereof, (iv) any costs associated with unwinding any related Swap Obligations in connection with such transaction, (v) Taxes (including Tax distributions paid pursuant to Section 7.06(i)(iii)) paid or reasonably estimated to be payable as a result thereof, and (vi) the amount of any reasonable reserve established in accordance with GAAP against any adjustment to the sale price or any liabilities (other than any taxes deducted pursuant to clause (i) above) (x) related to any of the applicable assets and (y) retained by the Borrower or any of the Restricted Subsidiaries including, without limitation, pension and other post-employment benefit liabilities and liabilities related to environmental matters or against any indemnification obligations (however, the amount of any subsequent reduction of such reserve (other than in connection with a payment in respect of any such liability) shall be deemed to be Net Proceeds of such Disposition or Casualty Event occurring on the date of such reduction);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 long as no Event of Default under Sections 8.01(a) or, solely with respect to the Borrower, Section 8.01(f) has occurred and is continuing, the Borrower may reinvest any portion of such proceeds in assets useful for its business (which shall include any Investment permitted by this Agreement) within 18 months of such receipt and such portion of such proceeds shall not constitute Net Proceeds except to the extent not, within 18 months of such receipt, so reinvested or contractually committed to be so reinvested (it being understood that if any portion of such proceeds are not so used within such 18-month period but within such 18-month period are contractually committed to be used, then upon the termination of such contract or if such Net Proceeds are not so used within 24 months of initial receipt, such remaining portion shall constitute Net Proceeds as of the date of such termination or expiry without giving effect to this proviso); it being further understood that such proceeds shall constitute Net Proceeds notwithstanding any investment notice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316" w:lineRule="exact"/>
        <w:rPr>
          <w:sz w:val="20"/>
          <w:szCs w:val="20"/>
          <w:color w:val="auto"/>
        </w:rPr>
      </w:pPr>
    </w:p>
    <w:p>
      <w:pPr>
        <w:jc w:val="both"/>
        <w:ind w:left="620" w:firstLine="6"/>
        <w:spacing w:after="0" w:line="222" w:lineRule="auto"/>
        <w:rPr>
          <w:sz w:val="20"/>
          <w:szCs w:val="20"/>
          <w:color w:val="auto"/>
        </w:rPr>
      </w:pPr>
      <w:r>
        <w:rPr>
          <w:rFonts w:ascii="Arial" w:cs="Arial" w:eastAsia="Arial" w:hAnsi="Arial"/>
          <w:sz w:val="20"/>
          <w:szCs w:val="20"/>
          <w:color w:val="auto"/>
        </w:rPr>
        <w:t xml:space="preserve">Event of Default under Section 8.01(a) or, solely with respect to the Borrower, Section 8.01(f) has occurred and is continuing at the time of a proposed reinvestment, unless such proposed reinvestment is made pursuant to a binding commitment entered into at a time when no such Event of Default was continuing; </w:t>
      </w:r>
      <w:r>
        <w:rPr>
          <w:rFonts w:ascii="Arial" w:cs="Arial" w:eastAsia="Arial" w:hAnsi="Arial"/>
          <w:sz w:val="20"/>
          <w:szCs w:val="20"/>
          <w:i w:val="1"/>
          <w:iCs w:val="1"/>
          <w:color w:val="auto"/>
        </w:rPr>
        <w:t>provided, further</w:t>
      </w:r>
      <w:r>
        <w:rPr>
          <w:rFonts w:ascii="Arial" w:cs="Arial" w:eastAsia="Arial" w:hAnsi="Arial"/>
          <w:sz w:val="20"/>
          <w:szCs w:val="20"/>
          <w:color w:val="auto"/>
        </w:rPr>
        <w:t>, that (x) the proceeds realized in any single transaction or series of related transactions shall not constitute Net Proceeds unless the amount of such proceeds exceeds the greater of (i) $32,500,000 and (ii) 15% of LTM Consolidated EBITDA and (y) only the aggregate amount of proceeds (excluding, for the avoidance of doubt, Net Proceeds described in the preceding clause (x)) in excess of the greater of (i) $64,500,000 and (ii) 30% of LTM Consolidated EBITDA in any fiscal year (and thereafter only net cash proceeds in excess of such amount) shall constitute Net Proceeds under this clause (a), and</w:t>
      </w:r>
    </w:p>
    <w:p>
      <w:pPr>
        <w:spacing w:after="0" w:line="180" w:lineRule="exact"/>
        <w:rPr>
          <w:sz w:val="20"/>
          <w:szCs w:val="20"/>
          <w:color w:val="auto"/>
        </w:rPr>
      </w:pPr>
    </w:p>
    <w:p>
      <w:pPr>
        <w:jc w:val="both"/>
        <w:ind w:left="620" w:firstLine="621"/>
        <w:spacing w:after="0" w:line="243" w:lineRule="auto"/>
        <w:tabs>
          <w:tab w:leader="none" w:pos="1845" w:val="left"/>
        </w:tabs>
        <w:numPr>
          <w:ilvl w:val="0"/>
          <w:numId w:val="66"/>
        </w:numPr>
        <w:rPr>
          <w:rFonts w:ascii="Arial" w:cs="Arial" w:eastAsia="Arial" w:hAnsi="Arial"/>
          <w:sz w:val="19"/>
          <w:szCs w:val="19"/>
          <w:color w:val="auto"/>
        </w:rPr>
      </w:pPr>
      <w:r>
        <w:rPr>
          <w:rFonts w:ascii="Arial" w:cs="Arial" w:eastAsia="Arial" w:hAnsi="Arial"/>
          <w:sz w:val="19"/>
          <w:szCs w:val="19"/>
          <w:color w:val="auto"/>
        </w:rPr>
        <w:t>100% of the cash proceeds from the incurrence, issuance or sale by the Borrower or any of the Restricted Subsidiaries of any Indebtedness, net of all taxes paid or reasonably estimated to be payable as a result thereof (including Tax distributions paid pursuant to Section 7.06(i)(iii)) and fees (including investment banking fees and discounts), commissions, costs and other expenses, in each case incurred in connection with such incurrence, issuance or sale.</w:t>
      </w:r>
    </w:p>
    <w:p>
      <w:pPr>
        <w:spacing w:after="0" w:line="146"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For purposes of calculating the amount of Net Proceeds, fees, commissions and other costs and expenses payable to the Borrower or any Restricted Subsidiary shall be disregarded.</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New Borrower</w:t>
      </w:r>
      <w:r>
        <w:rPr>
          <w:rFonts w:ascii="Arial" w:cs="Arial" w:eastAsia="Arial" w:hAnsi="Arial"/>
          <w:sz w:val="21"/>
          <w:szCs w:val="21"/>
          <w:color w:val="auto"/>
        </w:rPr>
        <w:t>” has the meaning set forth in Section 10.26(a).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New Holdings</w:t>
      </w:r>
      <w:r>
        <w:rPr>
          <w:rFonts w:ascii="Arial" w:cs="Arial" w:eastAsia="Arial" w:hAnsi="Arial"/>
          <w:sz w:val="21"/>
          <w:szCs w:val="21"/>
          <w:color w:val="auto"/>
        </w:rPr>
        <w:t>” has the meaning set forth in Section 10.26(a).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 xml:space="preserve">“New Holdings and New Borrower Supplement </w:t>
      </w:r>
      <w:r>
        <w:rPr>
          <w:rFonts w:ascii="Arial" w:cs="Arial" w:eastAsia="Arial" w:hAnsi="Arial"/>
          <w:sz w:val="21"/>
          <w:szCs w:val="21"/>
          <w:color w:val="auto"/>
        </w:rPr>
        <w:t>has the meaning set forth in Section 10.26(b).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Non-Consenting Lender</w:t>
      </w:r>
      <w:r>
        <w:rPr>
          <w:rFonts w:ascii="Arial" w:cs="Arial" w:eastAsia="Arial" w:hAnsi="Arial"/>
          <w:sz w:val="21"/>
          <w:szCs w:val="21"/>
          <w:color w:val="auto"/>
        </w:rPr>
        <w:t>” has the meaning set forth in Section 3.07(d).</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Non-Debt Fund Affiliate</w:t>
      </w:r>
      <w:r>
        <w:rPr>
          <w:rFonts w:ascii="Arial" w:cs="Arial" w:eastAsia="Arial" w:hAnsi="Arial"/>
          <w:sz w:val="21"/>
          <w:szCs w:val="21"/>
          <w:color w:val="auto"/>
        </w:rPr>
        <w:t>” means any Affiliate of the Investors other than (a) Holdings, the Borrower or any Subsidiary of the Borrower, (b) any Debt Fund Affiliates and (c) any natural person.</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Non-Defaulting Lender</w:t>
      </w:r>
      <w:r>
        <w:rPr>
          <w:rFonts w:ascii="Arial" w:cs="Arial" w:eastAsia="Arial" w:hAnsi="Arial"/>
          <w:sz w:val="21"/>
          <w:szCs w:val="21"/>
          <w:color w:val="auto"/>
        </w:rPr>
        <w:t>” means, at any time, a Lender that is not a Defaulting Lender.</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Non-Expiring Credit Commitment</w:t>
      </w:r>
      <w:r>
        <w:rPr>
          <w:rFonts w:ascii="Arial" w:cs="Arial" w:eastAsia="Arial" w:hAnsi="Arial"/>
          <w:sz w:val="21"/>
          <w:szCs w:val="21"/>
          <w:color w:val="auto"/>
        </w:rPr>
        <w:t>” has the meaning set forth in Section 2.04(g).</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Non-Extension Notice Date</w:t>
      </w:r>
      <w:r>
        <w:rPr>
          <w:rFonts w:ascii="Arial" w:cs="Arial" w:eastAsia="Arial" w:hAnsi="Arial"/>
          <w:sz w:val="21"/>
          <w:szCs w:val="21"/>
          <w:color w:val="auto"/>
        </w:rPr>
        <w:t>” has the meaning set forth in Section 2.03(b)(iii).</w:t>
      </w:r>
    </w:p>
    <w:p>
      <w:pPr>
        <w:spacing w:after="0" w:line="171"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Non-Financing Lease Obligation</w:t>
      </w:r>
      <w:r>
        <w:rPr>
          <w:rFonts w:ascii="Arial" w:cs="Arial" w:eastAsia="Arial" w:hAnsi="Arial"/>
          <w:sz w:val="20"/>
          <w:szCs w:val="20"/>
          <w:color w:val="auto"/>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Non-Financing Lease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 Otherwise Applied</w:t>
      </w:r>
      <w:r>
        <w:rPr>
          <w:rFonts w:ascii="Arial" w:cs="Arial" w:eastAsia="Arial" w:hAnsi="Arial"/>
          <w:sz w:val="19"/>
          <w:szCs w:val="19"/>
          <w:color w:val="auto"/>
        </w:rPr>
        <w:t>” means, with reference to any amount of proceeds of any transaction or event, that such amount (a) was not required to be applied to prepay the Loans pursuant to Section 2.05(b), (b) was not previously (and is not concurrently being) applied in determining the permissibility of a transaction under the Loan Documents where such permissibility was or is (or may have been) contingent on receipt of such amount or utilization of such amount for a specified purpose, (c) was not utilized pursuant to Section 8.05, (d) was not applied to incur Indebtedness pursuant to Section 7.03(m)(y), (e) was not utilized to make Restricted Payments pursuant to Section 7.06 (other than pursuant to Section 7.06(h)(y)), (f) was not utilized to make Investments pursuant to Sections 7.02(n), (p), (v), (w) or (z), (g) was not utilized to make prepayments of any Junior Financing pursuant to Section 7.13 (other than Section 7.13(a)(v)(y)) or (h) was not utilized to increase availability under clause (d) of the definition of Cumulative Credit. The Borrower shall promptly notify the Administrative Agent of any application of such amount as contemplated by (b) above.</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Note</w:t>
      </w:r>
      <w:r>
        <w:rPr>
          <w:rFonts w:ascii="Arial" w:cs="Arial" w:eastAsia="Arial" w:hAnsi="Arial"/>
          <w:sz w:val="21"/>
          <w:szCs w:val="21"/>
          <w:color w:val="auto"/>
        </w:rPr>
        <w:t>” means a Term Note, a Revolving Credit Note or a Swing Line Note, as the context may require.</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NYFRB Rate</w:t>
      </w:r>
      <w:r>
        <w:rPr>
          <w:rFonts w:ascii="Arial" w:cs="Arial" w:eastAsia="Arial" w:hAnsi="Arial"/>
          <w:sz w:val="20"/>
          <w:szCs w:val="20"/>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be less than zero, such rate shall be deemed to be zero for purposes of this Agreement.</w:t>
      </w:r>
    </w:p>
    <w:p>
      <w:pPr>
        <w:spacing w:after="0" w:line="145"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all (x) advances to, and debts, liabilities, obligations, covenants and duties of, any Loan Party and its Restricted Subsidiaries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Restricted Subsidiary of any proceeding under any Debtor Relief Laws naming such Person as the debtor in such proceeding, regardless of whether such interest and fees are allowed claims in such proceeding and (y) obligations of the Borrower or any Restricted Subsidiary arising under any Secured Hedge Agreement or any Treasury Services Agreement. Without limiting the generality of the foregoing, the Obligations of the Loan Parties under the Loan Documents (and of their Restricted Subsidiaries to the extent they have obligations under the Loan Documents) include</w:t>
      </w:r>
    </w:p>
    <w:p>
      <w:pPr>
        <w:spacing w:after="0" w:line="4" w:lineRule="exact"/>
        <w:rPr>
          <w:sz w:val="20"/>
          <w:szCs w:val="20"/>
          <w:color w:val="auto"/>
        </w:rPr>
      </w:pPr>
    </w:p>
    <w:p>
      <w:pPr>
        <w:jc w:val="both"/>
        <w:ind w:firstLine="3"/>
        <w:spacing w:after="0" w:line="233" w:lineRule="auto"/>
        <w:tabs>
          <w:tab w:leader="none" w:pos="288"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obligation (including guarantee obligations) to pay principal, interest, Letter of Credit fees, reimbursement obligations, charges, expenses, fees, Attorney Costs, indemnities and other amounts payable by any Loan Party under any Loan Document and (b) the obligation of any Loan Party to reimburse any amount in respect of any of the foregoing that any Lender, in its sole discretion, may elect to pay or advance on behalf of such Loan Party. Notwithstanding the foregoing, the obligations of the Borrower or any Restricted Subsidiary under any Secured Hedge Agreement or any Treasury Services Agreement shall be secured and guaranteed pursuant to the Collateral Documents and the Guaranty only to the extent that, and for so long as,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Obligations are so secured and guaranteed. Notwithstanding the foregoing, Obligations of any Guarantor shall in no event include any Excluded Swap Obligations of such Guarantor.</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OFAC</w:t>
      </w:r>
      <w:r>
        <w:rPr>
          <w:rFonts w:ascii="Arial" w:cs="Arial" w:eastAsia="Arial" w:hAnsi="Arial"/>
          <w:sz w:val="21"/>
          <w:szCs w:val="21"/>
          <w:color w:val="auto"/>
        </w:rPr>
        <w:t>” means the Office of Foreign Assets Control of the United States Department of the Treasury.</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Offered Amount</w:t>
      </w:r>
      <w:r>
        <w:rPr>
          <w:rFonts w:ascii="Arial" w:cs="Arial" w:eastAsia="Arial" w:hAnsi="Arial"/>
          <w:sz w:val="21"/>
          <w:szCs w:val="21"/>
          <w:color w:val="auto"/>
        </w:rPr>
        <w:t>” has the meaning set forth in Section 2.05(a)(v)(D)(1).</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Offered Discount</w:t>
      </w:r>
      <w:r>
        <w:rPr>
          <w:rFonts w:ascii="Arial" w:cs="Arial" w:eastAsia="Arial" w:hAnsi="Arial"/>
          <w:sz w:val="21"/>
          <w:szCs w:val="21"/>
          <w:color w:val="auto"/>
        </w:rPr>
        <w:t>” has the meaning set forth in Section 2.05(a)(v)(D)(1).</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OID</w:t>
      </w:r>
      <w:r>
        <w:rPr>
          <w:rFonts w:ascii="Arial" w:cs="Arial" w:eastAsia="Arial" w:hAnsi="Arial"/>
          <w:sz w:val="21"/>
          <w:szCs w:val="21"/>
          <w:color w:val="auto"/>
        </w:rPr>
        <w:t>” means original issue discount.</w:t>
      </w:r>
    </w:p>
    <w:p>
      <w:pPr>
        <w:spacing w:after="0" w:line="171"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Organizational Documents</w:t>
      </w:r>
      <w:r>
        <w:rPr>
          <w:rFonts w:ascii="Arial" w:cs="Arial" w:eastAsia="Arial" w:hAnsi="Arial"/>
          <w:sz w:val="21"/>
          <w:szCs w:val="21"/>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Original Credit Agreement</w:t>
      </w:r>
      <w:r>
        <w:rPr>
          <w:rFonts w:ascii="Arial" w:cs="Arial" w:eastAsia="Arial" w:hAnsi="Arial"/>
          <w:sz w:val="21"/>
          <w:szCs w:val="21"/>
          <w:color w:val="auto"/>
        </w:rPr>
        <w:t>” has the meaning set forth in the preliminary statements hereto.</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Applicable Indebtedness</w:t>
      </w:r>
      <w:r>
        <w:rPr>
          <w:rFonts w:ascii="Arial" w:cs="Arial" w:eastAsia="Arial" w:hAnsi="Arial"/>
          <w:sz w:val="21"/>
          <w:szCs w:val="21"/>
          <w:color w:val="auto"/>
        </w:rPr>
        <w:t>” has the meaning set forth in Section 2.05(b)(ii).</w:t>
      </w:r>
    </w:p>
    <w:p>
      <w:pPr>
        <w:spacing w:after="0" w:line="171"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Debt Representative</w:t>
      </w:r>
      <w:r>
        <w:rPr>
          <w:rFonts w:ascii="Arial" w:cs="Arial" w:eastAsia="Arial" w:hAnsi="Arial"/>
          <w:sz w:val="19"/>
          <w:szCs w:val="19"/>
          <w:color w:val="auto"/>
        </w:rPr>
        <w:t xml:space="preserve">” means, with respect to any series of Indebtedness permitted, pursuant to the terms of this Agreement, to be incurred and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Lien basis to the Lien securing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3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Revolving Credit Commitments</w:t>
      </w:r>
      <w:r>
        <w:rPr>
          <w:rFonts w:ascii="Arial" w:cs="Arial" w:eastAsia="Arial" w:hAnsi="Arial"/>
          <w:sz w:val="21"/>
          <w:szCs w:val="21"/>
          <w:color w:val="auto"/>
        </w:rPr>
        <w:t>” means one or more Classes of revolving credit commitments hereunder that result from a Refinancing Amendment.</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Revolving Credit Loans</w:t>
      </w:r>
      <w:r>
        <w:rPr>
          <w:rFonts w:ascii="Arial" w:cs="Arial" w:eastAsia="Arial" w:hAnsi="Arial"/>
          <w:sz w:val="21"/>
          <w:szCs w:val="21"/>
          <w:color w:val="auto"/>
        </w:rPr>
        <w:t>” means one or more Classes of Revolving Credit Loans that result from a Refinancing Amendment.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Taxes</w:t>
      </w:r>
      <w:r>
        <w:rPr>
          <w:rFonts w:ascii="Arial" w:cs="Arial" w:eastAsia="Arial" w:hAnsi="Arial"/>
          <w:sz w:val="21"/>
          <w:szCs w:val="21"/>
          <w:color w:val="auto"/>
        </w:rPr>
        <w:t>” has the meaning set forth in Section 3.01(b).</w:t>
      </w:r>
    </w:p>
    <w:p>
      <w:pPr>
        <w:spacing w:after="0" w:line="17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Outstanding Amount</w:t>
      </w:r>
      <w:r>
        <w:rPr>
          <w:rFonts w:ascii="Arial" w:cs="Arial" w:eastAsia="Arial" w:hAnsi="Arial"/>
          <w:sz w:val="19"/>
          <w:szCs w:val="19"/>
          <w:color w:val="auto"/>
        </w:rPr>
        <w:t>” means (a) with respect to the Term Loans, Revolving Credit Loans and Swing Line Loans on any date, the aggregate outstanding Principal Amount thereof after giving effect to any borrowings and prepayments or repayments of Term Loans, Revolving Credit Loans (including any refinancing of outstanding unpaid drawings under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16" w:lineRule="exact"/>
        <w:rPr>
          <w:sz w:val="20"/>
          <w:szCs w:val="20"/>
          <w:color w:val="auto"/>
        </w:rPr>
      </w:pPr>
    </w:p>
    <w:p>
      <w:pPr>
        <w:jc w:val="both"/>
        <w:ind w:firstLine="6"/>
        <w:spacing w:after="0" w:line="225" w:lineRule="auto"/>
        <w:rPr>
          <w:sz w:val="20"/>
          <w:szCs w:val="20"/>
          <w:color w:val="auto"/>
        </w:rPr>
      </w:pPr>
      <w:r>
        <w:rPr>
          <w:rFonts w:ascii="Arial" w:cs="Arial" w:eastAsia="Arial" w:hAnsi="Arial"/>
          <w:sz w:val="20"/>
          <w:szCs w:val="20"/>
          <w:color w:val="auto"/>
        </w:rPr>
        <w:t>or L/C Credit Extensions as a Revolving Credit Borrowing) and Swing Line Loans, as the case may be, occurring on such date; and (b) with respect to any L/C Obligations on any date, the aggregate outstanding Principal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amount available for drawing under Letters of Credit taking effect on such date.</w:t>
      </w:r>
    </w:p>
    <w:p>
      <w:pPr>
        <w:spacing w:after="0" w:line="14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Overnight Bank Funding Rate</w:t>
      </w:r>
      <w:r>
        <w:rPr>
          <w:rFonts w:ascii="Arial" w:cs="Arial" w:eastAsia="Arial" w:hAnsi="Arial"/>
          <w:sz w:val="21"/>
          <w:szCs w:val="21"/>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has the meaning set forth in Section 10.07(f).</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 Register</w:t>
      </w:r>
      <w:r>
        <w:rPr>
          <w:rFonts w:ascii="Arial" w:cs="Arial" w:eastAsia="Arial" w:hAnsi="Arial"/>
          <w:sz w:val="21"/>
          <w:szCs w:val="21"/>
          <w:color w:val="auto"/>
        </w:rPr>
        <w:t>” has the meaning set forth in Section 10.07(f).</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Participating Lender</w:t>
      </w:r>
      <w:r>
        <w:rPr>
          <w:rFonts w:ascii="Arial" w:cs="Arial" w:eastAsia="Arial" w:hAnsi="Arial"/>
          <w:sz w:val="21"/>
          <w:szCs w:val="21"/>
          <w:color w:val="auto"/>
        </w:rPr>
        <w:t>” has the meaning set forth in Section 2.05(a)(v)(C)(2).</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PBGC</w:t>
      </w:r>
      <w:r>
        <w:rPr>
          <w:rFonts w:ascii="Arial" w:cs="Arial" w:eastAsia="Arial" w:hAnsi="Arial"/>
          <w:sz w:val="21"/>
          <w:szCs w:val="21"/>
          <w:color w:val="auto"/>
        </w:rPr>
        <w:t>” means the Pension Benefit Guaranty Corporation.</w:t>
      </w:r>
    </w:p>
    <w:p>
      <w:pPr>
        <w:spacing w:after="0" w:line="171"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Pension Plan</w:t>
      </w:r>
      <w:r>
        <w:rPr>
          <w:rFonts w:ascii="Arial" w:cs="Arial" w:eastAsia="Arial" w:hAnsi="Arial"/>
          <w:sz w:val="19"/>
          <w:szCs w:val="19"/>
          <w:color w:val="auto"/>
        </w:rPr>
        <w:t>” means any “</w:t>
      </w:r>
      <w:r>
        <w:rPr>
          <w:rFonts w:ascii="Arial" w:cs="Arial" w:eastAsia="Arial" w:hAnsi="Arial"/>
          <w:sz w:val="19"/>
          <w:szCs w:val="19"/>
          <w:b w:val="1"/>
          <w:bCs w:val="1"/>
          <w:color w:val="auto"/>
        </w:rPr>
        <w:t>employee pension benefit plan</w:t>
      </w:r>
      <w:r>
        <w:rPr>
          <w:rFonts w:ascii="Arial" w:cs="Arial" w:eastAsia="Arial" w:hAnsi="Arial"/>
          <w:sz w:val="19"/>
          <w:szCs w:val="19"/>
          <w:color w:val="auto"/>
        </w:rPr>
        <w:t>” (as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years.</w:t>
      </w:r>
    </w:p>
    <w:p>
      <w:pPr>
        <w:spacing w:after="0" w:line="13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Perfection Certificate</w:t>
      </w:r>
      <w:r>
        <w:rPr>
          <w:rFonts w:ascii="Arial" w:cs="Arial" w:eastAsia="Arial" w:hAnsi="Arial"/>
          <w:sz w:val="21"/>
          <w:szCs w:val="21"/>
          <w:color w:val="auto"/>
        </w:rPr>
        <w:t>” means a certificate in the form of Exhibit H hereto or any other form reasonably approved by the Collateral Agent, as the same shall be supplemented from time to time.</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Periodic Term SOFR Determination Day</w:t>
      </w:r>
      <w:r>
        <w:rPr>
          <w:rFonts w:ascii="Arial" w:cs="Arial" w:eastAsia="Arial" w:hAnsi="Arial"/>
          <w:sz w:val="21"/>
          <w:szCs w:val="21"/>
          <w:color w:val="auto"/>
        </w:rPr>
        <w:t>” has the meaning set forth in the definition of “Term SOFR”.</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Acquisition</w:t>
      </w:r>
      <w:r>
        <w:rPr>
          <w:rFonts w:ascii="Arial" w:cs="Arial" w:eastAsia="Arial" w:hAnsi="Arial"/>
          <w:sz w:val="21"/>
          <w:szCs w:val="21"/>
          <w:color w:val="auto"/>
        </w:rPr>
        <w:t>” has the meaning set forth in Section 7.02(i).</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First Priority Refinancing Debt</w:t>
      </w:r>
      <w:r>
        <w:rPr>
          <w:rFonts w:ascii="Arial" w:cs="Arial" w:eastAsia="Arial" w:hAnsi="Arial"/>
          <w:sz w:val="21"/>
          <w:szCs w:val="21"/>
          <w:color w:val="auto"/>
        </w:rPr>
        <w:t>” means any Permitted First Priority Refinancing Notes and any Permitted First Priority Refinancing Loans.</w:t>
      </w:r>
    </w:p>
    <w:p>
      <w:pPr>
        <w:spacing w:after="0" w:line="14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First Priority Refinancing Loans</w:t>
      </w:r>
      <w:r>
        <w:rPr>
          <w:rFonts w:ascii="Arial" w:cs="Arial" w:eastAsia="Arial" w:hAnsi="Arial"/>
          <w:sz w:val="19"/>
          <w:szCs w:val="19"/>
          <w:color w:val="auto"/>
        </w:rPr>
        <w:t xml:space="preserve">” means any Credit Agreement Refinancing Indebtedness in the form of secured loans incurred by the Borrower and/or the Subsidiary Guarantors in the form of one or more tranches of loans not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Indebtedness is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(but without regard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16" w:lineRule="exact"/>
        <w:rPr>
          <w:sz w:val="20"/>
          <w:szCs w:val="20"/>
          <w:color w:val="auto"/>
        </w:rPr>
      </w:pPr>
    </w:p>
    <w:p>
      <w:pPr>
        <w:jc w:val="both"/>
        <w:ind w:firstLine="6"/>
        <w:spacing w:after="0" w:line="216" w:lineRule="auto"/>
        <w:rPr>
          <w:sz w:val="20"/>
          <w:szCs w:val="20"/>
          <w:color w:val="auto"/>
        </w:rPr>
      </w:pPr>
      <w:r>
        <w:rPr>
          <w:rFonts w:ascii="Arial" w:cs="Arial" w:eastAsia="Arial" w:hAnsi="Arial"/>
          <w:sz w:val="21"/>
          <w:szCs w:val="21"/>
          <w:color w:val="auto"/>
        </w:rPr>
        <w:t>control of remedies) with the Liens securing the Obligations and is not secured by any property or assets of Holdings, the Borrower or any Restricted Subsidiary other than the Collateral, (ii) such Indebtedness is not at any time guaranteed by any Subsidiaries other than Subsidiaries that are Guarantors and (iii) such Indebtedness does not mature on or prior to the date that is the Latest Maturity Date at the time such Indebtedness is incurred or issued or have a shorter Weighted Average Life to Maturity than the Restatement Date Term Loans.</w:t>
      </w:r>
    </w:p>
    <w:p>
      <w:pPr>
        <w:spacing w:after="0" w:line="171"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First Priority Refinancing Notes</w:t>
      </w:r>
      <w:r>
        <w:rPr>
          <w:rFonts w:ascii="Arial" w:cs="Arial" w:eastAsia="Arial" w:hAnsi="Arial"/>
          <w:sz w:val="19"/>
          <w:szCs w:val="19"/>
          <w:color w:val="auto"/>
        </w:rPr>
        <w:t xml:space="preserve">” means any Credit Agreement Refinancing Indebtedness in the form of secured Indebtedness (including any Registered Equivalent Notes) incurred by the Borrower and/or the Subsidiary Guarantors in the form of one or more series of senior secured notes (whether issued in a public offering, Rule 144A, private placement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Indebtedness is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(but without regard to the control of remedies) with the Liens securing the Obligations and is not secured by any property or assets of Holdings, the Borrower or any Restricted Subsidiary other than the Collateral, (ii) such Indebtedness is not at any time guaranteed by any Subsidiaries other than Subsidiaries that are Guarantors, (iii) such Indebtedness does not mature or have scheduled amortization or payments of principal (other than customary offers to repurchase upon a change of control, asset sale or event of loss and a customary acceleration right after an event of default) on or prior to the date that is the Latest Maturity Date at the time such Indebtedness is incurred or issued and (iv) an Other Debt Representative acting on behalf of the holders of such Indebtedness shall have become party to each Intercreditor Agreement then in effect. Permitted First Priority Refinancing Notes will include any Registered Equivalent Notes issued in exchange therefor.</w:t>
      </w:r>
    </w:p>
    <w:p>
      <w:pPr>
        <w:spacing w:after="0" w:line="152"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Holders</w:t>
      </w:r>
      <w:r>
        <w:rPr>
          <w:rFonts w:ascii="Arial" w:cs="Arial" w:eastAsia="Arial" w:hAnsi="Arial"/>
          <w:sz w:val="20"/>
          <w:szCs w:val="20"/>
          <w:color w:val="auto"/>
        </w:rPr>
        <w:t xml:space="preserve">” means each of (a) the Investors, (b) the Management Stockholders (including any Management Stockholders holding Equity Interests through an Equityholding Vehicle), (c) any Person who is acting solely as an underwriter in connection with a public or private offering of Equity Interests of Holdings or any of its direct or indirect parent companies, acting in such capacity, (d) any group (within the meaning of Rules 13d-3 and 13d-5 under the Exchange Act as in effect on the Restatement Date) of which any of the foregoing, Permitted Plan or any Person or group that becomes a Permitted Holder specified in the last sentence of this definition are members and any member of such group; </w:t>
      </w:r>
      <w:r>
        <w:rPr>
          <w:rFonts w:ascii="Arial" w:cs="Arial" w:eastAsia="Arial" w:hAnsi="Arial"/>
          <w:sz w:val="20"/>
          <w:szCs w:val="20"/>
          <w:i w:val="1"/>
          <w:iCs w:val="1"/>
          <w:color w:val="auto"/>
        </w:rPr>
        <w:t>provided</w:t>
      </w:r>
      <w:r>
        <w:rPr>
          <w:rFonts w:ascii="Arial" w:cs="Arial" w:eastAsia="Arial" w:hAnsi="Arial"/>
          <w:sz w:val="20"/>
          <w:szCs w:val="20"/>
          <w:color w:val="auto"/>
        </w:rPr>
        <w:t>, that in the case of such group and without giving effect to the existence of such group or any other group, Persons referred to in clauses (a) through (c), collectively, have beneficial ownership of more than 50% of the total voting power of the issued and outstanding Equity Interests of Holdings or any of its direct or indirect parent companies held by such group and (e) any Permitted Plan.</w:t>
      </w:r>
    </w:p>
    <w:p>
      <w:pPr>
        <w:spacing w:after="0" w:line="148"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Intercompany Activities</w:t>
      </w:r>
      <w:r>
        <w:rPr>
          <w:rFonts w:ascii="Arial" w:cs="Arial" w:eastAsia="Arial" w:hAnsi="Arial"/>
          <w:sz w:val="20"/>
          <w:szCs w:val="20"/>
          <w:color w:val="auto"/>
        </w:rPr>
        <w:t>” means any transactions (A) between or among the Borrower and its Restricted Subsidiaries that are entered into in the ordinary course of business of the Borrower and its Restricted Subsidiaries and, in the good faith judgment of the Borrower are necessary or advisable in connection with the ownership or operation of the business of the Borrower and its Restricted Subsidiaries, including, but not limited to, (i) payroll, cash management, purchasing, insurance and hedging arrangements, (ii) management, technology and licensing arrangements and (iii) customer loyalty and rewards program or (B) between or among the Borrower, its Restricted Subsidiaries and any captive insurance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Junior Lien Refinancing Debt</w:t>
      </w:r>
      <w:r>
        <w:rPr>
          <w:rFonts w:ascii="Arial" w:cs="Arial" w:eastAsia="Arial" w:hAnsi="Arial"/>
          <w:sz w:val="19"/>
          <w:szCs w:val="19"/>
          <w:color w:val="auto"/>
        </w:rPr>
        <w:t>” means Credit Agreement Refinancing Indebtedness constituting secured Indebtedness (including any Registered Equivalent Notes) incurred by the Borrower and/or the Subsidiary Guarantors in the form of one or more series of junior lien secured notes or junior lien secured loans; provided that (i) notwithstanding any provision to the contrary contained in the definition of “Credit Agreement Refinancing Indebtedness,” such Indebtedness is secured by the Collateral on a junior priority basis to the Liens securing the Obligations and the obligations in respect of any Permitted First Priority Refinancing Debt and is not secured by any property or assets of Holdings, the Borrower or any Restricted Subsidiary other than the Collateral, (ii) an Other Debt Representative acting on behalf of the holders of such Indebtedness shall have become party to the Junior Lien Intercreditor Agreement as a “Junior Priority Representative” (or similar term, in each case, as defined in the Junior Lien Intercreditor Agreement) and (iii) such Indebtedness meets the Permitted Other Debt Conditions. Permitted Junior Lien Refinancing Debt will include any Registered Equivalent Notes issued in exchange therefor.</w:t>
      </w:r>
    </w:p>
    <w:p>
      <w:pPr>
        <w:spacing w:after="0" w:line="148"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Other Debt Conditions</w:t>
      </w:r>
      <w:r>
        <w:rPr>
          <w:rFonts w:ascii="Arial" w:cs="Arial" w:eastAsia="Arial" w:hAnsi="Arial"/>
          <w:sz w:val="20"/>
          <w:szCs w:val="20"/>
          <w:color w:val="auto"/>
        </w:rPr>
        <w:t>” means that such applicable Indebtedness (i) does not mature or have scheduled amortization payments of principal or payments of principal and is not subject to mandatory redemption, repurchase, prepayment or sinking fund obligations (except customary asset sale or change of control provisions that provide for the prior repayment in full of the Loans and all other Obligations), in each case on or prior to the Latest Maturity Date at the time such Indebtedness is incurred and (ii) is not at any time guaranteed by any Subsidiaries other than Subsidiaries that are Guarantors.</w:t>
      </w:r>
    </w:p>
    <w:p>
      <w:pPr>
        <w:spacing w:after="0" w:line="14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Plan</w:t>
      </w:r>
      <w:r>
        <w:rPr>
          <w:rFonts w:ascii="Arial" w:cs="Arial" w:eastAsia="Arial" w:hAnsi="Arial"/>
          <w:sz w:val="21"/>
          <w:szCs w:val="21"/>
          <w:color w:val="auto"/>
        </w:rPr>
        <w:t>” means any employee benefits plan of Holdings or any of its Affiliates and any Person acting in its capacity as trustee, agent or other fiduciary or administrator of any such plan.</w:t>
      </w:r>
    </w:p>
    <w:p>
      <w:pPr>
        <w:spacing w:after="0" w:line="144"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Ratio Debt</w:t>
      </w:r>
      <w:r>
        <w:rPr>
          <w:rFonts w:ascii="Arial" w:cs="Arial" w:eastAsia="Arial" w:hAnsi="Arial"/>
          <w:sz w:val="18"/>
          <w:szCs w:val="18"/>
          <w:color w:val="auto"/>
        </w:rPr>
        <w:t xml:space="preserve">” means Indebtedness of the Borrower or any Restricted Subsidiary so long as immediately after giving Pro Forma Effect thereto and to the use of the proceeds thereof (but without netting the proceeds thereof) (i) no Event of Default shall be continuing or result therefrom and (ii) the Consolidated Total Net Leverage Ratio is no greater than either (I) 3.00 to 1.00 or (II) in the case of any such Indebtedness being applied to finance a Permitted Acquisition or other permitted Investment, the Consolidated Total Net Leverage Ratio immediately prior to the incurrence of such Indebtedness and consummation of such Permitted Acquisition or other permitted Investment, in each case, determined on a Pro Forma Basis as of the last day of the most recently ended Test Period;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Indebtedness shall (A) have a maturity date that is after the Latest Maturity Date (or in the case of Permitted Ratio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Debt secured by the Collateral on a junior basis to the Liens securing the Obligations or that is unsecured, at least ninety-one (91) days after the Latest Maturity Date) at the time such Indebtedness is incurred;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in this clause (A) shall not apply to the extent such Indebtedness constitutes a customary bridge facility, so long as the long-term Indebtedness into which such customary bridge facility is to be converted or exchanged satisfies the requirements of this clause (A) and such conversion or exchange is subject only to conditions customary for similar conversions or exchanges, (B) have a Weighted Average Life to Maturity not shorter than the longest remaining Weighted Average Life to Maturity of the Facilities and, in the case of Permitted Ratio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16" w:lineRule="exact"/>
        <w:rPr>
          <w:sz w:val="20"/>
          <w:szCs w:val="20"/>
          <w:color w:val="auto"/>
        </w:rPr>
      </w:pPr>
    </w:p>
    <w:p>
      <w:pPr>
        <w:jc w:val="both"/>
        <w:ind w:firstLine="6"/>
        <w:spacing w:after="0" w:line="229" w:lineRule="auto"/>
        <w:rPr>
          <w:sz w:val="20"/>
          <w:szCs w:val="20"/>
          <w:color w:val="auto"/>
        </w:rPr>
      </w:pPr>
      <w:r>
        <w:rPr>
          <w:rFonts w:ascii="Arial" w:cs="Arial" w:eastAsia="Arial" w:hAnsi="Arial"/>
          <w:sz w:val="19"/>
          <w:szCs w:val="19"/>
          <w:color w:val="auto"/>
        </w:rPr>
        <w:t xml:space="preserve">secured by the Collateral on a junior basis to the Liens securing the Obligations or that is unsecured, shall not be subject to scheduled amortization prior to maturity;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restrictions in this clause (B) shall not apply to the extent such Indebtedness constitutes a customary bridge facility, so long as the long-term Indebtedness into which such customary bridge facility is to be converted or exchanged satisfies the requirements of this clause (B) and such conversion or exchange is subject only to conditions customary for similar conversions or exchanges, (C) (x) if such Indebtedness is incurred or guaranteed on a secured basis by a Loan Party on a junior Lien basis to the Liens securing the Obligations, an Other Debt Representative acting on behalf of the holders of such Indebtedness shall have become party to the Junior Lien Intercreditor Agreement as a “Junior Priority Representative” (or similar term, in each case, as defined in the Junior Lien Intercreditor Agreement) and (y) if such Indebtedness is incurred or guaranteed on a secured basis by a Loan Party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to the Liens securing the Obligations, an Other Debt Representative acting on behalf of the holders of such Indebtedness shall have become party to each Intercreditor Agreement and (D) have terms and conditions (other than (x) pricing, rate floors, discounts, fees, premiums and optional prepayment or redemption provisions and (y) covenants or other provisions applicable only to periods after the Latest Maturity Date at the time of incurrence of such Indebtedness, and to the extent any more restrictive financial maintenance covenant is added for the benefit of such Permitted Ratio Debt, to the extent that such more restrictive financial maintenance covenant is also added for the benefit of each Facility remaining outstanding after the incurrence or issuance of such Permitted Ratio Debt) that in the good faith determination of the Borrower (i) are not materially less favorable (when taken as a whole) to the Borrower than the terms and conditions of the Loan Documents (when taken as a whole) or (ii) reflect market terms and conditions (taken as a whole) at the time of incurrence or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certificate of the Borrower as to the satisfaction of the conditions described in this clause (D) delivered at least five (5) Business Days prior to the incurrence of such Indebtedness, together with a reasonably detailed description of the material terms and conditions of such Indebtedness or drafts of documentation relating thereto, stating that the Borrower has determined in good faith that such terms and conditions satisfy the foregoing requirements of this clause (D), shall be conclusive unless the Administrative Agent notifies the Borrower within such five (5) Business Day period that it disagrees with such determination (including a description of the basis upon which it disagrees));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Indebtedness incurred by a Restricted Subsidiary that is not a Loan Party, together with any Indebtedness incurred by a Restricted Subsidiary that is not a Loan Party pursuant to Sections 7.03(g), 7.03(q) or 7.03(w), does not exceed in the aggregate at any time outstanding the greater of (i) $75,250,000 and (ii) 35% of LTM Consolidated EBITDA, in each case determined at the time of incurrence.</w:t>
      </w:r>
    </w:p>
    <w:p>
      <w:pPr>
        <w:spacing w:after="0" w:line="16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Refinancing</w:t>
      </w:r>
      <w:r>
        <w:rPr>
          <w:rFonts w:ascii="Arial" w:cs="Arial" w:eastAsia="Arial" w:hAnsi="Arial"/>
          <w:sz w:val="19"/>
          <w:szCs w:val="19"/>
          <w:color w:val="auto"/>
        </w:rPr>
        <w:t xml:space="preserve">” means, with respect to any Person, any modification, refinancing, refunding, renewal, replacement or extension of any Indebtedness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(b) other than with respect to a Permitted Refinancing in respect of Indebtedness permitted pursuant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316" w:lineRule="exact"/>
        <w:rPr>
          <w:sz w:val="20"/>
          <w:szCs w:val="20"/>
          <w:color w:val="auto"/>
        </w:rPr>
      </w:pPr>
    </w:p>
    <w:p>
      <w:pPr>
        <w:jc w:val="both"/>
        <w:ind w:firstLine="6"/>
        <w:spacing w:after="0" w:line="230" w:lineRule="auto"/>
        <w:rPr>
          <w:sz w:val="20"/>
          <w:szCs w:val="20"/>
          <w:color w:val="auto"/>
        </w:rPr>
      </w:pPr>
      <w:r>
        <w:rPr>
          <w:rFonts w:ascii="Arial" w:cs="Arial" w:eastAsia="Arial" w:hAnsi="Arial"/>
          <w:sz w:val="19"/>
          <w:szCs w:val="19"/>
          <w:color w:val="auto"/>
        </w:rPr>
        <w:t>7.03(e),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Section 7.03(e), at the time thereof, no Event of Default shall have occurred and be continuing and (d) if such Indebtedness being modified, refinanced, refunded, renewed, replaced or extended is Junior Financing, (i) to the extent such Indebtedness being modified, refinanced, refunded, renewed, replaced or extended is subordinated in right of payment to the Obligations, unless otherwise permitted under any basket or exception under Section 7.03 (with such amounts being deemed a utilization of the applicable basket or exception under Section 7.03),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and (ii) such modification, refinancing, refunding, renewal, replacement or extension is incurred by the Person who is the obligor of the Indebtedness being modified, refinanced, refunded, renewed, replaced or extended and (e) if the Indebtedness being modified, refinanced, refunded, renewed, replaced or extended was subject to an Intercreditor Agreement, the holders of such modified, refinanced, refunded, renewed, replaced or extended Indebtedness (if such Indebtedness is secured) or their representative on their behalf shall become party to the appropriate Intercreditor Agreement(s).</w:t>
      </w:r>
    </w:p>
    <w:p>
      <w:pPr>
        <w:spacing w:after="0" w:line="179" w:lineRule="exact"/>
        <w:rPr>
          <w:sz w:val="20"/>
          <w:szCs w:val="20"/>
          <w:color w:val="auto"/>
        </w:rPr>
      </w:pPr>
    </w:p>
    <w:p>
      <w:pPr>
        <w:jc w:val="both"/>
        <w:ind w:firstLine="6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Unsecured Refinancing Debt</w:t>
      </w:r>
      <w:r>
        <w:rPr>
          <w:rFonts w:ascii="Arial" w:cs="Arial" w:eastAsia="Arial" w:hAnsi="Arial"/>
          <w:sz w:val="19"/>
          <w:szCs w:val="19"/>
          <w:color w:val="auto"/>
        </w:rPr>
        <w:t xml:space="preserve">” means Credit Agreement Refinancing Indebtedness in the form of unsecured Indebtedness (including any Registered Equivalent Notes) incurred by the Borrower and/or the Subsidiary Guarantors in the form of one or more series of senior unsecured notes or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Indebtedness (i) otherwise satisfies the requirements set forth in the definition of “Credit Agreement Refinancing Indebtedness” and (ii) meets the Permitted Other Debt Conditions. Permitted Unsecured Refinancing Debt will include any Registered Equivalent Notes issued in exchange therefor.</w:t>
      </w:r>
    </w:p>
    <w:p>
      <w:pPr>
        <w:spacing w:after="0" w:line="14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natural person, corporation, limited liability company, trust, joint venture, association, company, partnership, Governmental Authority or other entity.</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Plan</w:t>
      </w:r>
      <w:r>
        <w:rPr>
          <w:rFonts w:ascii="Arial" w:cs="Arial" w:eastAsia="Arial" w:hAnsi="Arial"/>
          <w:sz w:val="21"/>
          <w:szCs w:val="21"/>
          <w:color w:val="auto"/>
        </w:rPr>
        <w:t>” means any “</w:t>
      </w:r>
      <w:r>
        <w:rPr>
          <w:rFonts w:ascii="Arial" w:cs="Arial" w:eastAsia="Arial" w:hAnsi="Arial"/>
          <w:sz w:val="21"/>
          <w:szCs w:val="21"/>
          <w:b w:val="1"/>
          <w:bCs w:val="1"/>
          <w:color w:val="auto"/>
        </w:rPr>
        <w:t>employee benefit plan</w:t>
      </w:r>
      <w:r>
        <w:rPr>
          <w:rFonts w:ascii="Arial" w:cs="Arial" w:eastAsia="Arial" w:hAnsi="Arial"/>
          <w:sz w:val="21"/>
          <w:szCs w:val="21"/>
          <w:color w:val="auto"/>
        </w:rPr>
        <w:t>” (as such term is defined in Section 3(3) of ERISA, but excluding any Multiemployer Plan) sponsored, maintained or contributed to by any Loan Party or, with respect to any such plan that is subject to Section 412 of the Code or Title IV of ERISA, any ERISA Affiliate.</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Platform</w:t>
      </w:r>
      <w:r>
        <w:rPr>
          <w:rFonts w:ascii="Arial" w:cs="Arial" w:eastAsia="Arial" w:hAnsi="Arial"/>
          <w:sz w:val="21"/>
          <w:szCs w:val="21"/>
          <w:color w:val="auto"/>
        </w:rPr>
        <w:t>” has the meaning set forth in Section 6.02.</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Pledged Debt</w:t>
      </w:r>
      <w:r>
        <w:rPr>
          <w:rFonts w:ascii="Arial" w:cs="Arial" w:eastAsia="Arial" w:hAnsi="Arial"/>
          <w:sz w:val="21"/>
          <w:szCs w:val="21"/>
          <w:color w:val="auto"/>
        </w:rPr>
        <w:t>” has the meaning set forth in the Security Agreement.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Pledged Equity</w:t>
      </w:r>
      <w:r>
        <w:rPr>
          <w:rFonts w:ascii="Arial" w:cs="Arial" w:eastAsia="Arial" w:hAnsi="Arial"/>
          <w:sz w:val="21"/>
          <w:szCs w:val="21"/>
          <w:color w:val="auto"/>
        </w:rPr>
        <w:t>” has the meaning set forth in the Security Agreement.</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Post-Acquisition Period</w:t>
      </w:r>
      <w:r>
        <w:rPr>
          <w:rFonts w:ascii="Arial" w:cs="Arial" w:eastAsia="Arial" w:hAnsi="Arial"/>
          <w:sz w:val="21"/>
          <w:szCs w:val="21"/>
          <w:color w:val="auto"/>
        </w:rPr>
        <w:t>” means, with respect to any Investment or the conversion of any Unrestricted Subsidiary into a Restricted Subsidiary, the period beginning on the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Investment or conversion is consummated and ending on the thirty-six month anniversary of the date on which such Investment or conversion is consummated.</w:t>
      </w:r>
    </w:p>
    <w:p>
      <w:pPr>
        <w:spacing w:after="0" w:line="144"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Prime Rate</w:t>
      </w:r>
      <w:r>
        <w:rPr>
          <w:rFonts w:ascii="Arial" w:cs="Arial" w:eastAsia="Arial" w:hAnsi="Arial"/>
          <w:sz w:val="19"/>
          <w:szCs w:val="19"/>
          <w:color w:val="auto"/>
        </w:rPr>
        <w:t xml:space="preserve">” means the rate of interest last quoted by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as the “Prime Rate” in the United States or, if </w:t>
      </w:r>
      <w:r>
        <w:rPr>
          <w:rFonts w:ascii="Arial" w:cs="Arial" w:eastAsia="Arial" w:hAnsi="Arial"/>
          <w:sz w:val="19"/>
          <w:szCs w:val="19"/>
          <w:i w:val="1"/>
          <w:iCs w:val="1"/>
          <w:color w:val="auto"/>
        </w:rPr>
        <w:t xml:space="preserve">The Wall Street Journal </w:t>
      </w:r>
      <w:r>
        <w:rPr>
          <w:rFonts w:ascii="Arial" w:cs="Arial" w:eastAsia="Arial" w:hAnsi="Arial"/>
          <w:sz w:val="19"/>
          <w:szCs w:val="19"/>
          <w:color w:val="auto"/>
        </w:rPr>
        <w:t>ceases to quote such rate, the highest per annum interest rate published by the Federal Reserve Board in Federal</w:t>
      </w:r>
      <w:r>
        <w:rPr>
          <w:rFonts w:ascii="Arial" w:cs="Arial" w:eastAsia="Arial" w:hAnsi="Arial"/>
          <w:sz w:val="19"/>
          <w:szCs w:val="19"/>
          <w:i w:val="1"/>
          <w:iCs w:val="1"/>
          <w:color w:val="auto"/>
        </w:rPr>
        <w:t xml:space="preserve"> </w:t>
      </w:r>
      <w:r>
        <w:rPr>
          <w:rFonts w:ascii="Arial" w:cs="Arial" w:eastAsia="Arial" w:hAnsi="Arial"/>
          <w:sz w:val="19"/>
          <w:szCs w:val="19"/>
          <w:color w:val="auto"/>
        </w:rPr>
        <w:t>Reserve Statistical Release H.15 (519) (Selected Interest Rates) as the “bank prime loan” rate or, if such rate is no longer quoted therein, any similar rate quoted therein (as determined by the Administrative Agent in its reasonable discretion) or any similar release by the Federal Reserve Board (as determined by the Administrative Agent in its reasonable discretion). Each change in the Prime Rate shall be effective from and including the date such change is publicly announced or quoted as being effective.</w:t>
      </w:r>
    </w:p>
    <w:p>
      <w:pPr>
        <w:spacing w:after="0" w:line="14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Principal Amount</w:t>
      </w:r>
      <w:r>
        <w:rPr>
          <w:rFonts w:ascii="Arial" w:cs="Arial" w:eastAsia="Arial" w:hAnsi="Arial"/>
          <w:sz w:val="21"/>
          <w:szCs w:val="21"/>
          <w:color w:val="auto"/>
        </w:rPr>
        <w:t>” means (i) the stated or principal amount of each Dollar Denominated Loan or Dollar Denominated Letter of Credit or L/C Obligation with respect thereto, as applicable, and (ii) the Dollar Equivalent of the stated or principal amount of each Foreign Currency Denominated Loan and Foreign Currency Denominated Letter of Credit or L/C Obligation with respect thereto, as the context may require.</w:t>
      </w:r>
    </w:p>
    <w:p>
      <w:pPr>
        <w:spacing w:after="0" w:line="146"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Adjustment</w:t>
      </w:r>
      <w:r>
        <w:rPr>
          <w:rFonts w:ascii="Arial" w:cs="Arial" w:eastAsia="Arial" w:hAnsi="Arial"/>
          <w:sz w:val="18"/>
          <w:szCs w:val="18"/>
          <w:color w:val="auto"/>
        </w:rPr>
        <w:t xml:space="preserve">” means, for any four-quarter period that includes all or any part of a fiscal quarter included in any Post-Acquisition Period, with respect to the Acquired EBITDA of the applicable Acquired Entity or Business or Converted Restricted Subsidiary or the Consolidated EBITDA of the Borrower,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increase or decrease in such Acquired EBITDA or such Consolidated EBITDA, as the case may be, projected by the Borrower in good faith as a result of (a) actions taken during such Post-Acquisition Period for the purposes of realizing reasonably identifiable and factually supportable “run rate” cost savings, operating expense reductions and synergies or (b)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at the election of the Borrower, such Pro Forma Adjustment shall not be required to be determined for any Acquired Entity or Business or Converted Restricted Subsidiary to the extent the aggregate consideration paid in connection with such acquisition was less than $15,000,000, and (ii) so long as such actions are taken during such Post-Acquisition Period or such costs are incurred during such Post-Acquisition Period, as applicable, for purposes of projecting such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increase or decrease to such Acquired EBITDA or such Consolidated EBITDA, as the case may be, it may be assumed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cost savings will be realizable during the entirety of such four-quarter period, or such additional costs will be accrued or incurred during the entirety of such four-quarter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any such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increase or decrease to such Acquired EBITDA or such Consolidated EBITDA, as the case may be, shall be without duplication for cost savings or additional costs already included in such Acquired EBITDA or such Consolidated EBITDA, as the case may be, for such four-quarter period.</w:t>
      </w:r>
    </w:p>
    <w:p>
      <w:pPr>
        <w:spacing w:after="0" w:line="14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 Forma Basis,</w:t>
      </w:r>
      <w:r>
        <w:rPr>
          <w:rFonts w:ascii="Arial" w:cs="Arial" w:eastAsia="Arial" w:hAnsi="Arial"/>
          <w:sz w:val="21"/>
          <w:szCs w:val="21"/>
          <w:color w:val="auto"/>
        </w:rPr>
        <w:t>” “</w:t>
      </w:r>
      <w:r>
        <w:rPr>
          <w:rFonts w:ascii="Arial" w:cs="Arial" w:eastAsia="Arial" w:hAnsi="Arial"/>
          <w:sz w:val="21"/>
          <w:szCs w:val="21"/>
          <w:b w:val="1"/>
          <w:bCs w:val="1"/>
          <w:color w:val="auto"/>
        </w:rPr>
        <w:t>Pro Forma Compliance</w:t>
      </w:r>
      <w:r>
        <w:rPr>
          <w:rFonts w:ascii="Arial" w:cs="Arial" w:eastAsia="Arial" w:hAnsi="Arial"/>
          <w:sz w:val="21"/>
          <w:szCs w:val="21"/>
          <w:color w:val="auto"/>
        </w:rPr>
        <w:t>” and “</w:t>
      </w:r>
      <w:r>
        <w:rPr>
          <w:rFonts w:ascii="Arial" w:cs="Arial" w:eastAsia="Arial" w:hAnsi="Arial"/>
          <w:sz w:val="21"/>
          <w:szCs w:val="21"/>
          <w:b w:val="1"/>
          <w:bCs w:val="1"/>
          <w:color w:val="auto"/>
        </w:rPr>
        <w:t>Pro Forma Effect</w:t>
      </w:r>
      <w:r>
        <w:rPr>
          <w:rFonts w:ascii="Arial" w:cs="Arial" w:eastAsia="Arial" w:hAnsi="Arial"/>
          <w:sz w:val="21"/>
          <w:szCs w:val="21"/>
          <w:color w:val="auto"/>
        </w:rPr>
        <w:t>” mean, with respect to compliance with any test hereunder, that (A) to the extent applicable, the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316" w:lineRule="exact"/>
        <w:rPr>
          <w:sz w:val="20"/>
          <w:szCs w:val="20"/>
          <w:color w:val="auto"/>
        </w:rPr>
      </w:pPr>
    </w:p>
    <w:p>
      <w:pPr>
        <w:jc w:val="both"/>
        <w:ind w:firstLine="6"/>
        <w:spacing w:after="0" w:line="228" w:lineRule="auto"/>
        <w:rPr>
          <w:sz w:val="20"/>
          <w:szCs w:val="20"/>
          <w:color w:val="auto"/>
        </w:rPr>
      </w:pPr>
      <w:r>
        <w:rPr>
          <w:rFonts w:ascii="Arial" w:cs="Arial" w:eastAsia="Arial" w:hAnsi="Arial"/>
          <w:sz w:val="19"/>
          <w:szCs w:val="19"/>
          <w:color w:val="auto"/>
        </w:rPr>
        <w:t xml:space="preserve">Adjustment shall have been made and (B) all Specified Transactions and the following transactions in connection therewith shall be deemed to have occurred as of the first day of the applicable period of measurement in such test: (a) income statement items (whether positive or negative) attributable to the property or Person subject to such Specified Transaction, (i) in the case of a Disposition of all or substantially all Equity Interests in any Subsidiary of the Borrower or any division, product line, or facility used for operations of the Borrower or any of its Subsidiaries, shall be excluded, and (ii) in the case of a Permitted Acquisition or Investment described in the definition of “Specified Transaction,” shall be included, (b) any retirement of Indebtedness, and (c) any Indebtedness incurred or assumed by the Borrower or any of the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without limiting the application of the Pro Forma Adjustment pursuant to (A) above, the foregoing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adjustments may be applied to any such test solely to the extent that such adjustments are consistent with the definition of Consolidated EBITDA and give effect to events (including operating expense reductions) that are (as determined by the Borrower in good faith) (i) (x) directly attributable to such transaction, (y) expected to have a continuing impact on the Borrower and the Restricted Subsidiaries and (z) factually supportable or (ii) otherwise consistent with the definition of Pro Forma Adjustment; (II) that when calculating the Consolidated Total Net Leverage Ratio for purposes of determining the Applicable Asset Sale Percentage, the events that occurred subsequent to the end of the applicable four-quarter period shall not be given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(III) that when calculating the Consolidated Total Net Leverage Ratio for purposes of actual compliance (and not Pro Forma Compliance or compliance on a Pro Forma Basis) with Section 7.11, the events that occurred subsequent to the end of the applicable four-quarter period shall not be given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and (IV) in determining Pro Forma Compliance with the Consolidated Total Net Leverage Ratio or any other incurrence test (other than in respect of Section 7.11), in connection with the incurrence (including by assumption or guarantee) of any Indebtedness, (i) the incurrence or repayment of any Indebtedness in respect of the Revolving Credit Facility and/or any Indebtedness incurred under any other revolving facility immediately prior to or in connection therewith included in the Consolidated Total Net Leverage Ratio, or such other incurrence test calculation immediately prior to, or simultaneously with, the event for which the Pro Forma Compliance determination of such ratio or other test is being made and (ii) the incurrence under the Revolving Credit Facility or under any other revolving facility used to finance working capital needs of Holdings and its Restricted Subsidiaries (as reasonably determined by the Borrower), in each case, shall be disregarded;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with respect to any incurrence of Indebtedness permitted by the provisions of this Agreement in reliance on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calculation of the Consolidated Total Net Leverage Ratio or such other incurrence test calculation, any Indebtedness being incurred (or expected to be incurred) substantially simultaneously or contemporaneously with the incurrence of any such Indebtedness or any applicable transaction or action in reliance on any “basket” set forth in this Agreement (including the Incremental Base Amount and any “baskets” measured as a percentage of Total Assets or Consolidated EBITDA), including under the Revolving Credit Facility and (ii) any Indebtedness incurred under the Revolving Credit Facility or any Indebtedness incurred under any other revolving facility that is used to finance working capital needs of the Borrower and its Restricted Subsidiaries (as reasonably determined by the Borrower) shall, in each case, be disregarded.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16" w:lineRule="exact"/>
        <w:rPr>
          <w:sz w:val="20"/>
          <w:szCs w:val="20"/>
          <w:color w:val="auto"/>
        </w:rPr>
      </w:pPr>
    </w:p>
    <w:p>
      <w:pPr>
        <w:jc w:val="both"/>
        <w:ind w:firstLine="6"/>
        <w:spacing w:after="0" w:line="231" w:lineRule="auto"/>
        <w:rPr>
          <w:sz w:val="20"/>
          <w:szCs w:val="20"/>
          <w:color w:val="auto"/>
        </w:rPr>
      </w:pPr>
      <w:r>
        <w:rPr>
          <w:rFonts w:ascii="Arial" w:cs="Arial" w:eastAsia="Arial" w:hAnsi="Arial"/>
          <w:sz w:val="19"/>
          <w:szCs w:val="19"/>
          <w:color w:val="auto"/>
        </w:rPr>
        <w:t xml:space="preserve">the event any fixed “baskets” are intended to be utilized together with any incurrence-based “baskets” in a single transaction or series of related transactions (including utilization of the Free and Clear Incremental Amount and the Incurrence-Based Incremental Amount), (i) compliance with or satisfaction of any applicable financial ratios or tests for the portion of Indebtedness or any other applicable transaction or action to be incurred under any incurrence-based “baskets” shall first be calculated without giving effect to amounts being utilized pursuant to any fixed “baskets”, but giving full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all applicable and related transactions (including, subject to the foregoing with respect to fixed “baskets”, any incurrence and repayments of Indebtedness) and all other permitted Pro Forma Adjustments (except that (i) the incurrence of any Indebtedness under the Revolving Credit Facility and/or any Indebtedness incurred under any other revolving facility immediately prior to or in connection therewith shall be disregarded and (ii) the incurrence of any Indebtedness under the Revolving Credit Facility or any other revolving facility used to finance working capital needs of Holdings and its Restricted Subsidiaries (as reasonably determined by the Borrower) shall, in each case, be disregarded) and (ii) thereafter, incurrence of the portion of such Indebtedness or other applicable transaction or action to be incurred under any fixed “baskets” shall be calculated.</w:t>
      </w:r>
    </w:p>
    <w:p>
      <w:pPr>
        <w:spacing w:after="0" w:line="17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Rata Share</w:t>
      </w:r>
      <w:r>
        <w:rPr>
          <w:rFonts w:ascii="Arial" w:cs="Arial" w:eastAsia="Arial" w:hAnsi="Arial"/>
          <w:sz w:val="19"/>
          <w:szCs w:val="19"/>
          <w:color w:val="auto"/>
        </w:rPr>
        <w:t xml:space="preserve">” means, with respect to each Lender, at any time a fraction (expressed as a percentage, carried out to the ninth decimal place), the numerator of which is the amount of the Commitments and, if applicable and without duplication, Term Loans of such Lender under the applicable Facility or Facilities at such time and the denominator of which is the amount of the Aggregate Commitments under the applicable Facility or Facilities and, if applicable and without duplication, Term Loans under the applicable Facility or Facilities at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the Revolving Credit Facility,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72"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PTE</w:t>
      </w:r>
      <w:r>
        <w:rPr>
          <w:rFonts w:ascii="Arial" w:cs="Arial" w:eastAsia="Arial" w:hAnsi="Arial"/>
          <w:sz w:val="21"/>
          <w:szCs w:val="21"/>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Public Lender</w:t>
      </w:r>
      <w:r>
        <w:rPr>
          <w:rFonts w:ascii="Arial" w:cs="Arial" w:eastAsia="Arial" w:hAnsi="Arial"/>
          <w:sz w:val="21"/>
          <w:szCs w:val="21"/>
          <w:color w:val="auto"/>
        </w:rPr>
        <w:t>” has the meaning set forth in Section 6.02.</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QFC Credit Support</w:t>
      </w:r>
      <w:r>
        <w:rPr>
          <w:rFonts w:ascii="Arial" w:cs="Arial" w:eastAsia="Arial" w:hAnsi="Arial"/>
          <w:sz w:val="21"/>
          <w:szCs w:val="21"/>
          <w:color w:val="auto"/>
        </w:rPr>
        <w:t>” has the meaning set forth in Section 10.25.</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Acquisition</w:t>
      </w:r>
      <w:r>
        <w:rPr>
          <w:rFonts w:ascii="Arial" w:cs="Arial" w:eastAsia="Arial" w:hAnsi="Arial"/>
          <w:sz w:val="21"/>
          <w:szCs w:val="21"/>
          <w:color w:val="auto"/>
        </w:rPr>
        <w:t>” means any Permitted Acquisition or Investment in which the aggregate consideration for such Permitted Acquisition or Investment is in excess of $20,000,000.</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Acquisition Election</w:t>
      </w:r>
      <w:r>
        <w:rPr>
          <w:rFonts w:ascii="Arial" w:cs="Arial" w:eastAsia="Arial" w:hAnsi="Arial"/>
          <w:sz w:val="21"/>
          <w:szCs w:val="21"/>
          <w:color w:val="auto"/>
        </w:rPr>
        <w:t>” has the meaning set forth in Section 7.11.</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ECP Guarantor</w:t>
      </w:r>
      <w:r>
        <w:rPr>
          <w:rFonts w:ascii="Arial" w:cs="Arial" w:eastAsia="Arial" w:hAnsi="Arial"/>
          <w:sz w:val="21"/>
          <w:szCs w:val="21"/>
          <w:color w:val="auto"/>
        </w:rPr>
        <w:t>” means, in respect of any Swap Obligation, each Guarantor that, at the time the relevant Guaranty (or grant of the relevant security interest, as applicable) becomes or would become effective with respect to such Swap Obligation, has total assets exceeding $10,000,000 or otherwise constitutes an “eligible contract participant” under the Commodity Exchange Act and which may cause another person to qualify as an “eligible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participant” with respect to such Swap Obligation at such time by entering into an agreement pursuant to the Commodity Exchange Act.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Equity Interests</w:t>
      </w:r>
      <w:r>
        <w:rPr>
          <w:rFonts w:ascii="Arial" w:cs="Arial" w:eastAsia="Arial" w:hAnsi="Arial"/>
          <w:sz w:val="21"/>
          <w:szCs w:val="21"/>
          <w:color w:val="auto"/>
        </w:rPr>
        <w:t>” means any Equity Interests that are not Disqualified Equity Interests.</w:t>
      </w:r>
    </w:p>
    <w:p>
      <w:pPr>
        <w:spacing w:after="0" w:line="171"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IPO</w:t>
      </w:r>
      <w:r>
        <w:rPr>
          <w:rFonts w:ascii="Arial" w:cs="Arial" w:eastAsia="Arial" w:hAnsi="Arial"/>
          <w:sz w:val="19"/>
          <w:szCs w:val="19"/>
          <w:color w:val="auto"/>
        </w:rPr>
        <w:t>” means any transaction or series of transactions that results in any common equity interests of Holdings or any direct or indirect parent of Holdings or any IPO Listco that Holdings will distribute to its direct or indirect parent in connection with a Qualified IPO (an “</w:t>
      </w:r>
      <w:r>
        <w:rPr>
          <w:rFonts w:ascii="Arial" w:cs="Arial" w:eastAsia="Arial" w:hAnsi="Arial"/>
          <w:sz w:val="19"/>
          <w:szCs w:val="19"/>
          <w:b w:val="1"/>
          <w:bCs w:val="1"/>
          <w:color w:val="auto"/>
        </w:rPr>
        <w:t>IPO Entity</w:t>
      </w:r>
      <w:r>
        <w:rPr>
          <w:rFonts w:ascii="Arial" w:cs="Arial" w:eastAsia="Arial" w:hAnsi="Arial"/>
          <w:sz w:val="19"/>
          <w:szCs w:val="19"/>
          <w:color w:val="auto"/>
        </w:rPr>
        <w:t>”) being publicly traded on any United States national securities exchange or over the counter market, or any analogous exchange or market in Canada, the United Kingdom or any country of the European Union.</w:t>
      </w:r>
    </w:p>
    <w:p>
      <w:pPr>
        <w:spacing w:after="0" w:line="13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Proceeds</w:t>
      </w:r>
      <w:r>
        <w:rPr>
          <w:rFonts w:ascii="Arial" w:cs="Arial" w:eastAsia="Arial" w:hAnsi="Arial"/>
          <w:sz w:val="21"/>
          <w:szCs w:val="21"/>
          <w:color w:val="auto"/>
        </w:rPr>
        <w:t>” means the fair market value of assets that are used or useful in, or Equity Interests of any Person engaged in, a Similar Business.</w:t>
      </w:r>
    </w:p>
    <w:p>
      <w:pPr>
        <w:spacing w:after="0" w:line="144" w:lineRule="exact"/>
        <w:rPr>
          <w:sz w:val="20"/>
          <w:szCs w:val="20"/>
          <w:color w:val="auto"/>
        </w:rPr>
      </w:pPr>
    </w:p>
    <w:p>
      <w:pPr>
        <w:jc w:val="both"/>
        <w:ind w:firstLine="6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Securitization Facility</w:t>
      </w:r>
      <w:r>
        <w:rPr>
          <w:rFonts w:ascii="Arial" w:cs="Arial" w:eastAsia="Arial" w:hAnsi="Arial"/>
          <w:sz w:val="19"/>
          <w:szCs w:val="19"/>
          <w:color w:val="auto"/>
        </w:rPr>
        <w:t>” means any Securitization Facility (a) constituting a securitization financing facility that meets the following conditions: (i) the board of directors or management of the Borrower shall have determined in good faith that such Securitization Facility is in the aggregate economically fair and reasonable to the Borrower, and (ii) all sales and/or contributions of Securitization Assets and related assets to the applicable Securitization Subsidiary are made at fair market value (as determined in good faith by the Borrower) or (b) constituting a receivables or payables financing or factoring facility.</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Qualifying Lender</w:t>
      </w:r>
      <w:r>
        <w:rPr>
          <w:rFonts w:ascii="Arial" w:cs="Arial" w:eastAsia="Arial" w:hAnsi="Arial"/>
          <w:sz w:val="21"/>
          <w:szCs w:val="21"/>
          <w:color w:val="auto"/>
        </w:rPr>
        <w:t>” has the meaning set forth in Section 2.05(a)(v)(D)(3).</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Rating Agencies</w:t>
      </w:r>
      <w:r>
        <w:rPr>
          <w:rFonts w:ascii="Arial" w:cs="Arial" w:eastAsia="Arial" w:hAnsi="Arial"/>
          <w:sz w:val="21"/>
          <w:szCs w:val="21"/>
          <w:color w:val="auto"/>
        </w:rPr>
        <w:t>” means Moody’s, S&amp;P and Fitch.</w:t>
      </w:r>
    </w:p>
    <w:p>
      <w:pPr>
        <w:spacing w:after="0" w:line="17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thereon, all general intangibles and contract rights and other property and rights incidental to the ownership, lease or operation thereof.</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Refinanced Debt</w:t>
      </w:r>
      <w:r>
        <w:rPr>
          <w:rFonts w:ascii="Arial" w:cs="Arial" w:eastAsia="Arial" w:hAnsi="Arial"/>
          <w:sz w:val="21"/>
          <w:szCs w:val="21"/>
          <w:color w:val="auto"/>
        </w:rPr>
        <w:t>” has the meaning set forth in the definition of “Credit Agreement Refinancing Indebtedness”.</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Refinancing Amendment</w:t>
      </w:r>
      <w:r>
        <w:rPr>
          <w:rFonts w:ascii="Arial" w:cs="Arial" w:eastAsia="Arial" w:hAnsi="Arial"/>
          <w:sz w:val="21"/>
          <w:szCs w:val="21"/>
          <w:color w:val="auto"/>
        </w:rPr>
        <w:t>” means an amendment to this Agreement executed by each of (a) the Borrower, (b) the Administrative Agent, (c) each Additional Refinancing Lender and (d) each Lender that agrees to provide any portion of Refinancing Term Loans, Other Revolving Credit Commitments or Other Revolving Credit Loans incurred pursuant thereto, in accordance with Section 2.15.</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Refinancing Series</w:t>
      </w:r>
      <w:r>
        <w:rPr>
          <w:rFonts w:ascii="Arial" w:cs="Arial" w:eastAsia="Arial" w:hAnsi="Arial"/>
          <w:sz w:val="21"/>
          <w:szCs w:val="21"/>
          <w:color w:val="auto"/>
        </w:rPr>
        <w:t>” means all Refinancing Term Loans, Refinancing Term Commitments, Other Revolving Credit Commitments or Other Revolving Credit Loans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316" w:lineRule="exact"/>
        <w:rPr>
          <w:sz w:val="20"/>
          <w:szCs w:val="20"/>
          <w:color w:val="auto"/>
        </w:rPr>
      </w:pPr>
    </w:p>
    <w:p>
      <w:pPr>
        <w:jc w:val="both"/>
        <w:ind w:firstLine="6"/>
        <w:spacing w:after="0" w:line="216" w:lineRule="auto"/>
        <w:rPr>
          <w:sz w:val="20"/>
          <w:szCs w:val="20"/>
          <w:color w:val="auto"/>
        </w:rPr>
      </w:pPr>
      <w:r>
        <w:rPr>
          <w:rFonts w:ascii="Arial" w:cs="Arial" w:eastAsia="Arial" w:hAnsi="Arial"/>
          <w:sz w:val="21"/>
          <w:szCs w:val="21"/>
          <w:color w:val="auto"/>
        </w:rPr>
        <w:t>established pursuant to the same Refinancing Amendment (or any subsequent Refinancing Amendment to the extent such Refinancing Amendment expressly provides that the Refinancing Term Loans, Refinancing Term Commitments, Other Revolving Credit Commitments or Other Revolving Credit Loans provided for therein are intended to be a part of any previously established Refinancing Series) and that provide for the same Effective Yield and, in the case of Refinancing Term Loans or Refinancing Term Commitments, amortization schedule.</w:t>
      </w:r>
    </w:p>
    <w:p>
      <w:pPr>
        <w:spacing w:after="0" w:line="14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Refinancing Term Commitments</w:t>
      </w:r>
      <w:r>
        <w:rPr>
          <w:rFonts w:ascii="Arial" w:cs="Arial" w:eastAsia="Arial" w:hAnsi="Arial"/>
          <w:sz w:val="20"/>
          <w:szCs w:val="20"/>
          <w:color w:val="auto"/>
        </w:rPr>
        <w:t>” means one or more Classes of Term Commitments hereunder that are established to fund Refinancing Term Loans of the applicable Refinancing Series hereunder pursuant to a Refinancing Amendment.</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Term Loans</w:t>
      </w:r>
      <w:r>
        <w:rPr>
          <w:rFonts w:ascii="Arial" w:cs="Arial" w:eastAsia="Arial" w:hAnsi="Arial"/>
          <w:sz w:val="18"/>
          <w:szCs w:val="18"/>
          <w:color w:val="auto"/>
        </w:rPr>
        <w:t>” means one or more Classes of Term Loans hereunder that result from a Refinancing Amendment.</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Register</w:t>
      </w:r>
      <w:r>
        <w:rPr>
          <w:rFonts w:ascii="Arial" w:cs="Arial" w:eastAsia="Arial" w:hAnsi="Arial"/>
          <w:sz w:val="21"/>
          <w:szCs w:val="21"/>
          <w:color w:val="auto"/>
        </w:rPr>
        <w:t>” has the meaning set forth in Section 10.07(d).</w:t>
      </w:r>
    </w:p>
    <w:p>
      <w:pPr>
        <w:spacing w:after="0" w:line="171"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Equivalent Notes</w:t>
      </w:r>
      <w:r>
        <w:rPr>
          <w:rFonts w:ascii="Arial" w:cs="Arial" w:eastAsia="Arial" w:hAnsi="Arial"/>
          <w:sz w:val="20"/>
          <w:szCs w:val="20"/>
          <w:color w:val="auto"/>
        </w:rPr>
        <w:t>” means, with respect to any notes originally issued in an offering pursuant to Rule 144A under the Securities Act or other private placement transaction under the Securities Act, substantially identical notes (having the same guarantees) issued in a dollar-for-dollar exchange therefor pursuant to an exchange offer registered with the SEC.</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Release</w:t>
      </w:r>
      <w:r>
        <w:rPr>
          <w:rFonts w:ascii="Arial" w:cs="Arial" w:eastAsia="Arial" w:hAnsi="Arial"/>
          <w:sz w:val="21"/>
          <w:szCs w:val="21"/>
          <w:color w:val="auto"/>
        </w:rPr>
        <w:t>” means any spilling, leaking, pumping, pouring, emitting, emptying, discharging, injecting, escaping, leaching, dumping, disposing or migrating into or through the Environment.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Replacement Event</w:t>
      </w:r>
      <w:r>
        <w:rPr>
          <w:rFonts w:ascii="Arial" w:cs="Arial" w:eastAsia="Arial" w:hAnsi="Arial"/>
          <w:sz w:val="21"/>
          <w:szCs w:val="21"/>
          <w:color w:val="auto"/>
        </w:rPr>
        <w:t>” has the meaning specified in the definition of “Term SOFR.”</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Reportable Event</w:t>
      </w:r>
      <w:r>
        <w:rPr>
          <w:rFonts w:ascii="Arial" w:cs="Arial" w:eastAsia="Arial" w:hAnsi="Arial"/>
          <w:sz w:val="21"/>
          <w:szCs w:val="21"/>
          <w:color w:val="auto"/>
        </w:rPr>
        <w:t>” means any of the events set forth in Section 4043(c) of ERISA or the regulations issued thereunder with respect to a Pension Plan, other than events for which the thirty (30) day notice period has been waived.</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Request for Credit Extension</w:t>
      </w:r>
      <w:r>
        <w:rPr>
          <w:rFonts w:ascii="Arial" w:cs="Arial" w:eastAsia="Arial" w:hAnsi="Arial"/>
          <w:sz w:val="21"/>
          <w:szCs w:val="21"/>
          <w:color w:val="auto"/>
        </w:rPr>
        <w:t>” means (a) with respect to a Borrowing, continuation or conversion of Term Loans or Revolving Credit Loans, a Committed Loan Notice, (b) with respect to an L/C Credit Extension, a Letter of Credit Issuance Request, and (c) with respect to a Swing Line Loan, a Swing Line Loan Notice.</w:t>
      </w:r>
    </w:p>
    <w:p>
      <w:pPr>
        <w:spacing w:after="0" w:line="143"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Class Lenders</w:t>
      </w:r>
      <w:r>
        <w:rPr>
          <w:rFonts w:ascii="Arial" w:cs="Arial" w:eastAsia="Arial" w:hAnsi="Arial"/>
          <w:sz w:val="20"/>
          <w:szCs w:val="20"/>
          <w:color w:val="auto"/>
        </w:rPr>
        <w:t xml:space="preserve">” means, with respect to any Class on any date of determination, Lenders having more than 50% of the sum of (i) the outstanding Loans under such Class and (ii) the aggregate unused Commitments under such Facility;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unused Commitments of, and the portion of the outstanding Loans under such Class held or deemed held by, any Defaulting Lender shall be excluded for purposes of making a determination of the Required Class Lenders;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to the same extent set forth in Section 10.07(n) with respect to determination of Required Lenders, the Loans of any Affiliated Lender shall in each case be excluded for purposes of making a determination of Required Class Lenders.</w:t>
      </w:r>
    </w:p>
    <w:p>
      <w:pPr>
        <w:spacing w:after="0" w:line="14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Facility Lenders</w:t>
      </w:r>
      <w:r>
        <w:rPr>
          <w:rFonts w:ascii="Arial" w:cs="Arial" w:eastAsia="Arial" w:hAnsi="Arial"/>
          <w:sz w:val="21"/>
          <w:szCs w:val="21"/>
          <w:color w:val="auto"/>
        </w:rPr>
        <w:t>” means, as of any date of determination, with respect to any Facility, Lenders having more than 50% of the sum of (a) the Total Outstandings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316" w:lineRule="exact"/>
        <w:rPr>
          <w:sz w:val="20"/>
          <w:szCs w:val="20"/>
          <w:color w:val="auto"/>
        </w:rPr>
      </w:pPr>
    </w:p>
    <w:p>
      <w:pPr>
        <w:jc w:val="both"/>
        <w:ind w:firstLine="6"/>
        <w:spacing w:after="0" w:line="213" w:lineRule="auto"/>
        <w:rPr>
          <w:sz w:val="20"/>
          <w:szCs w:val="20"/>
          <w:color w:val="auto"/>
        </w:rPr>
      </w:pPr>
      <w:r>
        <w:rPr>
          <w:rFonts w:ascii="Arial" w:cs="Arial" w:eastAsia="Arial" w:hAnsi="Arial"/>
          <w:sz w:val="21"/>
          <w:szCs w:val="21"/>
          <w:color w:val="auto"/>
        </w:rPr>
        <w:t>Facility (with the aggregate amount of each Lender’s risk participation and funded participation in L/C Obligations and Swing Line Loans, as applicable, under such Facility being deemed “</w:t>
      </w:r>
      <w:r>
        <w:rPr>
          <w:rFonts w:ascii="Arial" w:cs="Arial" w:eastAsia="Arial" w:hAnsi="Arial"/>
          <w:sz w:val="21"/>
          <w:szCs w:val="21"/>
          <w:b w:val="1"/>
          <w:bCs w:val="1"/>
          <w:color w:val="auto"/>
        </w:rPr>
        <w:t>held</w:t>
      </w:r>
      <w:r>
        <w:rPr>
          <w:rFonts w:ascii="Arial" w:cs="Arial" w:eastAsia="Arial" w:hAnsi="Arial"/>
          <w:sz w:val="21"/>
          <w:szCs w:val="21"/>
          <w:color w:val="auto"/>
        </w:rPr>
        <w:t xml:space="preserve">” by such Lender for purposes of this definition) and (b) the aggregate unused Commitments under such Facility;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unused Commitments of, and the portion of the Total Outstandings under such Facility held or deemed held by, any Defaulting Lender shall be excluded for purposes of making a determination of the Required Facility Lenders; </w:t>
      </w:r>
      <w:r>
        <w:rPr>
          <w:rFonts w:ascii="Arial" w:cs="Arial" w:eastAsia="Arial" w:hAnsi="Arial"/>
          <w:sz w:val="21"/>
          <w:szCs w:val="21"/>
          <w:i w:val="1"/>
          <w:iCs w:val="1"/>
          <w:color w:val="auto"/>
        </w:rPr>
        <w:t>provided, further</w:t>
      </w:r>
      <w:r>
        <w:rPr>
          <w:rFonts w:ascii="Arial" w:cs="Arial" w:eastAsia="Arial" w:hAnsi="Arial"/>
          <w:sz w:val="21"/>
          <w:szCs w:val="21"/>
          <w:color w:val="auto"/>
        </w:rPr>
        <w:t>, that, to the same extent set forth in Section 10.07(n) with respect to determination of Required Lenders, the Loans of any Affiliated Lender shall in each case be excluded for purposes of making a determination of Required Facility Lenders.</w:t>
      </w:r>
    </w:p>
    <w:p>
      <w:pPr>
        <w:spacing w:after="0" w:line="144"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Lenders</w:t>
      </w:r>
      <w:r>
        <w:rPr>
          <w:rFonts w:ascii="Arial" w:cs="Arial" w:eastAsia="Arial" w:hAnsi="Arial"/>
          <w:sz w:val="20"/>
          <w:szCs w:val="20"/>
          <w:color w:val="auto"/>
        </w:rPr>
        <w:t>” means, as of any date of determination, Lenders having more than 50% of the sum of the (a) Total Outstandings (with the aggregate amount of each Lender’s risk participation and funded participation in L/C Obligations and Swing Line Loans being deemed “</w:t>
      </w:r>
      <w:r>
        <w:rPr>
          <w:rFonts w:ascii="Arial" w:cs="Arial" w:eastAsia="Arial" w:hAnsi="Arial"/>
          <w:sz w:val="20"/>
          <w:szCs w:val="20"/>
          <w:b w:val="1"/>
          <w:bCs w:val="1"/>
          <w:color w:val="auto"/>
        </w:rPr>
        <w:t>held</w:t>
      </w:r>
      <w:r>
        <w:rPr>
          <w:rFonts w:ascii="Arial" w:cs="Arial" w:eastAsia="Arial" w:hAnsi="Arial"/>
          <w:sz w:val="20"/>
          <w:szCs w:val="20"/>
          <w:color w:val="auto"/>
        </w:rPr>
        <w:t xml:space="preserve">” by such Lender for purposes of this definition), (b) aggregate unused Term Commitments and (c) aggregate unused Commitments in respect of Revolving Credit Loans;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unused Term Commitment and unused Commitments in respect of Revolving Credit Loans of, and the portion of the Total Outstandings held or deemed held by, any Defaulting Lender shall be excluded for purposes of making a determination of Required Lenders; </w:t>
      </w:r>
      <w:r>
        <w:rPr>
          <w:rFonts w:ascii="Arial" w:cs="Arial" w:eastAsia="Arial" w:hAnsi="Arial"/>
          <w:sz w:val="20"/>
          <w:szCs w:val="20"/>
          <w:i w:val="1"/>
          <w:iCs w:val="1"/>
          <w:color w:val="auto"/>
        </w:rPr>
        <w:t>provided, further</w:t>
      </w:r>
      <w:r>
        <w:rPr>
          <w:rFonts w:ascii="Arial" w:cs="Arial" w:eastAsia="Arial" w:hAnsi="Arial"/>
          <w:sz w:val="20"/>
          <w:szCs w:val="20"/>
          <w:color w:val="auto"/>
        </w:rPr>
        <w:t>, that, to the same extent set forth in Section 10.07(n) with respect to determination of Required Lenders, the Loans of any Affiliated Lender shall in each case be excluded for purposes of making a determination of Required Lenders.</w:t>
      </w:r>
    </w:p>
    <w:p>
      <w:pPr>
        <w:spacing w:after="0" w:line="147"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Revolving Credit Lenders</w:t>
      </w:r>
      <w:r>
        <w:rPr>
          <w:rFonts w:ascii="Arial" w:cs="Arial" w:eastAsia="Arial" w:hAnsi="Arial"/>
          <w:sz w:val="21"/>
          <w:szCs w:val="21"/>
          <w:color w:val="auto"/>
        </w:rPr>
        <w:t xml:space="preserve">” means, as of any date of determination, Revolving Credit Lenders having more than 50% of the sum of the (a) Outstanding Amount of all Revolving Credit Loans, Swing Line Loans and all L/C Obligations (with the aggregate amount of each Lender’s risk participation and funded participation in L/C Obligations and Swing Line Loans being deemed “held” by such Lender for purposes of this definition) and (b) aggregate unused Commitments in respect of Revolving Credit Loans;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such unused Commitment of, and the portion of the Outstanding Amount of all Revolving Credit Loans, Swing Line</w:t>
      </w:r>
      <w:r>
        <w:rPr>
          <w:rFonts w:ascii="Arial" w:cs="Arial" w:eastAsia="Arial" w:hAnsi="Arial"/>
          <w:sz w:val="21"/>
          <w:szCs w:val="21"/>
          <w:i w:val="1"/>
          <w:iCs w:val="1"/>
          <w:color w:val="auto"/>
        </w:rPr>
        <w:t xml:space="preserve"> </w:t>
      </w:r>
      <w:r>
        <w:rPr>
          <w:rFonts w:ascii="Arial" w:cs="Arial" w:eastAsia="Arial" w:hAnsi="Arial"/>
          <w:sz w:val="21"/>
          <w:szCs w:val="21"/>
          <w:color w:val="auto"/>
        </w:rPr>
        <w:t>Loans and all L/C Obligations held or deemed held by, any Defaulting Lender shall be excluded for purposes of making a determination of Required Revolving Credit Lenders.</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Resolution Authority</w:t>
      </w:r>
      <w:r>
        <w:rPr>
          <w:rFonts w:ascii="Arial" w:cs="Arial" w:eastAsia="Arial" w:hAnsi="Arial"/>
          <w:sz w:val="21"/>
          <w:szCs w:val="21"/>
          <w:color w:val="auto"/>
        </w:rPr>
        <w:t>” means an EEA Resolution Authority or, with respect to any UK Financial Institution, a UK Resolution Authority.</w:t>
      </w:r>
    </w:p>
    <w:p>
      <w:pPr>
        <w:spacing w:after="0" w:line="144" w:lineRule="exact"/>
        <w:rPr>
          <w:sz w:val="20"/>
          <w:szCs w:val="20"/>
          <w:color w:val="auto"/>
        </w:rPr>
      </w:pPr>
    </w:p>
    <w:p>
      <w:pPr>
        <w:jc w:val="both"/>
        <w:ind w:firstLine="619"/>
        <w:spacing w:after="0" w:line="21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Responsible Officer</w:t>
      </w:r>
      <w:r>
        <w:rPr>
          <w:rFonts w:ascii="Arial" w:cs="Arial" w:eastAsia="Arial" w:hAnsi="Arial"/>
          <w:sz w:val="21"/>
          <w:szCs w:val="21"/>
          <w:color w:val="auto"/>
        </w:rPr>
        <w:t>” means the chief executive officer, director, president, vice president, chief financial officer, chief legal officer, treasurer, assistant treasurer, controller or assistant controller or other similar officer of a Loan Party or designee of a Responsible Officer and in the case of a limited partnership, any officer or director of the general partner or ultimate general partner, as the case may be, and, as to any document delivered on the Restatement Date, any secretary or assistant secretary of such Loan Party and any officer or employee of the applicable Loan Party whose signature is included on an incumbency certificate or similar certificate reasonably satisfactory to the Administrative Agent. Any document delivered hereunder that is signed by a Responsible Officer of a Loan Party shall be conclusively presumed to have been authorized by all necessary corporate, limited liability company, partnership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other action on the part of such Loan Party and such Responsible Officer shall be conclusively presumed to have acted on behalf of such Loan Party.</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Restatement Date</w:t>
      </w:r>
      <w:r>
        <w:rPr>
          <w:rFonts w:ascii="Arial" w:cs="Arial" w:eastAsia="Arial" w:hAnsi="Arial"/>
          <w:sz w:val="21"/>
          <w:szCs w:val="21"/>
          <w:color w:val="auto"/>
        </w:rPr>
        <w:t>” means September 7, 2022, the first date on which all conditions precedent in Section 4.01 are satisfied or waived in accordance with Section 4.01.</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Restatement Date Refinancing Transactions</w:t>
      </w:r>
      <w:r>
        <w:rPr>
          <w:rFonts w:ascii="Arial" w:cs="Arial" w:eastAsia="Arial" w:hAnsi="Arial"/>
          <w:sz w:val="21"/>
          <w:szCs w:val="21"/>
          <w:color w:val="auto"/>
        </w:rPr>
        <w:t>” has the meaning set forth in the preliminary statements hereto.</w:t>
      </w:r>
    </w:p>
    <w:p>
      <w:pPr>
        <w:spacing w:after="0" w:line="171"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Restatement Date Term Commitment</w:t>
      </w:r>
      <w:r>
        <w:rPr>
          <w:rFonts w:ascii="Arial" w:cs="Arial" w:eastAsia="Arial" w:hAnsi="Arial"/>
          <w:sz w:val="21"/>
          <w:szCs w:val="21"/>
          <w:color w:val="auto"/>
        </w:rPr>
        <w:t>” means, as to each Term Lender, its obligation to make an Restatement Date Term Loan to the Borrower pursuant to Section 2.01(a) in an aggregate principal amount not to exceed the amount set forth opposite such Term Lender’s name in Schedule 1.01A under the caption “Restatement Date Term Commitment” or in the Assignment and Assumption pursuant to which such Term Lender becomes a party hereto, as applicable, as such amount may be adjusted from time to time in accordance with this Agreement (including Section 2.14). The initial aggregate principal amount of the Restatement Date Term Commitments is $270,000,000.</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Restatement Date Term Loans</w:t>
      </w:r>
      <w:r>
        <w:rPr>
          <w:rFonts w:ascii="Arial" w:cs="Arial" w:eastAsia="Arial" w:hAnsi="Arial"/>
          <w:sz w:val="21"/>
          <w:szCs w:val="21"/>
          <w:color w:val="auto"/>
        </w:rPr>
        <w:t>” means the term loans made by the Lenders on the Restatement Date to the Borrower pursuant to Section 2.01(a).</w:t>
      </w:r>
    </w:p>
    <w:p>
      <w:pPr>
        <w:spacing w:after="0" w:line="144"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Payment</w:t>
      </w:r>
      <w:r>
        <w:rPr>
          <w:rFonts w:ascii="Arial" w:cs="Arial" w:eastAsia="Arial" w:hAnsi="Arial"/>
          <w:sz w:val="21"/>
          <w:szCs w:val="21"/>
          <w:color w:val="auto"/>
        </w:rPr>
        <w:t>” means any dividend or other distribution (whether in cash, securities or other property) with respect to any Equity Interests of the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Borrower’s or a Restricted Subsidiary’s stockholders, partners or members (or the equivalent Persons thereof).</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Subsidiary</w:t>
      </w:r>
      <w:r>
        <w:rPr>
          <w:rFonts w:ascii="Arial" w:cs="Arial" w:eastAsia="Arial" w:hAnsi="Arial"/>
          <w:sz w:val="21"/>
          <w:szCs w:val="21"/>
          <w:color w:val="auto"/>
        </w:rPr>
        <w:t>” means any Subsidiary of the Borrower other than an Unrestricted Subsidiary.</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Revaluation Date</w:t>
      </w:r>
      <w:r>
        <w:rPr>
          <w:rFonts w:ascii="Arial" w:cs="Arial" w:eastAsia="Arial" w:hAnsi="Arial"/>
          <w:sz w:val="19"/>
          <w:szCs w:val="19"/>
          <w:color w:val="auto"/>
        </w:rPr>
        <w:t>” means (a) with respect to any Loan denominated in an Approved Foreign Currency, each of the following:</w:t>
      </w:r>
    </w:p>
    <w:p>
      <w:pPr>
        <w:spacing w:after="0" w:line="12" w:lineRule="exact"/>
        <w:rPr>
          <w:sz w:val="20"/>
          <w:szCs w:val="20"/>
          <w:color w:val="auto"/>
        </w:rPr>
      </w:pPr>
    </w:p>
    <w:p>
      <w:pPr>
        <w:jc w:val="both"/>
        <w:ind w:firstLine="3"/>
        <w:spacing w:after="0" w:line="235" w:lineRule="auto"/>
        <w:tabs>
          <w:tab w:leader="none" w:pos="252"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date of a Borrowing of such Loan and (ii) each date of a conversion into or continuation of such Loan pursuant to the terms of this Agreement; (b) with respect to any Letter of Credit denominated in an Approved Foreign Currency, each of the following: (i) the date on which such Letter of Credit is issued, (ii) the first Business Day of each calendar month and (iii) the date of any amendment of such Letter of Credit that has the effect of increasing the face amount thereof; (c) any additional date as the Administrative Agent may determine at any time when an Event of Default exists and (d) the last day of each fiscal quarter.</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Revolver Extension Request</w:t>
      </w:r>
      <w:r>
        <w:rPr>
          <w:rFonts w:ascii="Arial" w:cs="Arial" w:eastAsia="Arial" w:hAnsi="Arial"/>
          <w:sz w:val="21"/>
          <w:szCs w:val="21"/>
          <w:color w:val="auto"/>
        </w:rPr>
        <w:t>” has the meaning set forth in Section 2.16(b).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Revolver Extension Series</w:t>
      </w:r>
      <w:r>
        <w:rPr>
          <w:rFonts w:ascii="Arial" w:cs="Arial" w:eastAsia="Arial" w:hAnsi="Arial"/>
          <w:sz w:val="21"/>
          <w:szCs w:val="21"/>
          <w:color w:val="auto"/>
        </w:rPr>
        <w:t>” has the meaning set forth in Section 2.16(b).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Commitment Increase</w:t>
      </w:r>
      <w:r>
        <w:rPr>
          <w:rFonts w:ascii="Arial" w:cs="Arial" w:eastAsia="Arial" w:hAnsi="Arial"/>
          <w:sz w:val="21"/>
          <w:szCs w:val="21"/>
          <w:color w:val="auto"/>
        </w:rPr>
        <w:t>” has the meaning set forth in Section 2.14(a).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Credit Borrowing</w:t>
      </w:r>
      <w:r>
        <w:rPr>
          <w:rFonts w:ascii="Arial" w:cs="Arial" w:eastAsia="Arial" w:hAnsi="Arial"/>
          <w:sz w:val="21"/>
          <w:szCs w:val="21"/>
          <w:color w:val="auto"/>
        </w:rPr>
        <w:t>” means a borrowing consisting of simultaneous Revolving Credit Loans of the same Type, in the same Approved Currency, and, in the case of Term SOFR and Eurocurrency Rate Loans, having the same Interest Period made by each of the Revolving Credit Lenders under Section 2.01(b) of this Agreement.</w:t>
      </w:r>
    </w:p>
    <w:p>
      <w:pPr>
        <w:spacing w:after="0" w:line="143"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Commitment</w:t>
      </w:r>
      <w:r>
        <w:rPr>
          <w:rFonts w:ascii="Arial" w:cs="Arial" w:eastAsia="Arial" w:hAnsi="Arial"/>
          <w:sz w:val="20"/>
          <w:szCs w:val="20"/>
          <w:color w:val="auto"/>
        </w:rPr>
        <w:t>” means, as to each Revolving Credit Lender, its obligation to (a) make Revolving Credit Loans to the Borrower pursuant to Section 2.01(b), (b) purchase participations in L/C Obligations in respect of Letters of Credit and (c) purchase participations in Swing Line Loans, in an aggregate Principal Amount at any one time outstanding not to exceed the amount set forth opposite such Lender’s name on Schedule 1.01A under the caption “</w:t>
      </w:r>
      <w:r>
        <w:rPr>
          <w:rFonts w:ascii="Arial" w:cs="Arial" w:eastAsia="Arial" w:hAnsi="Arial"/>
          <w:sz w:val="20"/>
          <w:szCs w:val="20"/>
          <w:b w:val="1"/>
          <w:bCs w:val="1"/>
          <w:color w:val="auto"/>
        </w:rPr>
        <w:t>Revolving Credit Commitments</w:t>
      </w:r>
      <w:r>
        <w:rPr>
          <w:rFonts w:ascii="Arial" w:cs="Arial" w:eastAsia="Arial" w:hAnsi="Arial"/>
          <w:sz w:val="20"/>
          <w:szCs w:val="20"/>
          <w:color w:val="auto"/>
        </w:rPr>
        <w:t>” or in the Assignment and Assumption pursuant to which such Lender becomes a party hereto, as applicable, as such amount may be adjusted from time to time in accordance with this Agreement (including Section 2.14). The aggregate Revolving Credit Commitments of all Revolving Credit Lenders shall be $190,000,000, on the Restatement Date, as such amount may be adjusted from time to time in accordance with the terms of this Agreement.</w:t>
      </w:r>
    </w:p>
    <w:p>
      <w:pPr>
        <w:spacing w:after="0" w:line="147"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Exposure</w:t>
      </w:r>
      <w:r>
        <w:rPr>
          <w:rFonts w:ascii="Arial" w:cs="Arial" w:eastAsia="Arial" w:hAnsi="Arial"/>
          <w:sz w:val="20"/>
          <w:szCs w:val="20"/>
          <w:color w:val="auto"/>
        </w:rPr>
        <w:t>” means, as to each Revolving Credit Lender, the sum of the amount of the outstanding Principal Amount of such Revolving Credit Lender’s Revolving Credit Loans and its Pro Rata Share or other applicable share provided for under this Agreement of the amount of the L/C Obligations and the Swing Line Obligations at such time.</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Credit Facility</w:t>
      </w:r>
      <w:r>
        <w:rPr>
          <w:rFonts w:ascii="Arial" w:cs="Arial" w:eastAsia="Arial" w:hAnsi="Arial"/>
          <w:sz w:val="19"/>
          <w:szCs w:val="19"/>
          <w:color w:val="auto"/>
        </w:rPr>
        <w:t>” means, at any time, the aggregate amount of the Revolving Credit Commitments at such time.</w:t>
      </w:r>
    </w:p>
    <w:p>
      <w:pPr>
        <w:spacing w:after="0" w:line="19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Credit Lender</w:t>
      </w:r>
      <w:r>
        <w:rPr>
          <w:rFonts w:ascii="Arial" w:cs="Arial" w:eastAsia="Arial" w:hAnsi="Arial"/>
          <w:sz w:val="21"/>
          <w:szCs w:val="21"/>
          <w:color w:val="auto"/>
        </w:rPr>
        <w:t>” means, at any time, any Lender that has a Commitment in respect of Revolving Credit Loans at such time, including Revolving Credit Commitment, Incremental Revolving Credit Commitment, Extended Revolving Credit Commitment of a given Extension Series and Other Revolving Credit Commitment of a given Refinancing Series, or, if such Commitments have terminated, Revolving Credit Exposure.</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Credit Loans</w:t>
      </w:r>
      <w:r>
        <w:rPr>
          <w:rFonts w:ascii="Arial" w:cs="Arial" w:eastAsia="Arial" w:hAnsi="Arial"/>
          <w:sz w:val="21"/>
          <w:szCs w:val="21"/>
          <w:color w:val="auto"/>
        </w:rPr>
        <w:t>” means any Revolving Credit Loan made pursuant to Section 2.01(b), Incremental Revolving Credit Loans, Other Revolving Credit Loans or Extended Revolving Credit Loans, as the context may require.</w:t>
      </w:r>
    </w:p>
    <w:p>
      <w:pPr>
        <w:spacing w:after="0" w:line="14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Credit Note</w:t>
      </w:r>
      <w:r>
        <w:rPr>
          <w:rFonts w:ascii="Arial" w:cs="Arial" w:eastAsia="Arial" w:hAnsi="Arial"/>
          <w:sz w:val="19"/>
          <w:szCs w:val="19"/>
          <w:color w:val="auto"/>
        </w:rPr>
        <w:t>” means a promissory note of the Borrower payable to any Revolving Credit Lender or its registered assigns, in substantially the form of Exhibit D-2 hereto, evidencing the aggregate Indebtedness of the Borrower to such Revolving Credit Lender resulting from the Revolving Credit Loans made by such Revolving Credit Lender to the Borrower.</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S&amp;P</w:t>
      </w:r>
      <w:r>
        <w:rPr>
          <w:rFonts w:ascii="Arial" w:cs="Arial" w:eastAsia="Arial" w:hAnsi="Arial"/>
          <w:sz w:val="19"/>
          <w:szCs w:val="19"/>
          <w:color w:val="auto"/>
        </w:rPr>
        <w:t>” means S&amp;P Global Ratings, a business unit of Standard &amp; Poor’s Financial Services LLC, and any successor thereto.</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Same Day Funds</w:t>
      </w:r>
      <w:r>
        <w:rPr>
          <w:rFonts w:ascii="Arial" w:cs="Arial" w:eastAsia="Arial" w:hAnsi="Arial"/>
          <w:sz w:val="21"/>
          <w:szCs w:val="21"/>
          <w:color w:val="auto"/>
        </w:rPr>
        <w:t>” means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Sanction(s)</w:t>
      </w:r>
      <w:r>
        <w:rPr>
          <w:rFonts w:ascii="Arial" w:cs="Arial" w:eastAsia="Arial" w:hAnsi="Arial"/>
          <w:sz w:val="20"/>
          <w:szCs w:val="20"/>
          <w:color w:val="auto"/>
        </w:rPr>
        <w:t>” means any international economic sanction administered or enforced by the United States government (including without limitation, OFAC), the United Nations Security Council, the European Union or Her Majesty’s Treasury.</w:t>
      </w:r>
    </w:p>
    <w:p>
      <w:pPr>
        <w:spacing w:after="0" w:line="12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w:t>
      </w:r>
      <w:r>
        <w:rPr>
          <w:rFonts w:ascii="Arial" w:cs="Arial" w:eastAsia="Arial" w:hAnsi="Arial"/>
          <w:sz w:val="21"/>
          <w:szCs w:val="21"/>
          <w:color w:val="auto"/>
        </w:rPr>
        <w:t>” means the Securities and Exchange Commission, or any Governmental Authority succeeding to any of its principal functions.</w:t>
      </w:r>
    </w:p>
    <w:p>
      <w:pPr>
        <w:spacing w:after="0" w:line="14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Secured Hedge Agreement</w:t>
      </w:r>
      <w:r>
        <w:rPr>
          <w:rFonts w:ascii="Arial" w:cs="Arial" w:eastAsia="Arial" w:hAnsi="Arial"/>
          <w:sz w:val="21"/>
          <w:szCs w:val="21"/>
          <w:color w:val="auto"/>
        </w:rPr>
        <w:t>” means any Swap Contract that is entered into by and between the Borrower or any Restricted Subsidiary and any Approved Counterparty (unless otherwise designated in writing by the Borrower and the applicable Approved Counterparty to the Administrative Agent as an “unsecured hedge agreement” (which notice may designate all Swap Contracts under a specified Master Agreement as unsecured).</w:t>
      </w:r>
    </w:p>
    <w:p>
      <w:pPr>
        <w:spacing w:after="0" w:line="146"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Secured Parties</w:t>
      </w:r>
      <w:r>
        <w:rPr>
          <w:rFonts w:ascii="Arial" w:cs="Arial" w:eastAsia="Arial" w:hAnsi="Arial"/>
          <w:sz w:val="21"/>
          <w:szCs w:val="21"/>
          <w:color w:val="auto"/>
        </w:rPr>
        <w:t>” means, collectively, the Administrative Agent, the Collateral Agent, the Lenders, the L/C Issuers, the Swing Line Lender, any Approved Counterparty party to a Secured Hedge Agreement or Treasury Services Agreement, the Supplemental Agents and each co-agent or sub-agent appointed by the Administrative Agent or Collateral Agent from time to time pursuant to Section 9.02.</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 Act</w:t>
      </w:r>
      <w:r>
        <w:rPr>
          <w:rFonts w:ascii="Arial" w:cs="Arial" w:eastAsia="Arial" w:hAnsi="Arial"/>
          <w:sz w:val="21"/>
          <w:szCs w:val="21"/>
          <w:color w:val="auto"/>
        </w:rPr>
        <w:t>” means the Securities Act of 1933, as amended.</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Securitization Assets</w:t>
      </w:r>
      <w:r>
        <w:rPr>
          <w:rFonts w:ascii="Arial" w:cs="Arial" w:eastAsia="Arial" w:hAnsi="Arial"/>
          <w:sz w:val="21"/>
          <w:szCs w:val="21"/>
          <w:color w:val="auto"/>
        </w:rPr>
        <w:t>” means the accounts receivable, royalty or other revenue streams and other rights to payment and any other assets subject to a Qualified Securitization Facility and the proceeds thereof.</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Securitization Facility</w:t>
      </w:r>
      <w:r>
        <w:rPr>
          <w:rFonts w:ascii="Arial" w:cs="Arial" w:eastAsia="Arial" w:hAnsi="Arial"/>
          <w:sz w:val="19"/>
          <w:szCs w:val="19"/>
          <w:color w:val="auto"/>
        </w:rPr>
        <w:t>” means any of one or more receivables, factoring or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the Borrower or any of its Restricted Subsidiaries (other than a Securitization Subsidiary) pursuant to which the Borrower or any of its Restricted Subsidiaries sells or grants a security interest in its accounts receivable, payables or Securitization Assets or assets related thereto to either (a) a Person that is not a Restricted Subsidiary or (b) a Securitization Subsidiary that in turn sells its accounts receivable, payable or Securitization Assets or assets related thereto to a Person that is not a Restricted Subsidiary.</w:t>
      </w:r>
    </w:p>
    <w:p>
      <w:pPr>
        <w:spacing w:after="0" w:line="146"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Securitization Fees</w:t>
      </w:r>
      <w:r>
        <w:rPr>
          <w:rFonts w:ascii="Arial" w:cs="Arial" w:eastAsia="Arial" w:hAnsi="Arial"/>
          <w:sz w:val="21"/>
          <w:szCs w:val="21"/>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43"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Securitization Subsidiary</w:t>
      </w:r>
      <w:r>
        <w:rPr>
          <w:rFonts w:ascii="Arial" w:cs="Arial" w:eastAsia="Arial" w:hAnsi="Arial"/>
          <w:sz w:val="21"/>
          <w:szCs w:val="21"/>
          <w:color w:val="auto"/>
        </w:rPr>
        <w:t>” means any Subsidiary formed for the purpose of, and that solely engages only in one or more Qualified Securitization Facilities and other activities reasonably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Security Agreement</w:t>
      </w:r>
      <w:r>
        <w:rPr>
          <w:rFonts w:ascii="Arial" w:cs="Arial" w:eastAsia="Arial" w:hAnsi="Arial"/>
          <w:sz w:val="21"/>
          <w:szCs w:val="21"/>
          <w:color w:val="auto"/>
        </w:rPr>
        <w:t>” means the Security Agreement substantially in the form of Exhibit G, dated as of the Closing Date, among Holdings, the Borrower, certain Subsidiaries of the Borrower and the Collateral Agent.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Security Agreement Supplement</w:t>
      </w:r>
      <w:r>
        <w:rPr>
          <w:rFonts w:ascii="Arial" w:cs="Arial" w:eastAsia="Arial" w:hAnsi="Arial"/>
          <w:sz w:val="21"/>
          <w:szCs w:val="21"/>
          <w:color w:val="auto"/>
        </w:rPr>
        <w:t>” has the meaning set forth in the Security Agreement.</w:t>
      </w:r>
    </w:p>
    <w:p>
      <w:pPr>
        <w:spacing w:after="0" w:line="171"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Similar Business</w:t>
      </w:r>
      <w:r>
        <w:rPr>
          <w:rFonts w:ascii="Arial" w:cs="Arial" w:eastAsia="Arial" w:hAnsi="Arial"/>
          <w:sz w:val="19"/>
          <w:szCs w:val="19"/>
          <w:color w:val="auto"/>
        </w:rPr>
        <w:t>” means (1) any business conducted or proposed to be conducted by the Borrower or any of its Restricted Subsidiaries on the Restatement Date, and any reasonable extension thereof, or (2) any business or other activities that are reasonably similar, ancillary, incidental, complementary or related to, or a reasonable extension, development or expansion of, the businesses in which the Borrower and its Restricted Subsidiaries are engaged or propose to be engaged on the Restatement Date.</w:t>
      </w:r>
    </w:p>
    <w:p>
      <w:pPr>
        <w:spacing w:after="0" w:line="139"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SOFR</w:t>
      </w:r>
      <w:r>
        <w:rPr>
          <w:rFonts w:ascii="Arial" w:cs="Arial" w:eastAsia="Arial" w:hAnsi="Arial"/>
          <w:sz w:val="21"/>
          <w:szCs w:val="21"/>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43" w:lineRule="exact"/>
        <w:rPr>
          <w:sz w:val="20"/>
          <w:szCs w:val="20"/>
          <w:color w:val="auto"/>
        </w:rPr>
      </w:pPr>
    </w:p>
    <w:p>
      <w:pPr>
        <w:ind w:left="620" w:right="2360"/>
        <w:spacing w:after="0" w:line="4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SOFR Determination Date</w:t>
      </w:r>
      <w:r>
        <w:rPr>
          <w:rFonts w:ascii="Arial" w:cs="Arial" w:eastAsia="Arial" w:hAnsi="Arial"/>
          <w:sz w:val="19"/>
          <w:szCs w:val="19"/>
          <w:color w:val="auto"/>
        </w:rPr>
        <w:t>” has the meaning specified in the definition of “Daily Simple SOFR.” “</w:t>
      </w:r>
      <w:r>
        <w:rPr>
          <w:rFonts w:ascii="Arial" w:cs="Arial" w:eastAsia="Arial" w:hAnsi="Arial"/>
          <w:sz w:val="19"/>
          <w:szCs w:val="19"/>
          <w:b w:val="1"/>
          <w:bCs w:val="1"/>
          <w:color w:val="auto"/>
        </w:rPr>
        <w:t>SOFR Rate Day</w:t>
      </w:r>
      <w:r>
        <w:rPr>
          <w:rFonts w:ascii="Arial" w:cs="Arial" w:eastAsia="Arial" w:hAnsi="Arial"/>
          <w:sz w:val="19"/>
          <w:szCs w:val="19"/>
          <w:color w:val="auto"/>
        </w:rPr>
        <w:t>” has the meaning specified in the definition of “Daily Simple SOFR.”</w:t>
      </w:r>
    </w:p>
    <w:p>
      <w:pPr>
        <w:ind w:left="620" w:right="1760"/>
        <w:spacing w:after="0" w:line="4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Sold Entity or Business</w:t>
      </w:r>
      <w:r>
        <w:rPr>
          <w:rFonts w:ascii="Arial" w:cs="Arial" w:eastAsia="Arial" w:hAnsi="Arial"/>
          <w:sz w:val="20"/>
          <w:szCs w:val="20"/>
          <w:color w:val="auto"/>
        </w:rPr>
        <w:t>” has the meaning set forth in the definition of the term “Consolidated EBITDA.” “</w:t>
      </w:r>
      <w:r>
        <w:rPr>
          <w:rFonts w:ascii="Arial" w:cs="Arial" w:eastAsia="Arial" w:hAnsi="Arial"/>
          <w:sz w:val="20"/>
          <w:szCs w:val="20"/>
          <w:b w:val="1"/>
          <w:bCs w:val="1"/>
          <w:color w:val="auto"/>
        </w:rPr>
        <w:t>Solicited Discount Proration</w:t>
      </w:r>
      <w:r>
        <w:rPr>
          <w:rFonts w:ascii="Arial" w:cs="Arial" w:eastAsia="Arial" w:hAnsi="Arial"/>
          <w:sz w:val="20"/>
          <w:szCs w:val="20"/>
          <w:color w:val="auto"/>
        </w:rPr>
        <w:t>” has the meaning set forth in Section 2.05(a)(v)(D)(3).</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Solicited Discounted Prepayment Amount</w:t>
      </w:r>
      <w:r>
        <w:rPr>
          <w:rFonts w:ascii="Arial" w:cs="Arial" w:eastAsia="Arial" w:hAnsi="Arial"/>
          <w:sz w:val="21"/>
          <w:szCs w:val="21"/>
          <w:color w:val="auto"/>
        </w:rPr>
        <w:t>” has the meaning set forth in Section 2.05(a)(v)(D)(1).</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Solicited Discounted Prepayment Notice</w:t>
      </w:r>
      <w:r>
        <w:rPr>
          <w:rFonts w:ascii="Arial" w:cs="Arial" w:eastAsia="Arial" w:hAnsi="Arial"/>
          <w:sz w:val="21"/>
          <w:szCs w:val="21"/>
          <w:color w:val="auto"/>
        </w:rPr>
        <w:t>” means a written notice of the Borrower of Solicited Discounted Prepayment Offers made pursuant to Section 2.05(a)(v)(D)(1) substantially in the form of Exhibit L-6.</w:t>
      </w:r>
    </w:p>
    <w:p>
      <w:pPr>
        <w:spacing w:after="0" w:line="14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Solicited Discounted Prepayment Offer</w:t>
      </w:r>
      <w:r>
        <w:rPr>
          <w:rFonts w:ascii="Arial" w:cs="Arial" w:eastAsia="Arial" w:hAnsi="Arial"/>
          <w:sz w:val="20"/>
          <w:szCs w:val="20"/>
          <w:color w:val="auto"/>
        </w:rPr>
        <w:t>” means the irrevocable written offer by each Lender, substantially in the form of Exhibit L-7, submitted following the Administrative Agent’s receipt of a Solicited Discounted Prepayment Notice.</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Solicited Discounted Prepayment Response Date</w:t>
      </w:r>
      <w:r>
        <w:rPr>
          <w:rFonts w:ascii="Arial" w:cs="Arial" w:eastAsia="Arial" w:hAnsi="Arial"/>
          <w:sz w:val="21"/>
          <w:szCs w:val="21"/>
          <w:color w:val="auto"/>
        </w:rPr>
        <w:t>” has the meaning set forth in Section 2.05(a)(v)(D)(1).</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Solvent</w:t>
      </w:r>
      <w:r>
        <w:rPr>
          <w:rFonts w:ascii="Arial" w:cs="Arial" w:eastAsia="Arial" w:hAnsi="Arial"/>
          <w:sz w:val="21"/>
          <w:szCs w:val="21"/>
          <w:color w:val="auto"/>
        </w:rPr>
        <w:t>” and “</w:t>
      </w:r>
      <w:r>
        <w:rPr>
          <w:rFonts w:ascii="Arial" w:cs="Arial" w:eastAsia="Arial" w:hAnsi="Arial"/>
          <w:sz w:val="21"/>
          <w:szCs w:val="21"/>
          <w:b w:val="1"/>
          <w:bCs w:val="1"/>
          <w:color w:val="auto"/>
        </w:rPr>
        <w:t>Solvency</w:t>
      </w:r>
      <w:r>
        <w:rPr>
          <w:rFonts w:ascii="Arial" w:cs="Arial" w:eastAsia="Arial" w:hAnsi="Arial"/>
          <w:sz w:val="21"/>
          <w:szCs w:val="21"/>
          <w:color w:val="auto"/>
        </w:rPr>
        <w:t>” mean, with respect to any Person on any date of determination, that on such date (a) the fair value of the assets of such Person and its Subsidiaries, on a consolidated basis, exceeds, on a consolidated basis, their debts and liabilities, subordinated, contingent or otherwise, (b) the present fair saleable value of the property of such Person and its Subsidiaries, on a consolidated basis, is greater than the amount that will be required to pay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316" w:lineRule="exact"/>
        <w:rPr>
          <w:sz w:val="20"/>
          <w:szCs w:val="20"/>
          <w:color w:val="auto"/>
        </w:rPr>
      </w:pPr>
    </w:p>
    <w:p>
      <w:pPr>
        <w:jc w:val="both"/>
        <w:ind w:firstLine="6"/>
        <w:spacing w:after="0" w:line="214" w:lineRule="auto"/>
        <w:rPr>
          <w:sz w:val="20"/>
          <w:szCs w:val="20"/>
          <w:color w:val="auto"/>
        </w:rPr>
      </w:pPr>
      <w:r>
        <w:rPr>
          <w:rFonts w:ascii="Arial" w:cs="Arial" w:eastAsia="Arial" w:hAnsi="Arial"/>
          <w:sz w:val="21"/>
          <w:szCs w:val="21"/>
          <w:color w:val="auto"/>
        </w:rPr>
        <w:t>probable liability, on a consolidated basis, of their debts and other liabilities, subordinated, contingent or otherwise, as such debts and other liabilities become absolute and matured, (c) such Person and its Subsidiaries, on a consolidated basis, are able to pay their debts and liabilities, subordinated, contingent or otherwise, as such liabilities become absolute and matured and (d) such Person and its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SPC</w:t>
      </w:r>
      <w:r>
        <w:rPr>
          <w:rFonts w:ascii="Arial" w:cs="Arial" w:eastAsia="Arial" w:hAnsi="Arial"/>
          <w:sz w:val="21"/>
          <w:szCs w:val="21"/>
          <w:color w:val="auto"/>
        </w:rPr>
        <w:t>” has the meaning set forth in Section 10.07(i).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w:t>
      </w:r>
      <w:r>
        <w:rPr>
          <w:rFonts w:ascii="Arial" w:cs="Arial" w:eastAsia="Arial" w:hAnsi="Arial"/>
          <w:sz w:val="21"/>
          <w:szCs w:val="21"/>
          <w:color w:val="auto"/>
        </w:rPr>
        <w:t>” has the meaning set forth in Section 2.05(a)(v)(B).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 Prepayment Amount</w:t>
      </w:r>
      <w:r>
        <w:rPr>
          <w:rFonts w:ascii="Arial" w:cs="Arial" w:eastAsia="Arial" w:hAnsi="Arial"/>
          <w:sz w:val="21"/>
          <w:szCs w:val="21"/>
          <w:color w:val="auto"/>
        </w:rPr>
        <w:t>” has the meaning set forth in Section 2.05(a)(v)(B).</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 Prepayment Notice</w:t>
      </w:r>
      <w:r>
        <w:rPr>
          <w:rFonts w:ascii="Arial" w:cs="Arial" w:eastAsia="Arial" w:hAnsi="Arial"/>
          <w:sz w:val="21"/>
          <w:szCs w:val="21"/>
          <w:color w:val="auto"/>
        </w:rPr>
        <w:t>” means a written notice of the Borrower of a Borrower Offer of Specified Discount Prepayment made pursuant to Section 2.05(a)(v)(B) substantially in the form of Exhibit L-8.</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 Prepayment Response</w:t>
      </w:r>
      <w:r>
        <w:rPr>
          <w:rFonts w:ascii="Arial" w:cs="Arial" w:eastAsia="Arial" w:hAnsi="Arial"/>
          <w:sz w:val="21"/>
          <w:szCs w:val="21"/>
          <w:color w:val="auto"/>
        </w:rPr>
        <w:t>” means the irrevocable written response by each Lender, substantially in the form of Exhibit L-9, to a Specified Discount Prepayment Notice.</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 Prepayment Response Date</w:t>
      </w:r>
      <w:r>
        <w:rPr>
          <w:rFonts w:ascii="Arial" w:cs="Arial" w:eastAsia="Arial" w:hAnsi="Arial"/>
          <w:sz w:val="21"/>
          <w:szCs w:val="21"/>
          <w:color w:val="auto"/>
        </w:rPr>
        <w:t>” has the meaning set forth in Section 2.05(a)(v)(B).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 Proration</w:t>
      </w:r>
      <w:r>
        <w:rPr>
          <w:rFonts w:ascii="Arial" w:cs="Arial" w:eastAsia="Arial" w:hAnsi="Arial"/>
          <w:sz w:val="21"/>
          <w:szCs w:val="21"/>
          <w:color w:val="auto"/>
        </w:rPr>
        <w:t>” has the meaning set forth in Section 2.05(a)(v)(B)(2).</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Equity Contribution</w:t>
      </w:r>
      <w:r>
        <w:rPr>
          <w:rFonts w:ascii="Arial" w:cs="Arial" w:eastAsia="Arial" w:hAnsi="Arial"/>
          <w:sz w:val="21"/>
          <w:szCs w:val="21"/>
          <w:color w:val="auto"/>
        </w:rPr>
        <w:t>” means any cash contribution to the common equity of Holdings and/or any purchase or investment in an Equity Interests of Holdings other than Disqualified Equity Interests.</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Guarantor</w:t>
      </w:r>
      <w:r>
        <w:rPr>
          <w:rFonts w:ascii="Arial" w:cs="Arial" w:eastAsia="Arial" w:hAnsi="Arial"/>
          <w:sz w:val="21"/>
          <w:szCs w:val="21"/>
          <w:color w:val="auto"/>
        </w:rPr>
        <w:t>” means any Guarantor that is not an “eligible contract participant” under the Commodity Exchange Act (determined prior to giving effect to Section 11.12).</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means those representations and warranties made by the Borrower and the Guarantors in Sections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5.01(a) (in respect of the Borrower and the Guarantors only), 5.01(b)(ii), 5.02(a), 5.02(b)(i), 5.04, 5.12, 5.16, 5.18(a)(ii), 5.18(c) and</w:t>
      </w:r>
    </w:p>
    <w:p>
      <w:pPr>
        <w:spacing w:after="0"/>
        <w:rPr>
          <w:sz w:val="20"/>
          <w:szCs w:val="20"/>
          <w:color w:val="auto"/>
        </w:rPr>
      </w:pPr>
      <w:r>
        <w:rPr>
          <w:rFonts w:ascii="Arial" w:cs="Arial" w:eastAsia="Arial" w:hAnsi="Arial"/>
          <w:sz w:val="21"/>
          <w:szCs w:val="21"/>
          <w:color w:val="auto"/>
        </w:rPr>
        <w:t>5.19(a).</w:t>
      </w:r>
    </w:p>
    <w:p>
      <w:pPr>
        <w:spacing w:after="0" w:line="147"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Transaction</w:t>
      </w:r>
      <w:r>
        <w:rPr>
          <w:rFonts w:ascii="Arial" w:cs="Arial" w:eastAsia="Arial" w:hAnsi="Arial"/>
          <w:sz w:val="20"/>
          <w:szCs w:val="20"/>
          <w:color w:val="auto"/>
        </w:rPr>
        <w:t xml:space="preserve">” means any Investment, Disposition, incurrence or repayment of Indebtedness, Restricted Payment, Subsidiary designation, Incremental Term Loan or Revolving Commitment Increase in respect of which the terms of this Agreement require any test to be calculated on a “Pro Forma Basis” or after giving “Pro Forma Effect”;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Revolving Commitment Increase, for purposes of this “Specified Transaction” definition, shall be deemed to be fully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Sponsor</w:t>
      </w:r>
      <w:r>
        <w:rPr>
          <w:rFonts w:ascii="Arial" w:cs="Arial" w:eastAsia="Arial" w:hAnsi="Arial"/>
          <w:sz w:val="20"/>
          <w:szCs w:val="20"/>
          <w:color w:val="auto"/>
        </w:rPr>
        <w:t>” means collectively, Blackstone Capital Partners VII L.P. and Blackstone Capital Partners Asia L.P. and/or any of their respective Affiliates and funds or partnerships managed or advised by them or their respective Affiliates.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Sterling</w:t>
      </w:r>
      <w:r>
        <w:rPr>
          <w:rFonts w:ascii="Arial" w:cs="Arial" w:eastAsia="Arial" w:hAnsi="Arial"/>
          <w:sz w:val="21"/>
          <w:szCs w:val="21"/>
          <w:color w:val="auto"/>
        </w:rPr>
        <w:t>” and “</w:t>
      </w:r>
      <w:r>
        <w:rPr>
          <w:rFonts w:ascii="Arial" w:cs="Arial" w:eastAsia="Arial" w:hAnsi="Arial"/>
          <w:sz w:val="21"/>
          <w:szCs w:val="21"/>
          <w:b w:val="1"/>
          <w:bCs w:val="1"/>
          <w:color w:val="auto"/>
        </w:rPr>
        <w:t>£</w:t>
      </w:r>
      <w:r>
        <w:rPr>
          <w:rFonts w:ascii="Arial" w:cs="Arial" w:eastAsia="Arial" w:hAnsi="Arial"/>
          <w:sz w:val="21"/>
          <w:szCs w:val="21"/>
          <w:color w:val="auto"/>
        </w:rPr>
        <w:t>” mean freely transferable lawful money of the United Kingdom (expressed in pounds sterling).</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Submitted Amount</w:t>
      </w:r>
      <w:r>
        <w:rPr>
          <w:rFonts w:ascii="Arial" w:cs="Arial" w:eastAsia="Arial" w:hAnsi="Arial"/>
          <w:sz w:val="21"/>
          <w:szCs w:val="21"/>
          <w:color w:val="auto"/>
        </w:rPr>
        <w:t>” has the meaning set forth in Section 2.05(a)(v)(C)(1).</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Submitted Discount</w:t>
      </w:r>
      <w:r>
        <w:rPr>
          <w:rFonts w:ascii="Arial" w:cs="Arial" w:eastAsia="Arial" w:hAnsi="Arial"/>
          <w:sz w:val="21"/>
          <w:szCs w:val="21"/>
          <w:color w:val="auto"/>
        </w:rPr>
        <w:t>” has the meaning set forth in Section 2.05(a)(v)(C)(1).</w:t>
      </w:r>
    </w:p>
    <w:p>
      <w:pPr>
        <w:spacing w:after="0" w:line="171"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of a Person means a corporation, partnership, limited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(ii) more than half of the issued share capital is at the time beneficially owned. Unless otherwise specified, all references herein to a “Subsidiary” or to “Subsidiaries” shall refer to a Subsidiary or Subsidiaries of the Borrower. For the avoidance of doubt, unless otherwise specified, any entity that is owned at a 50.0% or less level (as described above) shall not be a “Subsidiary” for any purpose under this Agreement, regardless of whether such entity is consolidated on Holdings’, the Borrower’s or any Restricted Subsidiary’s financial statements.</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 Guarantor</w:t>
      </w:r>
      <w:r>
        <w:rPr>
          <w:rFonts w:ascii="Arial" w:cs="Arial" w:eastAsia="Arial" w:hAnsi="Arial"/>
          <w:sz w:val="21"/>
          <w:szCs w:val="21"/>
          <w:color w:val="auto"/>
        </w:rPr>
        <w:t>” means, collectively, the Subsidiaries of the Borrower that are Guarantors.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Successor Alternative Benchmark Rate</w:t>
      </w:r>
      <w:r>
        <w:rPr>
          <w:rFonts w:ascii="Arial" w:cs="Arial" w:eastAsia="Arial" w:hAnsi="Arial"/>
          <w:sz w:val="21"/>
          <w:szCs w:val="21"/>
          <w:color w:val="auto"/>
        </w:rPr>
        <w:t>” has the meaning set forth in the definition of “Term SOFR”.</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Successor Borrower</w:t>
      </w:r>
      <w:r>
        <w:rPr>
          <w:rFonts w:ascii="Arial" w:cs="Arial" w:eastAsia="Arial" w:hAnsi="Arial"/>
          <w:sz w:val="21"/>
          <w:szCs w:val="21"/>
          <w:color w:val="auto"/>
        </w:rPr>
        <w:t>” has the meaning set forth in Section 7.04(d)(I).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Successor Holdings</w:t>
      </w:r>
      <w:r>
        <w:rPr>
          <w:rFonts w:ascii="Arial" w:cs="Arial" w:eastAsia="Arial" w:hAnsi="Arial"/>
          <w:sz w:val="21"/>
          <w:szCs w:val="21"/>
          <w:color w:val="auto"/>
        </w:rPr>
        <w:t>” has the meaning set forth in Section 7.04(d)(II).</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Supplemental Agent</w:t>
      </w:r>
      <w:r>
        <w:rPr>
          <w:rFonts w:ascii="Arial" w:cs="Arial" w:eastAsia="Arial" w:hAnsi="Arial"/>
          <w:sz w:val="21"/>
          <w:szCs w:val="21"/>
          <w:color w:val="auto"/>
        </w:rPr>
        <w:t>” has the meaning set forth in Section 9.14(a) and “</w:t>
      </w:r>
      <w:r>
        <w:rPr>
          <w:rFonts w:ascii="Arial" w:cs="Arial" w:eastAsia="Arial" w:hAnsi="Arial"/>
          <w:sz w:val="21"/>
          <w:szCs w:val="21"/>
          <w:b w:val="1"/>
          <w:bCs w:val="1"/>
          <w:color w:val="auto"/>
        </w:rPr>
        <w:t>Supplemental Agents</w:t>
      </w:r>
      <w:r>
        <w:rPr>
          <w:rFonts w:ascii="Arial" w:cs="Arial" w:eastAsia="Arial" w:hAnsi="Arial"/>
          <w:sz w:val="21"/>
          <w:szCs w:val="21"/>
          <w:color w:val="auto"/>
        </w:rPr>
        <w:t>” shall have the corresponding meaning.</w:t>
      </w:r>
    </w:p>
    <w:p>
      <w:pPr>
        <w:spacing w:after="0" w:line="14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Support and Services Agreement</w:t>
      </w:r>
      <w:r>
        <w:rPr>
          <w:rFonts w:ascii="Arial" w:cs="Arial" w:eastAsia="Arial" w:hAnsi="Arial"/>
          <w:sz w:val="21"/>
          <w:szCs w:val="21"/>
          <w:color w:val="auto"/>
        </w:rPr>
        <w:t>” means the management services or similar agreements or the management services provisions contained in an investor rights agreement or other equityholders’ agreement, as the case may be, between certain of the management companies associated with the Investors or their advisors or Affiliates, if applicable, and Holdings (and/or its direct or indirect parent companies or Subsidiaries), as in effect from time to time.</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Supported QFC</w:t>
      </w:r>
      <w:r>
        <w:rPr>
          <w:rFonts w:ascii="Arial" w:cs="Arial" w:eastAsia="Arial" w:hAnsi="Arial"/>
          <w:sz w:val="21"/>
          <w:szCs w:val="21"/>
          <w:color w:val="auto"/>
        </w:rPr>
        <w:t>” has the meaning set forth in Section 10.25.</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Swap</w:t>
      </w:r>
      <w:r>
        <w:rPr>
          <w:rFonts w:ascii="Arial" w:cs="Arial" w:eastAsia="Arial" w:hAnsi="Arial"/>
          <w:sz w:val="21"/>
          <w:szCs w:val="21"/>
          <w:color w:val="auto"/>
        </w:rPr>
        <w:t>” means, any agreement, contract, or transaction that constitutes a “</w:t>
      </w:r>
      <w:r>
        <w:rPr>
          <w:rFonts w:ascii="Arial" w:cs="Arial" w:eastAsia="Arial" w:hAnsi="Arial"/>
          <w:sz w:val="21"/>
          <w:szCs w:val="21"/>
          <w:b w:val="1"/>
          <w:bCs w:val="1"/>
          <w:color w:val="auto"/>
        </w:rPr>
        <w:t>swap</w:t>
      </w:r>
      <w:r>
        <w:rPr>
          <w:rFonts w:ascii="Arial" w:cs="Arial" w:eastAsia="Arial" w:hAnsi="Arial"/>
          <w:sz w:val="21"/>
          <w:szCs w:val="21"/>
          <w:color w:val="auto"/>
        </w:rPr>
        <w:t>”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b w:val="1"/>
          <w:bCs w:val="1"/>
          <w:color w:val="auto"/>
        </w:rPr>
        <w:t>Master Agreement</w:t>
      </w:r>
      <w:r>
        <w:rPr>
          <w:rFonts w:ascii="Arial" w:cs="Arial" w:eastAsia="Arial" w:hAnsi="Arial"/>
          <w:sz w:val="19"/>
          <w:szCs w:val="19"/>
          <w:color w:val="auto"/>
        </w:rPr>
        <w:t>”), including any such obligations or liabilities under any Master Agreement.</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Obligation</w:t>
      </w:r>
      <w:r>
        <w:rPr>
          <w:rFonts w:ascii="Arial" w:cs="Arial" w:eastAsia="Arial" w:hAnsi="Arial"/>
          <w:sz w:val="20"/>
          <w:szCs w:val="20"/>
          <w:color w:val="auto"/>
        </w:rPr>
        <w:t>” means, with respect to any Person, any obligation to pay or perform under any Swap Contract.</w:t>
      </w:r>
    </w:p>
    <w:p>
      <w:pPr>
        <w:spacing w:after="0" w:line="183"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Termination Value</w:t>
      </w:r>
      <w:r>
        <w:rPr>
          <w:rFonts w:ascii="Arial" w:cs="Arial" w:eastAsia="Arial" w:hAnsi="Arial"/>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Swing Line Borrowing</w:t>
      </w:r>
      <w:r>
        <w:rPr>
          <w:rFonts w:ascii="Arial" w:cs="Arial" w:eastAsia="Arial" w:hAnsi="Arial"/>
          <w:sz w:val="21"/>
          <w:szCs w:val="21"/>
          <w:color w:val="auto"/>
        </w:rPr>
        <w:t>” means a borrowing of a Swing Line Loan pursuant to Section 2.04.</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Swing Line Facility</w:t>
      </w:r>
      <w:r>
        <w:rPr>
          <w:rFonts w:ascii="Arial" w:cs="Arial" w:eastAsia="Arial" w:hAnsi="Arial"/>
          <w:sz w:val="19"/>
          <w:szCs w:val="19"/>
          <w:color w:val="auto"/>
        </w:rPr>
        <w:t>” means the swing line loan facility made available by the Swing Line Lenders pursuant to Section 2.04.</w:t>
      </w:r>
    </w:p>
    <w:p>
      <w:pPr>
        <w:spacing w:after="0" w:line="19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Swing Line Lender</w:t>
      </w:r>
      <w:r>
        <w:rPr>
          <w:rFonts w:ascii="Arial" w:cs="Arial" w:eastAsia="Arial" w:hAnsi="Arial"/>
          <w:sz w:val="21"/>
          <w:szCs w:val="21"/>
          <w:color w:val="auto"/>
        </w:rPr>
        <w:t>” means JPMorgan, in its capacity as provider of Swing Line Loans or any successor swing line lender hereunder.</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Swing Line Loan</w:t>
      </w:r>
      <w:r>
        <w:rPr>
          <w:rFonts w:ascii="Arial" w:cs="Arial" w:eastAsia="Arial" w:hAnsi="Arial"/>
          <w:sz w:val="21"/>
          <w:szCs w:val="21"/>
          <w:color w:val="auto"/>
        </w:rPr>
        <w:t>” has the meaning set forth in Section 2.04(a).</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Swing Line Loan Notice</w:t>
      </w:r>
      <w:r>
        <w:rPr>
          <w:rFonts w:ascii="Arial" w:cs="Arial" w:eastAsia="Arial" w:hAnsi="Arial"/>
          <w:sz w:val="21"/>
          <w:szCs w:val="21"/>
          <w:color w:val="auto"/>
        </w:rPr>
        <w:t>” means a notice of a Swing Line Borrowing pursuant to Section 2.04(b), which, if in writing, shall be substantially in the form of Exhibit C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46"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Swing Line Note</w:t>
      </w:r>
      <w:r>
        <w:rPr>
          <w:rFonts w:ascii="Arial" w:cs="Arial" w:eastAsia="Arial" w:hAnsi="Arial"/>
          <w:sz w:val="21"/>
          <w:szCs w:val="21"/>
          <w:color w:val="auto"/>
        </w:rPr>
        <w:t>” means a promissory note of the Borrower payable to the Swing Line Lender or its registered assigns, in substantially the form of Exhibit D-3 hereto, evidencing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16" w:lineRule="exact"/>
        <w:rPr>
          <w:sz w:val="20"/>
          <w:szCs w:val="20"/>
          <w:color w:val="auto"/>
        </w:rPr>
      </w:pPr>
    </w:p>
    <w:p>
      <w:pPr>
        <w:spacing w:after="0"/>
        <w:rPr>
          <w:sz w:val="20"/>
          <w:szCs w:val="20"/>
          <w:color w:val="auto"/>
        </w:rPr>
      </w:pPr>
      <w:r>
        <w:rPr>
          <w:rFonts w:ascii="Arial" w:cs="Arial" w:eastAsia="Arial" w:hAnsi="Arial"/>
          <w:sz w:val="21"/>
          <w:szCs w:val="21"/>
          <w:color w:val="auto"/>
        </w:rPr>
        <w:t>aggregate Indebtedness of the Borrower to the Swing Line Lender resulting from the Swing Line Loans.</w:t>
      </w:r>
    </w:p>
    <w:p>
      <w:pPr>
        <w:spacing w:after="0" w:line="16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Swing Line Obligations</w:t>
      </w:r>
      <w:r>
        <w:rPr>
          <w:rFonts w:ascii="Arial" w:cs="Arial" w:eastAsia="Arial" w:hAnsi="Arial"/>
          <w:sz w:val="21"/>
          <w:szCs w:val="21"/>
          <w:color w:val="auto"/>
        </w:rPr>
        <w:t>” means, as at any date of determination, the aggregate principal amount of all Swing Line Loans outstanding.</w:t>
      </w:r>
    </w:p>
    <w:p>
      <w:pPr>
        <w:spacing w:after="0" w:line="14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Swing Line Sublimit</w:t>
      </w:r>
      <w:r>
        <w:rPr>
          <w:rFonts w:ascii="Arial" w:cs="Arial" w:eastAsia="Arial" w:hAnsi="Arial"/>
          <w:sz w:val="19"/>
          <w:szCs w:val="19"/>
          <w:color w:val="auto"/>
        </w:rPr>
        <w:t>” means an amount equal to the lesser of (a) $15,000,000 and (b) the aggregate principal amount of the Revolving Credit Commitments. The Swing Line Sublimit is part of, and not in addition to, the Revolving Credit Commitments.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Group</w:t>
      </w:r>
      <w:r>
        <w:rPr>
          <w:rFonts w:ascii="Arial" w:cs="Arial" w:eastAsia="Arial" w:hAnsi="Arial"/>
          <w:sz w:val="21"/>
          <w:szCs w:val="21"/>
          <w:color w:val="auto"/>
        </w:rPr>
        <w:t>” has the meaning set forth in Section 7.06(i)(iii).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Taxes</w:t>
      </w:r>
      <w:r>
        <w:rPr>
          <w:rFonts w:ascii="Arial" w:cs="Arial" w:eastAsia="Arial" w:hAnsi="Arial"/>
          <w:sz w:val="21"/>
          <w:szCs w:val="21"/>
          <w:color w:val="auto"/>
        </w:rPr>
        <w:t>” has the meaning set forth in Section 3.01(a).</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Borrowing</w:t>
      </w:r>
      <w:r>
        <w:rPr>
          <w:rFonts w:ascii="Arial" w:cs="Arial" w:eastAsia="Arial" w:hAnsi="Arial"/>
          <w:sz w:val="21"/>
          <w:szCs w:val="21"/>
          <w:color w:val="auto"/>
        </w:rPr>
        <w:t>” means a borrowing consisting of simultaneous Term Loans of the same Class and Type and, in the case of Term SOFR Loans, having the same Interest Period made by each of the Term Lenders pursuant to Section 2.01(a), an Incremental Amendment, a Refinancing Amendment or an Extension.</w:t>
      </w:r>
    </w:p>
    <w:p>
      <w:pPr>
        <w:spacing w:after="0" w:line="143"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Commitment</w:t>
      </w:r>
      <w:r>
        <w:rPr>
          <w:rFonts w:ascii="Arial" w:cs="Arial" w:eastAsia="Arial" w:hAnsi="Arial"/>
          <w:sz w:val="21"/>
          <w:szCs w:val="21"/>
          <w:color w:val="auto"/>
        </w:rPr>
        <w:t>” means, as to each Term Lender, its obligation to make a Term Loan to the Borrower hereunder, expressed as an amount representing the maximum principal amount of the Term Loan to be made by such Term Lender under this Agreement, as such commitment may be (a) reduced from time to time pursuant to Section 2.06 and (b) reduced or increased from time to time pursuant to (i) assignments by or to such Term Lender pursuant to an Assignment and Assumption, (ii) an Incremental Amendment, (iii) a Refinancing Amendment or (iv) an Extension.</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Lender</w:t>
      </w:r>
      <w:r>
        <w:rPr>
          <w:rFonts w:ascii="Arial" w:cs="Arial" w:eastAsia="Arial" w:hAnsi="Arial"/>
          <w:sz w:val="21"/>
          <w:szCs w:val="21"/>
          <w:color w:val="auto"/>
        </w:rPr>
        <w:t>” means, at any time, any Lender that has a Term Commitment or a Term Loan at such time.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Loan Extension Request</w:t>
      </w:r>
      <w:r>
        <w:rPr>
          <w:rFonts w:ascii="Arial" w:cs="Arial" w:eastAsia="Arial" w:hAnsi="Arial"/>
          <w:sz w:val="21"/>
          <w:szCs w:val="21"/>
          <w:color w:val="auto"/>
        </w:rPr>
        <w:t>” has the meaning set forth in Section 2.16(a).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Loan Extension Series</w:t>
      </w:r>
      <w:r>
        <w:rPr>
          <w:rFonts w:ascii="Arial" w:cs="Arial" w:eastAsia="Arial" w:hAnsi="Arial"/>
          <w:sz w:val="21"/>
          <w:szCs w:val="21"/>
          <w:color w:val="auto"/>
        </w:rPr>
        <w:t>” has the meaning set forth in Section 2.16(a).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Loan Increase</w:t>
      </w:r>
      <w:r>
        <w:rPr>
          <w:rFonts w:ascii="Arial" w:cs="Arial" w:eastAsia="Arial" w:hAnsi="Arial"/>
          <w:sz w:val="21"/>
          <w:szCs w:val="21"/>
          <w:color w:val="auto"/>
        </w:rPr>
        <w:t>” has the meaning set forth in Section 2.14(a).</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Loans</w:t>
      </w:r>
      <w:r>
        <w:rPr>
          <w:rFonts w:ascii="Arial" w:cs="Arial" w:eastAsia="Arial" w:hAnsi="Arial"/>
          <w:sz w:val="21"/>
          <w:szCs w:val="21"/>
          <w:color w:val="auto"/>
        </w:rPr>
        <w:t>” means any Restatement Date Term Loan or any Incremental Term Loan, Refinancing Term Loan or Extended Term Loan designated as a “Term Loan,” as the context may require.</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Note</w:t>
      </w:r>
      <w:r>
        <w:rPr>
          <w:rFonts w:ascii="Arial" w:cs="Arial" w:eastAsia="Arial" w:hAnsi="Arial"/>
          <w:sz w:val="21"/>
          <w:szCs w:val="21"/>
          <w:color w:val="auto"/>
        </w:rPr>
        <w:t>” means a promissory note of the Borrower payable to any Term Lender or its registered assigns, in substantially the form of Exhibit D-1 hereto, evidencing the aggregate Indebtedness of the Borrower to such Term Lender resulting from the Term Loans of the applicable Class made by such Term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SOFR</w:t>
      </w:r>
      <w:r>
        <w:rPr>
          <w:rFonts w:ascii="Arial" w:cs="Arial" w:eastAsia="Arial" w:hAnsi="Arial"/>
          <w:sz w:val="21"/>
          <w:szCs w:val="21"/>
          <w:color w:val="auto"/>
        </w:rPr>
        <w:t>” means,</w:t>
      </w:r>
    </w:p>
    <w:p>
      <w:pPr>
        <w:spacing w:after="0" w:line="177" w:lineRule="exact"/>
        <w:rPr>
          <w:sz w:val="20"/>
          <w:szCs w:val="20"/>
          <w:color w:val="auto"/>
        </w:rPr>
      </w:pPr>
    </w:p>
    <w:p>
      <w:pPr>
        <w:jc w:val="both"/>
        <w:ind w:firstLine="1241"/>
        <w:spacing w:after="0" w:line="232" w:lineRule="auto"/>
        <w:tabs>
          <w:tab w:leader="none" w:pos="1711" w:val="left"/>
        </w:tabs>
        <w:numPr>
          <w:ilvl w:val="0"/>
          <w:numId w:val="69"/>
        </w:numPr>
        <w:rPr>
          <w:rFonts w:ascii="Arial" w:cs="Arial" w:eastAsia="Arial" w:hAnsi="Arial"/>
          <w:sz w:val="19"/>
          <w:szCs w:val="19"/>
          <w:color w:val="auto"/>
        </w:rPr>
      </w:pPr>
      <w:r>
        <w:rPr>
          <w:rFonts w:ascii="Arial" w:cs="Arial" w:eastAsia="Arial" w:hAnsi="Arial"/>
          <w:sz w:val="19"/>
          <w:szCs w:val="19"/>
          <w:color w:val="auto"/>
        </w:rPr>
        <w:t>for any calculation with respect to a Term SOFR Loan, the Term SOFR Reference Rate for a tenor comparable to the applicable Interest Period on the day (such day, the “</w:t>
      </w:r>
      <w:r>
        <w:rPr>
          <w:rFonts w:ascii="Arial" w:cs="Arial" w:eastAsia="Arial" w:hAnsi="Arial"/>
          <w:sz w:val="19"/>
          <w:szCs w:val="19"/>
          <w:b w:val="1"/>
          <w:bCs w:val="1"/>
          <w:color w:val="auto"/>
        </w:rPr>
        <w:t>Periodic Term SOFR Determination Day</w:t>
      </w:r>
      <w:r>
        <w:rPr>
          <w:rFonts w:ascii="Arial" w:cs="Arial" w:eastAsia="Arial" w:hAnsi="Arial"/>
          <w:sz w:val="19"/>
          <w:szCs w:val="19"/>
          <w:color w:val="auto"/>
        </w:rPr>
        <w:t xml:space="preserve">”) that is two (2) U.S. Government Securities Business Days prior to the first day of such Interest Period, as such rate is published by the Term SOFR Administrator;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as of 5:00 p.m. (New York City time) on any Periodic Term SOFR Determination Day the Term SOFR</w:t>
      </w:r>
      <w:r>
        <w:rPr>
          <w:rFonts w:ascii="Arial" w:cs="Arial" w:eastAsia="Arial" w:hAnsi="Arial"/>
          <w:sz w:val="19"/>
          <w:szCs w:val="19"/>
          <w:i w:val="1"/>
          <w:iCs w:val="1"/>
          <w:color w:val="auto"/>
        </w:rPr>
        <w:t xml:space="preserve"> </w:t>
      </w:r>
      <w:r>
        <w:rPr>
          <w:rFonts w:ascii="Arial" w:cs="Arial" w:eastAsia="Arial" w:hAnsi="Arial"/>
          <w:sz w:val="19"/>
          <w:szCs w:val="19"/>
          <w:color w:val="auto"/>
        </w:rPr>
        <w:t>Reference Rate for the applicable tenor has not been published by the Term SOFR Administrator, then, at the option of the Borrower, (i)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Periodic Term SOFR Determination Day or (ii) Term SOFR shall be deemed to equal Daily Simple SOFR for each day the applicable Loan remains outstanding, and</w:t>
      </w:r>
    </w:p>
    <w:p>
      <w:pPr>
        <w:spacing w:after="0" w:line="156" w:lineRule="exact"/>
        <w:rPr>
          <w:rFonts w:ascii="Arial" w:cs="Arial" w:eastAsia="Arial" w:hAnsi="Arial"/>
          <w:sz w:val="19"/>
          <w:szCs w:val="19"/>
          <w:color w:val="auto"/>
        </w:rPr>
      </w:pPr>
    </w:p>
    <w:p>
      <w:pPr>
        <w:jc w:val="both"/>
        <w:ind w:firstLine="1241"/>
        <w:spacing w:after="0" w:line="221" w:lineRule="auto"/>
        <w:tabs>
          <w:tab w:leader="none" w:pos="1698" w:val="left"/>
        </w:tabs>
        <w:numPr>
          <w:ilvl w:val="0"/>
          <w:numId w:val="69"/>
        </w:numPr>
        <w:rPr>
          <w:rFonts w:ascii="Arial" w:cs="Arial" w:eastAsia="Arial" w:hAnsi="Arial"/>
          <w:sz w:val="20"/>
          <w:szCs w:val="20"/>
          <w:color w:val="auto"/>
        </w:rPr>
      </w:pPr>
      <w:r>
        <w:rPr>
          <w:rFonts w:ascii="Arial" w:cs="Arial" w:eastAsia="Arial" w:hAnsi="Arial"/>
          <w:sz w:val="20"/>
          <w:szCs w:val="20"/>
          <w:color w:val="auto"/>
        </w:rPr>
        <w:t>for any calculation with respect to a Base Rate Loan on any day, the Term SOFR Reference Rate for a tenor of one month on the day (such day, the “</w:t>
      </w:r>
      <w:r>
        <w:rPr>
          <w:rFonts w:ascii="Arial" w:cs="Arial" w:eastAsia="Arial" w:hAnsi="Arial"/>
          <w:sz w:val="20"/>
          <w:szCs w:val="20"/>
          <w:b w:val="1"/>
          <w:bCs w:val="1"/>
          <w:color w:val="auto"/>
        </w:rPr>
        <w:t>Base Rate Term SOFR Determination Day</w:t>
      </w:r>
      <w:r>
        <w:rPr>
          <w:rFonts w:ascii="Arial" w:cs="Arial" w:eastAsia="Arial" w:hAnsi="Arial"/>
          <w:sz w:val="20"/>
          <w:szCs w:val="20"/>
          <w:color w:val="auto"/>
        </w:rPr>
        <w:t xml:space="preserve">”) that is two (2) U.S. Government Securities Business Days prior to such day, as such rate is published by the Term SOFR Administrator;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as of 5:00 p.m. (New York City time) on any Base Rate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Base Rate Term SOFR Determination Day;</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(i) the Borrower and the Administrative Agent reasonably determine in good faith that an interest rate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ascertainable pursuant to the foregoing provisions of this definition and the inability to ascertain such rate is unlikely to be temporary or</w:t>
      </w:r>
    </w:p>
    <w:p>
      <w:pPr>
        <w:spacing w:after="0" w:line="1" w:lineRule="exact"/>
        <w:rPr>
          <w:sz w:val="20"/>
          <w:szCs w:val="20"/>
          <w:color w:val="auto"/>
        </w:rPr>
      </w:pPr>
    </w:p>
    <w:p>
      <w:pPr>
        <w:jc w:val="both"/>
        <w:ind w:firstLine="3"/>
        <w:spacing w:after="0" w:line="244" w:lineRule="auto"/>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Applicable Authority has made a public statement identifying a specific date after which all tenors of Term SOFR (including any forward-looking term rate thereof) shall or will no longer be representative or made available, or used for determining the interest rate of loans denominated in Dollars, or shall or will otherwise cease,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at the time of such statement, there is no successor administrator that is reasonably satisfactory to the Administrative Agent that will continue to provide such representative tenor(s) of Term SOFR (any such even or circumstance in the foregoing clauses (i) and (ii) of this proviso, a “</w:t>
      </w:r>
      <w:r>
        <w:rPr>
          <w:rFonts w:ascii="Arial" w:cs="Arial" w:eastAsia="Arial" w:hAnsi="Arial"/>
          <w:sz w:val="18"/>
          <w:szCs w:val="18"/>
          <w:b w:val="1"/>
          <w:bCs w:val="1"/>
          <w:color w:val="auto"/>
        </w:rPr>
        <w:t>Replacement Event</w:t>
      </w:r>
      <w:r>
        <w:rPr>
          <w:rFonts w:ascii="Arial" w:cs="Arial" w:eastAsia="Arial" w:hAnsi="Arial"/>
          <w:sz w:val="18"/>
          <w:szCs w:val="18"/>
          <w:color w:val="auto"/>
        </w:rPr>
        <w:t>”), “Term SOFR” shall be an alternate rate of interest established by the Administrative Agent and the Borrower that is generally accepted as the then prevailing market convention for determining a rate of interest for similar syndicated loans in the United States at such time, which shall include (A) the spread or method for determining a spread or other adjustment or modification that is generally accepted as the then prevailing market convention for determining such spread, method, adjustment or modification and (B)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16"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adjustments to such alternate rate and this Agreement (x) to not increase or decrease pricing in effect at the time of selection of such alternate rate (but for the avoidance of doubt which would not reduce the Applicable Rate) and (y) other changes necessary to reflect the available interest periods for such alternate rate for similar syndicated leveraged loans of this type in the United States at such time (any such rate, the “</w:t>
      </w:r>
      <w:r>
        <w:rPr>
          <w:rFonts w:ascii="Arial" w:cs="Arial" w:eastAsia="Arial" w:hAnsi="Arial"/>
          <w:sz w:val="19"/>
          <w:szCs w:val="19"/>
          <w:b w:val="1"/>
          <w:bCs w:val="1"/>
          <w:color w:val="auto"/>
        </w:rPr>
        <w:t>Successor Alternative Benchmark Rate</w:t>
      </w:r>
      <w:r>
        <w:rPr>
          <w:rFonts w:ascii="Arial" w:cs="Arial" w:eastAsia="Arial" w:hAnsi="Arial"/>
          <w:sz w:val="19"/>
          <w:szCs w:val="19"/>
          <w:color w:val="auto"/>
        </w:rPr>
        <w:t xml:space="preserve">”). The Administrative Agent and the Borrower shall enter into an amendment to this Agreement to reflect such alternate rate of interest and such other related changes to this Agreement as may be applicable and, notwithstanding anything to the contrary in Section 10.01, such amendment shall become effective without any further action or consent of any other party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a Successor Alternative Benchmark Rate has not been established pursuant to the immediately preceding proviso after the Borrower and the Administrative Agent have reached such a determination, the Borrower and the Required Facility Lenders with respect to any Facility may select a different alternate rate as long as it is reasonably practicable for the Administrative Agent to administer such different rate and, upon not less than 15 Business Days’ prior written notice to the Administrative Agent, the Required Facility Lenders with respect to such Facility and the Borrower shall enter into an amendment to this Agreement to reflect such alternate rate of interest and such other related changes to this Agreement as may be applicable and, notwithstanding anything to the contrary in Section 10.01, such amendment shall become effective without any further action or consent of any other party to this Agreement. Notwithstanding the foregoing, if Term SOFR as so determined would be less than the Applicable Term SOFR Floor with respect to any Facility, such rate shall be deemed to be the Applicable Term SOFR Floor with respect to such Facility for purposes of this Agreement. For the avoidance of doubt, if a Replacement Event occurs, the Applicable Rate for any Term SOFR Loan shall be determined in accordance with the proviso to clause (a) or (b) of this definition, as applicable, until the date a Successor Alternative Benchmark Rate or other alternate term rate determined pursuant to the proviso above has been established in accordance with the requirements of this definition.</w:t>
      </w:r>
    </w:p>
    <w:p>
      <w:pPr>
        <w:spacing w:after="0" w:line="18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SOFR Administrator</w:t>
      </w:r>
      <w:r>
        <w:rPr>
          <w:rFonts w:ascii="Arial" w:cs="Arial" w:eastAsia="Arial" w:hAnsi="Arial"/>
          <w:sz w:val="21"/>
          <w:szCs w:val="21"/>
          <w:color w:val="auto"/>
        </w:rPr>
        <w:t>” means CME Group Benchmark Administration Limited (CBA) (or a successor administrator of the Term SOFR Reference Rate as mutually agreed by the Administrative Agent and the Borrower).</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SOFR Loan</w:t>
      </w:r>
      <w:r>
        <w:rPr>
          <w:rFonts w:ascii="Arial" w:cs="Arial" w:eastAsia="Arial" w:hAnsi="Arial"/>
          <w:sz w:val="21"/>
          <w:szCs w:val="21"/>
          <w:color w:val="auto"/>
        </w:rPr>
        <w:t>” means an Loan (or any one or more portions thereof) that bears interest based on the Adjusted Term SOFR Rate.</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SOFR Reference Rate</w:t>
      </w:r>
      <w:r>
        <w:rPr>
          <w:rFonts w:ascii="Arial" w:cs="Arial" w:eastAsia="Arial" w:hAnsi="Arial"/>
          <w:sz w:val="21"/>
          <w:szCs w:val="21"/>
          <w:color w:val="auto"/>
        </w:rPr>
        <w:t>” means the forward-looking term rate based on SOFR.</w:t>
      </w:r>
    </w:p>
    <w:p>
      <w:pPr>
        <w:spacing w:after="0" w:line="171"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Test Period</w:t>
      </w:r>
      <w:r>
        <w:rPr>
          <w:rFonts w:ascii="Arial" w:cs="Arial" w:eastAsia="Arial" w:hAnsi="Arial"/>
          <w:sz w:val="20"/>
          <w:szCs w:val="20"/>
          <w:color w:val="auto"/>
        </w:rPr>
        <w:t>” means, for any date of determination under this Agreement, the latest four consecutive fiscal quarters of the Borrower for which financial statements have been delivered to the Administrative Agent on or prior to the Restatement Date and/or for which financial statements are required to be delivered pursuant to Section 6.01, as applicable.</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Threshold Amount</w:t>
      </w:r>
      <w:r>
        <w:rPr>
          <w:rFonts w:ascii="Arial" w:cs="Arial" w:eastAsia="Arial" w:hAnsi="Arial"/>
          <w:sz w:val="21"/>
          <w:szCs w:val="21"/>
          <w:color w:val="auto"/>
        </w:rPr>
        <w:t>” means $50,000,000.</w:t>
      </w:r>
    </w:p>
    <w:p>
      <w:pPr>
        <w:spacing w:after="0" w:line="17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Assets</w:t>
      </w:r>
      <w:r>
        <w:rPr>
          <w:rFonts w:ascii="Arial" w:cs="Arial" w:eastAsia="Arial" w:hAnsi="Arial"/>
          <w:sz w:val="19"/>
          <w:szCs w:val="19"/>
          <w:color w:val="auto"/>
        </w:rPr>
        <w:t>” means the total assets of the Borrower and the Restricted Subsidiaries on a consolidated basis in accordance with GAAP, as shown on the most recent balance sheet of the Borrower delivered pursuant to Sections 6.01(a)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Outstandings</w:t>
      </w:r>
      <w:r>
        <w:rPr>
          <w:rFonts w:ascii="Arial" w:cs="Arial" w:eastAsia="Arial" w:hAnsi="Arial"/>
          <w:sz w:val="21"/>
          <w:szCs w:val="21"/>
          <w:color w:val="auto"/>
        </w:rPr>
        <w:t>” means the aggregate Outstanding Amount of all Loans and all L/C Obligations.</w:t>
      </w:r>
    </w:p>
    <w:p>
      <w:pPr>
        <w:spacing w:after="0" w:line="171" w:lineRule="exact"/>
        <w:rPr>
          <w:sz w:val="20"/>
          <w:szCs w:val="20"/>
          <w:color w:val="auto"/>
        </w:rPr>
      </w:pPr>
    </w:p>
    <w:p>
      <w:pPr>
        <w:jc w:val="both"/>
        <w:ind w:firstLine="6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Expenses</w:t>
      </w:r>
      <w:r>
        <w:rPr>
          <w:rFonts w:ascii="Arial" w:cs="Arial" w:eastAsia="Arial" w:hAnsi="Arial"/>
          <w:sz w:val="19"/>
          <w:szCs w:val="19"/>
          <w:color w:val="auto"/>
        </w:rPr>
        <w:t>” means any fees or expenses incurred or paid by the Investors, Holdings, the Borrower or any of its (or their) Subsidiaries in connection with the Transactions (including expenses in connection with hedging transactions related to the Facilities, any OID or upfront fees, payments to officers, employees and directors as change of control payments, severance payments, special or retention bonuses and charges for repurchase or rollover of, or modifications to, stock options), this Agreement and the other Loan Documents, the Support and Services Agreement and the transactions contemplated hereby and thereby.</w:t>
      </w:r>
    </w:p>
    <w:p>
      <w:pPr>
        <w:spacing w:after="0" w:line="145"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Transactions</w:t>
      </w:r>
      <w:r>
        <w:rPr>
          <w:rFonts w:ascii="Arial" w:cs="Arial" w:eastAsia="Arial" w:hAnsi="Arial"/>
          <w:sz w:val="21"/>
          <w:szCs w:val="21"/>
          <w:color w:val="auto"/>
        </w:rPr>
        <w:t>” means, collectively, (a) the funding of the Restatement Date Term Loans on the Restatement Date and the execution and delivery of the Loan Documents to be entered into on the Restatement Date, (b) the Restatement Date Refinancing Transactions shall have been consummated, (c) the payment of Transaction Expenses and (d) the consummation of any other transaction in connection with the foregoing.</w:t>
      </w:r>
    </w:p>
    <w:p>
      <w:pPr>
        <w:spacing w:after="0" w:line="146"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Treasury Services Agreement</w:t>
      </w:r>
      <w:r>
        <w:rPr>
          <w:rFonts w:ascii="Arial" w:cs="Arial" w:eastAsia="Arial" w:hAnsi="Arial"/>
          <w:sz w:val="20"/>
          <w:szCs w:val="20"/>
          <w:color w:val="auto"/>
        </w:rPr>
        <w:t>” means any agreement between the Borrower or any Restricted Subsidiary and any Approved Counterparty relating to treasury, depository, credit card, debit card, stored value cards, purchasing or procurement cards and cash management services or automated clearinghouse transfer of funds or any overdraft or similar services.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TU MidCo</w:t>
      </w:r>
      <w:r>
        <w:rPr>
          <w:rFonts w:ascii="Arial" w:cs="Arial" w:eastAsia="Arial" w:hAnsi="Arial"/>
          <w:sz w:val="21"/>
          <w:szCs w:val="21"/>
          <w:color w:val="auto"/>
        </w:rPr>
        <w:t>” means TU MidCo, Inc., a Delaware corporation.</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Type</w:t>
      </w:r>
      <w:r>
        <w:rPr>
          <w:rFonts w:ascii="Arial" w:cs="Arial" w:eastAsia="Arial" w:hAnsi="Arial"/>
          <w:sz w:val="19"/>
          <w:szCs w:val="19"/>
          <w:color w:val="auto"/>
        </w:rPr>
        <w:t>” means, with respect to a Loan, its character as a Base Rate Loan, a Eurocurrency Rate Loan or a Term SOFR Loan.</w:t>
      </w:r>
    </w:p>
    <w:p>
      <w:pPr>
        <w:spacing w:after="0" w:line="194"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3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UK Resolution Authority</w:t>
      </w:r>
      <w:r>
        <w:rPr>
          <w:rFonts w:ascii="Arial" w:cs="Arial" w:eastAsia="Arial" w:hAnsi="Arial"/>
          <w:sz w:val="21"/>
          <w:szCs w:val="21"/>
          <w:color w:val="auto"/>
        </w:rPr>
        <w:t>” means the Bank of England or any other public administrative authority having responsibility for the resolution of any UK Financial Institution.</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Unaudited Financial Statements</w:t>
      </w:r>
      <w:r>
        <w:rPr>
          <w:rFonts w:ascii="Arial" w:cs="Arial" w:eastAsia="Arial" w:hAnsi="Arial"/>
          <w:sz w:val="21"/>
          <w:szCs w:val="21"/>
          <w:color w:val="auto"/>
        </w:rPr>
        <w:t>” means the unaudited consolidated balance sheet and unaudited consolidated statements of income and cash flows of Holdings and its Subsidiaries for the fiscal quarter ended June 30, 2022.</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Uniform Commercial Code</w:t>
      </w:r>
      <w:r>
        <w:rPr>
          <w:rFonts w:ascii="Arial" w:cs="Arial" w:eastAsia="Arial" w:hAnsi="Arial"/>
          <w:sz w:val="21"/>
          <w:szCs w:val="21"/>
          <w:color w:val="auto"/>
        </w:rPr>
        <w:t>” or “</w:t>
      </w:r>
      <w:r>
        <w:rPr>
          <w:rFonts w:ascii="Arial" w:cs="Arial" w:eastAsia="Arial" w:hAnsi="Arial"/>
          <w:sz w:val="21"/>
          <w:szCs w:val="21"/>
          <w:b w:val="1"/>
          <w:bCs w:val="1"/>
          <w:color w:val="auto"/>
        </w:rPr>
        <w:t>UCC</w:t>
      </w:r>
      <w:r>
        <w:rPr>
          <w:rFonts w:ascii="Arial" w:cs="Arial" w:eastAsia="Arial" w:hAnsi="Arial"/>
          <w:sz w:val="21"/>
          <w:szCs w:val="21"/>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United States</w:t>
      </w:r>
      <w:r>
        <w:rPr>
          <w:rFonts w:ascii="Arial" w:cs="Arial" w:eastAsia="Arial" w:hAnsi="Arial"/>
          <w:sz w:val="21"/>
          <w:szCs w:val="21"/>
          <w:color w:val="auto"/>
        </w:rPr>
        <w:t>” and “</w:t>
      </w:r>
      <w:r>
        <w:rPr>
          <w:rFonts w:ascii="Arial" w:cs="Arial" w:eastAsia="Arial" w:hAnsi="Arial"/>
          <w:sz w:val="21"/>
          <w:szCs w:val="21"/>
          <w:b w:val="1"/>
          <w:bCs w:val="1"/>
          <w:color w:val="auto"/>
        </w:rPr>
        <w:t>U.S.</w:t>
      </w:r>
      <w:r>
        <w:rPr>
          <w:rFonts w:ascii="Arial" w:cs="Arial" w:eastAsia="Arial" w:hAnsi="Arial"/>
          <w:sz w:val="21"/>
          <w:szCs w:val="21"/>
          <w:color w:val="auto"/>
        </w:rPr>
        <w:t>” mean the United States of America.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Unreimbursed Amount</w:t>
      </w:r>
      <w:r>
        <w:rPr>
          <w:rFonts w:ascii="Arial" w:cs="Arial" w:eastAsia="Arial" w:hAnsi="Arial"/>
          <w:sz w:val="21"/>
          <w:szCs w:val="21"/>
          <w:color w:val="auto"/>
        </w:rPr>
        <w:t>” has the meaning set forth in Section 2.03(c)(i).</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Unrestricted Subsidiary</w:t>
      </w:r>
      <w:r>
        <w:rPr>
          <w:rFonts w:ascii="Arial" w:cs="Arial" w:eastAsia="Arial" w:hAnsi="Arial"/>
          <w:sz w:val="19"/>
          <w:szCs w:val="19"/>
          <w:color w:val="auto"/>
        </w:rPr>
        <w:t>” means (i) as of the Restatement Date, each Subsidiary of the Borrower listed on Schedule 1.01C,</w:t>
      </w:r>
    </w:p>
    <w:p>
      <w:pPr>
        <w:spacing w:after="0" w:line="12" w:lineRule="exact"/>
        <w:rPr>
          <w:sz w:val="20"/>
          <w:szCs w:val="20"/>
          <w:color w:val="auto"/>
        </w:rPr>
      </w:pPr>
    </w:p>
    <w:p>
      <w:pPr>
        <w:ind w:firstLine="3"/>
        <w:spacing w:after="0" w:line="224" w:lineRule="auto"/>
        <w:tabs>
          <w:tab w:leader="none" w:pos="318"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Subsidiary of the Borrower designated by the Borrower as an Unrestricted Subsidiary pursuant to Section 6.14 subsequent to the Restatement Date and (iii) any Subsidiary of an Unrestricted Subsidiary.</w:t>
      </w:r>
    </w:p>
    <w:p>
      <w:pPr>
        <w:spacing w:after="0" w:line="14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USA PATRIOT Act</w:t>
      </w:r>
      <w:r>
        <w:rPr>
          <w:rFonts w:ascii="Arial" w:cs="Arial" w:eastAsia="Arial" w:hAnsi="Arial"/>
          <w:sz w:val="21"/>
          <w:szCs w:val="21"/>
          <w:color w:val="auto"/>
        </w:rPr>
        <w:t>” means the Uniting and Strengthening America by Providing Appropriate Tools Required to Intercept and Obstruct Terrorism Act of 2001, Public Law 107-56, as amended or modified from time to time.</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Government Securities Business Day</w:t>
      </w:r>
      <w:r>
        <w:rPr>
          <w:rFonts w:ascii="Arial" w:cs="Arial" w:eastAsia="Arial" w:hAnsi="Arial"/>
          <w:sz w:val="21"/>
          <w:szCs w:val="21"/>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Special Resolution Regimes</w:t>
      </w:r>
      <w:r>
        <w:rPr>
          <w:rFonts w:ascii="Arial" w:cs="Arial" w:eastAsia="Arial" w:hAnsi="Arial"/>
          <w:sz w:val="21"/>
          <w:szCs w:val="21"/>
          <w:color w:val="auto"/>
        </w:rPr>
        <w:t>” has the meaning set forth in Section 10.24.</w:t>
      </w:r>
    </w:p>
    <w:p>
      <w:pPr>
        <w:spacing w:after="0" w:line="171"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xml:space="preserve">”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determining the Weighted Average Life to Maturity of any Indebtedness that is being extended, replaced, refunded, refinanced, renewed or defeased, the effect of any amortization or prepayment prior to the date of the applicable extension, replacement, refunding, refinancing, renewal or defeasance shall be disregarded.</w:t>
      </w:r>
    </w:p>
    <w:p>
      <w:pPr>
        <w:spacing w:after="0" w:line="135"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wholly owned</w:t>
      </w:r>
      <w:r>
        <w:rPr>
          <w:rFonts w:ascii="Arial" w:cs="Arial" w:eastAsia="Arial" w:hAnsi="Arial"/>
          <w:sz w:val="20"/>
          <w:szCs w:val="20"/>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44"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Write-Down and Conversion Powers</w:t>
      </w:r>
      <w:r>
        <w:rPr>
          <w:rFonts w:ascii="Arial" w:cs="Arial" w:eastAsia="Arial" w:hAnsi="Arial"/>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ind w:firstLine="619"/>
        <w:spacing w:after="0" w:line="233"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i w:val="1"/>
          <w:iCs w:val="1"/>
          <w:color w:val="auto"/>
        </w:rPr>
        <w:t>Other Interpretive Provisions</w:t>
      </w:r>
      <w:r>
        <w:rPr>
          <w:rFonts w:ascii="Arial" w:cs="Arial" w:eastAsia="Arial" w:hAnsi="Arial"/>
          <w:sz w:val="21"/>
          <w:szCs w:val="21"/>
          <w:color w:val="auto"/>
        </w:rPr>
        <w:t>. With reference to this Agreement and each other Loan Document, unless otherwise specified herein or in such other Loan Document:</w:t>
      </w:r>
    </w:p>
    <w:p>
      <w:pPr>
        <w:spacing w:after="0" w:line="150" w:lineRule="exact"/>
        <w:rPr>
          <w:sz w:val="20"/>
          <w:szCs w:val="20"/>
          <w:color w:val="auto"/>
        </w:rPr>
      </w:pPr>
    </w:p>
    <w:p>
      <w:pPr>
        <w:ind w:left="1060" w:hanging="438"/>
        <w:spacing w:after="0"/>
        <w:tabs>
          <w:tab w:leader="none" w:pos="10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meanings of defined terms are equally applicable to the singular and plural forms of the defined terms.</w:t>
      </w:r>
    </w:p>
    <w:p>
      <w:pPr>
        <w:spacing w:after="0" w:line="171" w:lineRule="exact"/>
        <w:rPr>
          <w:rFonts w:ascii="Arial" w:cs="Arial" w:eastAsia="Arial" w:hAnsi="Arial"/>
          <w:sz w:val="21"/>
          <w:szCs w:val="21"/>
          <w:color w:val="auto"/>
        </w:rPr>
      </w:pPr>
    </w:p>
    <w:p>
      <w:pPr>
        <w:ind w:firstLine="622"/>
        <w:spacing w:after="0" w:line="233" w:lineRule="auto"/>
        <w:tabs>
          <w:tab w:leader="none" w:pos="1118"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words “herein,” “hereto,” “hereof” and “hereunder” and words of similar import when used in any Loan Document shall refer to such Loan Document as a whole and not to any particular provision thereof.</w:t>
      </w:r>
    </w:p>
    <w:p>
      <w:pPr>
        <w:spacing w:after="0" w:line="149" w:lineRule="exact"/>
        <w:rPr>
          <w:rFonts w:ascii="Arial" w:cs="Arial" w:eastAsia="Arial" w:hAnsi="Arial"/>
          <w:sz w:val="21"/>
          <w:szCs w:val="21"/>
          <w:color w:val="auto"/>
        </w:rPr>
      </w:pPr>
    </w:p>
    <w:p>
      <w:pPr>
        <w:ind w:left="1040" w:hanging="418"/>
        <w:spacing w:after="0"/>
        <w:tabs>
          <w:tab w:leader="none" w:pos="10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Article, Section, Exhibit and Schedule references are to the Loan Document in which such reference appears.</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term “including” is by way of example and not limitation.</w:t>
      </w:r>
    </w:p>
    <w:p>
      <w:pPr>
        <w:spacing w:after="0" w:line="171" w:lineRule="exact"/>
        <w:rPr>
          <w:rFonts w:ascii="Arial" w:cs="Arial" w:eastAsia="Arial" w:hAnsi="Arial"/>
          <w:sz w:val="21"/>
          <w:szCs w:val="21"/>
          <w:color w:val="auto"/>
        </w:rPr>
      </w:pPr>
    </w:p>
    <w:p>
      <w:pPr>
        <w:ind w:firstLine="622"/>
        <w:spacing w:after="0" w:line="233" w:lineRule="auto"/>
        <w:tabs>
          <w:tab w:leader="none" w:pos="1135"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term “documents” includes any and all instruments, documents, agreements, certificates, notices, reports, financial statements and other writings, however evidenced, whether in physical or electronic form.</w:t>
      </w:r>
    </w:p>
    <w:p>
      <w:pPr>
        <w:spacing w:after="0" w:line="149" w:lineRule="exact"/>
        <w:rPr>
          <w:rFonts w:ascii="Arial" w:cs="Arial" w:eastAsia="Arial" w:hAnsi="Arial"/>
          <w:sz w:val="21"/>
          <w:szCs w:val="21"/>
          <w:color w:val="auto"/>
        </w:rPr>
      </w:pPr>
    </w:p>
    <w:p>
      <w:pPr>
        <w:ind w:firstLine="622"/>
        <w:spacing w:after="0" w:line="250" w:lineRule="auto"/>
        <w:tabs>
          <w:tab w:leader="none" w:pos="1101"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39" w:lineRule="exact"/>
        <w:rPr>
          <w:rFonts w:ascii="Arial" w:cs="Arial" w:eastAsia="Arial" w:hAnsi="Arial"/>
          <w:sz w:val="20"/>
          <w:szCs w:val="20"/>
          <w:color w:val="auto"/>
        </w:rPr>
      </w:pPr>
    </w:p>
    <w:p>
      <w:pPr>
        <w:ind w:firstLine="622"/>
        <w:spacing w:after="0" w:line="233" w:lineRule="auto"/>
        <w:tabs>
          <w:tab w:leader="none" w:pos="1136" w:val="left"/>
        </w:tabs>
        <w:numPr>
          <w:ilvl w:val="0"/>
          <w:numId w:val="72"/>
        </w:numPr>
        <w:rPr>
          <w:rFonts w:ascii="Arial" w:cs="Arial" w:eastAsia="Arial" w:hAnsi="Arial"/>
          <w:sz w:val="21"/>
          <w:szCs w:val="21"/>
          <w:color w:val="auto"/>
        </w:rPr>
      </w:pPr>
      <w:r>
        <w:rPr>
          <w:rFonts w:ascii="Arial" w:cs="Arial" w:eastAsia="Arial" w:hAnsi="Arial"/>
          <w:sz w:val="21"/>
          <w:szCs w:val="21"/>
          <w:color w:val="auto"/>
        </w:rPr>
        <w:t>Section headings herein and in the other Loan Documents are included for convenience of reference only and shall not affect the interpretation of this Agreement or any other Loan Document.</w:t>
      </w:r>
    </w:p>
    <w:p>
      <w:pPr>
        <w:spacing w:after="0" w:line="149" w:lineRule="exact"/>
        <w:rPr>
          <w:rFonts w:ascii="Arial" w:cs="Arial" w:eastAsia="Arial" w:hAnsi="Arial"/>
          <w:sz w:val="21"/>
          <w:szCs w:val="21"/>
          <w:color w:val="auto"/>
        </w:rPr>
      </w:pPr>
    </w:p>
    <w:p>
      <w:pPr>
        <w:jc w:val="both"/>
        <w:ind w:firstLine="622"/>
        <w:spacing w:after="0" w:line="255" w:lineRule="auto"/>
        <w:tabs>
          <w:tab w:leader="none" w:pos="11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connection with any action being taken in connection with a Limited Condition Transaction (including any incurrence or assumption of Indebtedness and the use of proceeds thereof, the incurrence or assumption of any Liens or the making of any Investments, Restricted Payments or fundamental changes, the repayment of any Indebtedness for which an irrevocable notice of prepayment or redemption is required or the designation of any Restricted Subsidiaries or Unrestricted Subsidiaries in connection with a Permitted Acquisition or permitted Investment, in each case, in connection with such Limited Condition Transaction), for purposes of:</w:t>
      </w:r>
    </w:p>
    <w:p>
      <w:pPr>
        <w:spacing w:after="0" w:line="138" w:lineRule="exact"/>
        <w:rPr>
          <w:rFonts w:ascii="Arial" w:cs="Arial" w:eastAsia="Arial" w:hAnsi="Arial"/>
          <w:sz w:val="18"/>
          <w:szCs w:val="18"/>
          <w:color w:val="auto"/>
        </w:rPr>
      </w:pPr>
    </w:p>
    <w:p>
      <w:pPr>
        <w:ind w:left="620" w:firstLine="621"/>
        <w:spacing w:after="0" w:line="233" w:lineRule="auto"/>
        <w:tabs>
          <w:tab w:leader="none" w:pos="1734" w:val="left"/>
        </w:tabs>
        <w:numPr>
          <w:ilvl w:val="1"/>
          <w:numId w:val="72"/>
        </w:numPr>
        <w:rPr>
          <w:rFonts w:ascii="Arial" w:cs="Arial" w:eastAsia="Arial" w:hAnsi="Arial"/>
          <w:sz w:val="21"/>
          <w:szCs w:val="21"/>
          <w:color w:val="auto"/>
        </w:rPr>
      </w:pPr>
      <w:r>
        <w:rPr>
          <w:rFonts w:ascii="Arial" w:cs="Arial" w:eastAsia="Arial" w:hAnsi="Arial"/>
          <w:sz w:val="21"/>
          <w:szCs w:val="21"/>
          <w:color w:val="auto"/>
        </w:rPr>
        <w:t>determining compliance with any provision of this Agreement which requires the calculation of the Consolidated Total Net Leverage Ratio; or</w:t>
      </w:r>
    </w:p>
    <w:p>
      <w:pPr>
        <w:spacing w:after="0" w:line="149" w:lineRule="exact"/>
        <w:rPr>
          <w:rFonts w:ascii="Arial" w:cs="Arial" w:eastAsia="Arial" w:hAnsi="Arial"/>
          <w:sz w:val="21"/>
          <w:szCs w:val="21"/>
          <w:color w:val="auto"/>
        </w:rPr>
      </w:pPr>
    </w:p>
    <w:p>
      <w:pPr>
        <w:ind w:left="620" w:firstLine="621"/>
        <w:spacing w:after="0" w:line="233" w:lineRule="auto"/>
        <w:tabs>
          <w:tab w:leader="none" w:pos="1719" w:val="left"/>
        </w:tabs>
        <w:numPr>
          <w:ilvl w:val="1"/>
          <w:numId w:val="72"/>
        </w:numPr>
        <w:rPr>
          <w:rFonts w:ascii="Arial" w:cs="Arial" w:eastAsia="Arial" w:hAnsi="Arial"/>
          <w:sz w:val="21"/>
          <w:szCs w:val="21"/>
          <w:color w:val="auto"/>
        </w:rPr>
      </w:pPr>
      <w:r>
        <w:rPr>
          <w:rFonts w:ascii="Arial" w:cs="Arial" w:eastAsia="Arial" w:hAnsi="Arial"/>
          <w:sz w:val="21"/>
          <w:szCs w:val="21"/>
          <w:color w:val="auto"/>
        </w:rPr>
        <w:t>testing availability under baskets set forth in this Agreement (including baskets measured as a percentage of Total Assets or Consolidated EBITDA, if any)</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in each case, at the option of the Borrower (the Borrower’s election to exercise such option in connection with any Limited Condition Transaction, an “</w:t>
      </w:r>
      <w:r>
        <w:rPr>
          <w:rFonts w:ascii="Arial" w:cs="Arial" w:eastAsia="Arial" w:hAnsi="Arial"/>
          <w:sz w:val="21"/>
          <w:szCs w:val="21"/>
          <w:b w:val="1"/>
          <w:bCs w:val="1"/>
          <w:color w:val="auto"/>
        </w:rPr>
        <w:t>LCT Election</w:t>
      </w:r>
      <w:r>
        <w:rPr>
          <w:rFonts w:ascii="Arial" w:cs="Arial" w:eastAsia="Arial" w:hAnsi="Arial"/>
          <w:sz w:val="21"/>
          <w:szCs w:val="21"/>
          <w:color w:val="auto"/>
        </w:rPr>
        <w:t>”), the date (the “</w:t>
      </w:r>
      <w:r>
        <w:rPr>
          <w:rFonts w:ascii="Arial" w:cs="Arial" w:eastAsia="Arial" w:hAnsi="Arial"/>
          <w:sz w:val="21"/>
          <w:szCs w:val="21"/>
          <w:b w:val="1"/>
          <w:bCs w:val="1"/>
          <w:color w:val="auto"/>
        </w:rPr>
        <w:t>LCT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310" w:lineRule="exact"/>
        <w:rPr>
          <w:sz w:val="20"/>
          <w:szCs w:val="20"/>
          <w:color w:val="auto"/>
        </w:rPr>
      </w:pPr>
    </w:p>
    <w:p>
      <w:pPr>
        <w:jc w:val="both"/>
        <w:spacing w:after="0" w:line="228" w:lineRule="auto"/>
        <w:rPr>
          <w:sz w:val="20"/>
          <w:szCs w:val="20"/>
          <w:color w:val="auto"/>
        </w:rPr>
      </w:pPr>
      <w:r>
        <w:rPr>
          <w:rFonts w:ascii="Arial" w:cs="Arial" w:eastAsia="Arial" w:hAnsi="Arial"/>
          <w:sz w:val="19"/>
          <w:szCs w:val="19"/>
          <w:b w:val="1"/>
          <w:bCs w:val="1"/>
          <w:color w:val="auto"/>
        </w:rPr>
        <w:t>Test Date</w:t>
      </w:r>
      <w:r>
        <w:rPr>
          <w:rFonts w:ascii="Arial" w:cs="Arial" w:eastAsia="Arial" w:hAnsi="Arial"/>
          <w:sz w:val="19"/>
          <w:szCs w:val="19"/>
          <w:color w:val="auto"/>
        </w:rPr>
        <w:t>”) of determination of whether any such action is permitted hereunder shall be deemed to be either (a) the date the definitive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for such Limited Condition Transaction are entered into or irrevocable prepayment or redemption notices are provided to the applicable holders, as applicable, or (b) solely in connection with an acquisition to which the United Kingdom City Code on Takeovers and Mergers (the “</w:t>
      </w:r>
      <w:r>
        <w:rPr>
          <w:rFonts w:ascii="Arial" w:cs="Arial" w:eastAsia="Arial" w:hAnsi="Arial"/>
          <w:sz w:val="19"/>
          <w:szCs w:val="19"/>
          <w:b w:val="1"/>
          <w:bCs w:val="1"/>
          <w:color w:val="auto"/>
        </w:rPr>
        <w:t>City Code</w:t>
      </w:r>
      <w:r>
        <w:rPr>
          <w:rFonts w:ascii="Arial" w:cs="Arial" w:eastAsia="Arial" w:hAnsi="Arial"/>
          <w:sz w:val="19"/>
          <w:szCs w:val="19"/>
          <w:color w:val="auto"/>
        </w:rPr>
        <w:t>”) or similar law or practices in other jurisdictions apply, the date on which a “Rule 2.7 announcement” of a firm intention to make an offer or similar announcement or determination in another jurisdiction subject to laws similar to the City Code in respect of such target company made in compliance with the City Code or similar law or practices in other jurisdictions (a “</w:t>
      </w:r>
      <w:r>
        <w:rPr>
          <w:rFonts w:ascii="Arial" w:cs="Arial" w:eastAsia="Arial" w:hAnsi="Arial"/>
          <w:sz w:val="19"/>
          <w:szCs w:val="19"/>
          <w:b w:val="1"/>
          <w:bCs w:val="1"/>
          <w:color w:val="auto"/>
        </w:rPr>
        <w:t>Public Offer</w:t>
      </w:r>
      <w:r>
        <w:rPr>
          <w:rFonts w:ascii="Arial" w:cs="Arial" w:eastAsia="Arial" w:hAnsi="Arial"/>
          <w:sz w:val="19"/>
          <w:szCs w:val="19"/>
          <w:color w:val="auto"/>
        </w:rPr>
        <w:t xml:space="preserve">”), and if,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the Limited Condition Transaction and the other transactions to be entered into in connection therewith (including any incurrence or assumption of Indebtedness and the use of proceeds thereof, the incurrence or assumption of any Liens or the making of any Investments, Restricted Payments or fundamental changes, the repayment of any Indebtedness for which an irrevocable notice of prepayment or redemption is required or the designation of any Restricted Subsidiaries or Unrestricted Subsidiaries in connection with a Permitted Acquisition or permitted Investment) as if they had occurred at the beginning of the most recent four consecutive fiscal quarters ending prior to the LCT Test Date for which consolidated financial statements of the Borrower are available,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Total Assets or Consolidated EBITDA of the Borrower or the Person subject to such Limited Condition Transaction, at or prior to the consummation of the relevant transaction or action, such baskets or ratios will not be deemed to have been exceeded as a result of such fluctuations solely for purposes of determining whether the relevant transaction or action is permitted to be consummated or taken;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ratios or baskets improve as a result of such fluctuations, such improved ratios and/or baskets may be utilized. If the Borrower has made an LCT Election for any Limited Condition Transaction, then in connection with any subsequent calculation of any ratio or basket availability with respect to the incurrence of Indebtedness or Liens, or the making of Restricted Payments or Investments,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the date on which such Limited Condition Transaction is consummated or the definitive agreement for, or, as applicable the offer in respect of a Public Offer for, such Limited Condition Transaction is terminated or expires without consummation of such Limited Condition Transaction, any such ratio or basket shall be tested by calculating the availability under such ratio or basket on a Pro Forma Basis assuming such Limited Condition Transaction and other transactions in connection therewith have been consummated (including any incurrence of Indebtedness and any associated Lien and the use of proceeds thereof). Notwithstanding anything in this Agreement or any Loan Document to the contrary, if the Borrower or its Restricted Subsidiaries (x) incurs Indebtedness, creates Liens, makes Investments, makes Restricted Payments, designates any Unrestricted Subsidiary or repays any Indebtedness in connection with any Limited Condition Transaction under a ratio-based basket and (y) incurs Indebtedness, creates Liens, makes Investments, makes Restricted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31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designates any Unrestricted Subsidiary or repays any Indebtedness in connection with such Limited Condition Transaction under a non-ratio-based basket (which shall occur within five Business Days of the events in clause (x) above), then the applicable ratio will be calculated with respect to any such action under the applicable ratio-based basket without regard to any such action under such non-ratio-based basket made in connection with such Limited Condition Transaction.</w:t>
      </w:r>
    </w:p>
    <w:p>
      <w:pPr>
        <w:spacing w:after="0" w:line="176"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0"/>
          <w:szCs w:val="20"/>
          <w:color w:val="auto"/>
        </w:rPr>
        <w:t>In connection with any action being taken in connection with a Limited Condition Transaction, for purposes of determining compliance with any provision of this Agreement which requires that no Default, Event of Default or specified Event of Default, as applicable, has occurred, is continuing or would result from any such action, as applicable, such condition shall, at the option of the Borrower, be deemed satisfied, so long as no Default, Event of Default or specified Event of Default, as applicable, exists on the date the definitive agreements for such Limited Condition Transaction are entered into, irrevocable prepayment or redemption notices are provided to the applicable holders or a Public Offer is made, as applicable. For the avoidance of doubt, if the Borrower has exercised its option under this clause (h), and any Default, Event of Default or specified Event of Default occurs following the date the definitive agreements for the applicable Limited Condition Transaction were entered into and prior to the consummation of such Limited Condition Transaction, any such Default, Event of Default or specified Event of Default shall be deemed to not have occurred or be continuing for purposes of determining whether any action being taken in connection with such Limited Condition Transaction is permitted hereunder.</w:t>
      </w:r>
    </w:p>
    <w:p>
      <w:pPr>
        <w:spacing w:after="0" w:line="156" w:lineRule="exact"/>
        <w:rPr>
          <w:sz w:val="20"/>
          <w:szCs w:val="20"/>
          <w:color w:val="auto"/>
        </w:rPr>
      </w:pPr>
    </w:p>
    <w:p>
      <w:pPr>
        <w:jc w:val="both"/>
        <w:ind w:firstLine="622"/>
        <w:spacing w:after="0" w:line="235" w:lineRule="auto"/>
        <w:tabs>
          <w:tab w:leader="none" w:pos="10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For purposes of determining whether Holdings, the Borrower and its Restricted Subsidiaries comply with any exception to Article 7 (other than the Financial Covenant) where compliance with any such exception is based on a financial ratio or metric being satisfied as of a particular point in time, it is understood that (a) compliance shall be measured at the time when the relevant event is undertaken, as such financial ratios and metrics are intended to be “incurrence” tests and not “maintenance” tests and (b) correspondingly, any such ratio and metric shall only prohibit Holdings, the Borrower and its Restricted Subsidiaries from creating, incurring, assuming, suffering to exist or making, as the case may be, any new, for example, Liens, Indebtedness or Investments, but shall not result in any previously permitted, for example, Liens, Indebtedness or Investments ceasing to be permitted hereunder.</w:t>
      </w:r>
    </w:p>
    <w:p>
      <w:pPr>
        <w:spacing w:after="0" w:line="153"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i w:val="1"/>
          <w:iCs w:val="1"/>
          <w:color w:val="auto"/>
        </w:rPr>
        <w:t>Accounting Terms</w:t>
      </w:r>
      <w:r>
        <w:rPr>
          <w:rFonts w:ascii="Arial" w:cs="Arial" w:eastAsia="Arial" w:hAnsi="Arial"/>
          <w:sz w:val="21"/>
          <w:szCs w:val="21"/>
          <w:color w:val="auto"/>
        </w:rPr>
        <w:t>. (a)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w:t>
      </w:r>
    </w:p>
    <w:p>
      <w:pPr>
        <w:spacing w:after="0" w:line="150" w:lineRule="exact"/>
        <w:rPr>
          <w:sz w:val="20"/>
          <w:szCs w:val="20"/>
          <w:color w:val="auto"/>
        </w:rPr>
      </w:pPr>
    </w:p>
    <w:p>
      <w:pPr>
        <w:jc w:val="both"/>
        <w:ind w:firstLine="622"/>
        <w:spacing w:after="0" w:line="251" w:lineRule="auto"/>
        <w:tabs>
          <w:tab w:leader="none" w:pos="1207" w:val="left"/>
        </w:tabs>
        <w:numPr>
          <w:ilvl w:val="0"/>
          <w:numId w:val="74"/>
        </w:numPr>
        <w:rPr>
          <w:rFonts w:ascii="Arial" w:cs="Arial" w:eastAsia="Arial" w:hAnsi="Arial"/>
          <w:sz w:val="19"/>
          <w:szCs w:val="19"/>
          <w:color w:val="auto"/>
        </w:rPr>
      </w:pPr>
      <w:r>
        <w:rPr>
          <w:rFonts w:ascii="Arial" w:cs="Arial" w:eastAsia="Arial" w:hAnsi="Arial"/>
          <w:sz w:val="19"/>
          <w:szCs w:val="19"/>
          <w:color w:val="auto"/>
        </w:rPr>
        <w:t>Notwithstanding anything to the contrary herein, for purposes of determining compliance with any test or covenant contained in this Agreement with respect to any period during which any Specified Transaction occurs, the Consolidated Total Net Leverage Ratio shall be calculated with respect to such period and such Specified Transaction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i w:val="1"/>
          <w:iCs w:val="1"/>
          <w:color w:val="auto"/>
        </w:rPr>
        <w:t>Rounding</w:t>
      </w:r>
      <w:r>
        <w:rPr>
          <w:rFonts w:ascii="Arial" w:cs="Arial" w:eastAsia="Arial" w:hAnsi="Arial"/>
          <w:sz w:val="19"/>
          <w:szCs w:val="19"/>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46"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i w:val="1"/>
          <w:iCs w:val="1"/>
          <w:color w:val="auto"/>
        </w:rPr>
        <w:t>References to Agreements, Laws, Etc.</w:t>
      </w:r>
      <w:r>
        <w:rPr>
          <w:rFonts w:ascii="Arial" w:cs="Arial" w:eastAsia="Arial" w:hAnsi="Arial"/>
          <w:sz w:val="21"/>
          <w:szCs w:val="21"/>
          <w:color w:val="auto"/>
        </w:rPr>
        <w:t>. Unless otherwise expressly provided herein, (a) references to Organizational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(or not prohibited) by the Loan Documents; and (b) references to any Law shall include all statutory and regulatory provisions consolidating, amending, replacing, supplementing or interpreting such Law.</w:t>
      </w:r>
    </w:p>
    <w:p>
      <w:pPr>
        <w:spacing w:after="0" w:line="152"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i w:val="1"/>
          <w:iCs w:val="1"/>
          <w:color w:val="auto"/>
        </w:rPr>
        <w:t>Times of Day</w:t>
      </w:r>
      <w:r>
        <w:rPr>
          <w:rFonts w:ascii="Arial" w:cs="Arial" w:eastAsia="Arial" w:hAnsi="Arial"/>
          <w:sz w:val="21"/>
          <w:szCs w:val="21"/>
          <w:color w:val="auto"/>
        </w:rPr>
        <w:t>. Unless otherwise specified, all references herein to times of day shall be references to Eastern time (daylight or standard, as applicable).</w:t>
      </w:r>
    </w:p>
    <w:p>
      <w:pPr>
        <w:spacing w:after="0" w:line="150"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i w:val="1"/>
          <w:iCs w:val="1"/>
          <w:color w:val="auto"/>
        </w:rPr>
        <w:t>Timing of Payment or Performance</w:t>
      </w:r>
      <w:r>
        <w:rPr>
          <w:rFonts w:ascii="Arial" w:cs="Arial" w:eastAsia="Arial" w:hAnsi="Arial"/>
          <w:sz w:val="19"/>
          <w:szCs w:val="19"/>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40"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 xml:space="preserve">Section 1.08. </w:t>
      </w:r>
      <w:r>
        <w:rPr>
          <w:rFonts w:ascii="Arial" w:cs="Arial" w:eastAsia="Arial" w:hAnsi="Arial"/>
          <w:sz w:val="21"/>
          <w:szCs w:val="21"/>
          <w:i w:val="1"/>
          <w:iCs w:val="1"/>
          <w:color w:val="auto"/>
        </w:rPr>
        <w:t>Cumulative Credit Transactions</w:t>
      </w:r>
      <w:r>
        <w:rPr>
          <w:rFonts w:ascii="Arial" w:cs="Arial" w:eastAsia="Arial" w:hAnsi="Arial"/>
          <w:sz w:val="21"/>
          <w:szCs w:val="21"/>
          <w:color w:val="auto"/>
        </w:rPr>
        <w:t>. If more than one action occurs on any given date the permissibility of the taking of which is determined hereunder by reference to the amount of the Cumulative Credit immediately prior to the taking of such action, the permissibility of the taking of each such action shall be determined independently and in no event may any two or more such actions be treated as occurring simultaneously.</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1.09.</w:t>
      </w:r>
      <w:r>
        <w:rPr>
          <w:sz w:val="20"/>
          <w:szCs w:val="20"/>
          <w:color w:val="auto"/>
        </w:rPr>
        <w:tab/>
      </w:r>
      <w:r>
        <w:rPr>
          <w:rFonts w:ascii="Arial" w:cs="Arial" w:eastAsia="Arial" w:hAnsi="Arial"/>
          <w:sz w:val="18"/>
          <w:szCs w:val="18"/>
          <w:i w:val="1"/>
          <w:iCs w:val="1"/>
          <w:color w:val="auto"/>
        </w:rPr>
        <w:t>Additional Approved Currencies</w:t>
      </w:r>
      <w:r>
        <w:rPr>
          <w:rFonts w:ascii="Arial" w:cs="Arial" w:eastAsia="Arial" w:hAnsi="Arial"/>
          <w:sz w:val="18"/>
          <w:szCs w:val="18"/>
          <w:color w:val="auto"/>
        </w:rPr>
        <w:t>.</w:t>
      </w:r>
    </w:p>
    <w:p>
      <w:pPr>
        <w:spacing w:after="0" w:line="171" w:lineRule="exact"/>
        <w:rPr>
          <w:sz w:val="20"/>
          <w:szCs w:val="20"/>
          <w:color w:val="auto"/>
        </w:rPr>
      </w:pPr>
    </w:p>
    <w:p>
      <w:pPr>
        <w:jc w:val="both"/>
        <w:ind w:firstLine="622"/>
        <w:spacing w:after="0" w:line="221" w:lineRule="auto"/>
        <w:tabs>
          <w:tab w:leader="none" w:pos="1059"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The Borrower may from time to time request that Eurocurrency Rate Revolving Loans be made and/or Letters of Credit be issued in a currency other than those specifically listed in the definition of “Approved Currency”;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requested currency is a lawful currency (other than Dollars) that is readily available, freely transferable and not restricted and able to be converted into Dollars. Such request shall be subject to the approval of the Administrative Agent and the Revolving Credit Lenders in their sole discretion and, in the case of any such request with respect to the issuance of Letters of Credit, such request shall also be subject to the approval of the applicable L/C Issuer in its sole discretion;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case of requests for Eurocurrency Rate Revolving Loans and/or Letters of Credit denominated in an Approved Foreign Currency other than Euros, the determination of the interest rate benchmark (as determined in accordance with this Section 1.09(a), the “</w:t>
      </w:r>
      <w:r>
        <w:rPr>
          <w:rFonts w:ascii="Arial" w:cs="Arial" w:eastAsia="Arial" w:hAnsi="Arial"/>
          <w:sz w:val="20"/>
          <w:szCs w:val="20"/>
          <w:b w:val="1"/>
          <w:bCs w:val="1"/>
          <w:color w:val="auto"/>
        </w:rPr>
        <w:t>Agreed Approved Foreign Currency Reference Rate</w:t>
      </w:r>
      <w:r>
        <w:rPr>
          <w:rFonts w:ascii="Arial" w:cs="Arial" w:eastAsia="Arial" w:hAnsi="Arial"/>
          <w:sz w:val="20"/>
          <w:szCs w:val="20"/>
          <w:color w:val="auto"/>
        </w:rPr>
        <w:t>”) applicable for Revolving Credit Borrowings or L/C Advances denominated in such Approved Foreign Currency and the methodology for determining interest rates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316"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color w:val="auto"/>
        </w:rPr>
        <w:t>thereto shall be determined by the Administrative Agent and the Borrower and subject to the approval of the Revolving Credit Lenders in their sole discretion (and, in the case of any such request with respect to the issuance of Letters of Credit, shall also be subject to the approval of the applicable L/C Issuer in its sole discretion).</w:t>
      </w:r>
    </w:p>
    <w:p>
      <w:pPr>
        <w:spacing w:after="0" w:line="175" w:lineRule="exact"/>
        <w:rPr>
          <w:sz w:val="20"/>
          <w:szCs w:val="20"/>
          <w:color w:val="auto"/>
        </w:rPr>
      </w:pPr>
    </w:p>
    <w:p>
      <w:pPr>
        <w:jc w:val="both"/>
        <w:ind w:firstLine="622"/>
        <w:spacing w:after="0" w:line="229" w:lineRule="auto"/>
        <w:tabs>
          <w:tab w:leader="none" w:pos="1086"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Any such request shall be made to the Administrative Agent not later than 11:00 a.m. (New York time), five (5) Business Days prior to the date of the desired Borrowing or issuance of a Letter of Credit (or such other time or date as may be agreed by the Administrative Agent and, in the case of any such request pertaining to Letters of Credit, the applicable L/C Issuer, in its or their sole discretion). In the case of any such request pertaining to Eurocurrency Rate Revolving Loans, the Administrative Agent shall promptly notify each Revolving Credit Lender thereof; and in the case of any such request pertaining to Letters of Credit, the Administrative Agent shall also promptly notify the applicable L/C Issuer thereof. Each Revolving Credit Lender and the applicable L/C Issuer (in the case of a request pertaining to Letters of Credit) shall notify the Administrative Agent, not later than 11:00 a.m. (New York time), two</w:t>
      </w:r>
    </w:p>
    <w:p>
      <w:pPr>
        <w:spacing w:after="0" w:line="2" w:lineRule="exact"/>
        <w:rPr>
          <w:rFonts w:ascii="Arial" w:cs="Arial" w:eastAsia="Arial" w:hAnsi="Arial"/>
          <w:sz w:val="19"/>
          <w:szCs w:val="19"/>
          <w:color w:val="auto"/>
        </w:rPr>
      </w:pPr>
    </w:p>
    <w:p>
      <w:pPr>
        <w:ind w:firstLine="3"/>
        <w:spacing w:after="0" w:line="224" w:lineRule="auto"/>
        <w:tabs>
          <w:tab w:leader="none" w:pos="293" w:val="left"/>
        </w:tabs>
        <w:numPr>
          <w:ilvl w:val="0"/>
          <w:numId w:val="77"/>
        </w:numPr>
        <w:rPr>
          <w:rFonts w:ascii="Arial" w:cs="Arial" w:eastAsia="Arial" w:hAnsi="Arial"/>
          <w:sz w:val="21"/>
          <w:szCs w:val="21"/>
          <w:color w:val="auto"/>
        </w:rPr>
      </w:pPr>
      <w:r>
        <w:rPr>
          <w:rFonts w:ascii="Arial" w:cs="Arial" w:eastAsia="Arial" w:hAnsi="Arial"/>
          <w:sz w:val="21"/>
          <w:szCs w:val="21"/>
          <w:color w:val="auto"/>
        </w:rPr>
        <w:t>Business Days after receipt of such request whether it consents, in its sole discretion, to the making of Eurocurrency Rate Revolving Loans or the issuance of Letters of Credit, as the case may be, in such requested currency.</w:t>
      </w:r>
    </w:p>
    <w:p>
      <w:pPr>
        <w:spacing w:after="0" w:line="150" w:lineRule="exact"/>
        <w:rPr>
          <w:rFonts w:ascii="Arial" w:cs="Arial" w:eastAsia="Arial" w:hAnsi="Arial"/>
          <w:sz w:val="21"/>
          <w:szCs w:val="21"/>
          <w:color w:val="auto"/>
        </w:rPr>
      </w:pPr>
    </w:p>
    <w:p>
      <w:pPr>
        <w:jc w:val="both"/>
        <w:ind w:firstLine="622"/>
        <w:spacing w:after="0" w:line="232" w:lineRule="auto"/>
        <w:tabs>
          <w:tab w:leader="none" w:pos="1065" w:val="left"/>
        </w:tabs>
        <w:numPr>
          <w:ilvl w:val="1"/>
          <w:numId w:val="77"/>
        </w:numPr>
        <w:rPr>
          <w:rFonts w:ascii="Arial" w:cs="Arial" w:eastAsia="Arial" w:hAnsi="Arial"/>
          <w:sz w:val="19"/>
          <w:szCs w:val="19"/>
          <w:color w:val="auto"/>
        </w:rPr>
      </w:pPr>
      <w:r>
        <w:rPr>
          <w:rFonts w:ascii="Arial" w:cs="Arial" w:eastAsia="Arial" w:hAnsi="Arial"/>
          <w:sz w:val="19"/>
          <w:szCs w:val="19"/>
          <w:color w:val="auto"/>
        </w:rPr>
        <w:t>Any failure by a Revolving Credit Lender or an L/C Issuer, as the case may be, to respond to such request within the time period specified in the preceding sentence shall be deemed to be a refusal by such Revolving Credit Lender or L/C Issuer, as the case may be, to permit Eurocurrency Rate Revolving Loans to be made or Letters of Credit to be issued in such requested currency. If the Administrative Agent and all the Revolving Credit Lenders consent to making Eurocurrency Rate Revolving Loans in such requested currency, the Administrative Agent shall so notify Borrower and such currency shall thereupon be deemed for all purposes to be an Approved Currency hereunder for purposes of any Borrowing of Eurocurrency Rate Revolving Loans; and if the applicable L/C Issuer also consents to the issuance of Letters of Credit in such requested currency, the Administrative Agent shall so notify the Borrower and such currency shall thereupon be deemed for all purposes to be an Approved Currency hereunder for purposes of any Letter of Credit issuances by such L/C Issuer. If the Administrative Agent shall fail to obtain consent to any request for an additional currency under this Section 1.09, the Administrative Agent shall promptly so notify the Borrower.</w:t>
      </w:r>
    </w:p>
    <w:p>
      <w:pPr>
        <w:spacing w:after="0" w:line="156" w:lineRule="exact"/>
        <w:rPr>
          <w:rFonts w:ascii="Arial" w:cs="Arial" w:eastAsia="Arial" w:hAnsi="Arial"/>
          <w:sz w:val="19"/>
          <w:szCs w:val="19"/>
          <w:color w:val="auto"/>
        </w:rPr>
      </w:pPr>
    </w:p>
    <w:p>
      <w:pPr>
        <w:jc w:val="both"/>
        <w:ind w:firstLine="622"/>
        <w:spacing w:after="0" w:line="227" w:lineRule="auto"/>
        <w:tabs>
          <w:tab w:leader="none" w:pos="1126"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Administrative Agent shall determine or redetermine the Dollar Equivalent of any amount as required hereby as of each Revaluation Date. A determination of the Dollar Equivalent of any amount by the Administrative Agent shall be presumed correct absent manifest error. In the case of Letters of Credit denominated in an Approved Foreign Currency, each applicable L/C Issuer shall provide the Administrative Agent with the amount of such Letters of Credit in the applicable Approved Foreign Currency on each Revaluation Date and each other date reasonably requested by the Administrative Agent.</w:t>
      </w:r>
    </w:p>
    <w:p>
      <w:pPr>
        <w:spacing w:after="0" w:line="150"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1.10. </w:t>
      </w:r>
      <w:r>
        <w:rPr>
          <w:rFonts w:ascii="Arial" w:cs="Arial" w:eastAsia="Arial" w:hAnsi="Arial"/>
          <w:sz w:val="21"/>
          <w:szCs w:val="21"/>
          <w:i w:val="1"/>
          <w:iCs w:val="1"/>
          <w:color w:val="auto"/>
        </w:rPr>
        <w:t>Interest Rates; Benchmark Notification</w:t>
      </w:r>
      <w:r>
        <w:rPr>
          <w:rFonts w:ascii="Arial" w:cs="Arial" w:eastAsia="Arial" w:hAnsi="Arial"/>
          <w:sz w:val="21"/>
          <w:szCs w:val="21"/>
          <w:color w:val="auto"/>
        </w:rPr>
        <w:t>. The interest rate on a Loan denominated in dollars or an Approved Foreign Currency may be derived from an interest rate benchmark that may be discontinued or is, or may in the future become, the subject of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316" w:lineRule="exact"/>
        <w:rPr>
          <w:sz w:val="20"/>
          <w:szCs w:val="20"/>
          <w:color w:val="auto"/>
        </w:rPr>
      </w:pPr>
    </w:p>
    <w:p>
      <w:pPr>
        <w:jc w:val="both"/>
        <w:ind w:firstLine="6"/>
        <w:spacing w:after="0" w:line="231" w:lineRule="auto"/>
        <w:rPr>
          <w:sz w:val="20"/>
          <w:szCs w:val="20"/>
          <w:color w:val="auto"/>
        </w:rPr>
      </w:pPr>
      <w:r>
        <w:rPr>
          <w:rFonts w:ascii="Arial" w:cs="Arial" w:eastAsia="Arial" w:hAnsi="Arial"/>
          <w:sz w:val="19"/>
          <w:szCs w:val="19"/>
          <w:color w:val="auto"/>
        </w:rPr>
        <w:t>reform.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2</w:t>
      </w:r>
    </w:p>
    <w:p>
      <w:pPr>
        <w:jc w:val="center"/>
        <w:spacing w:after="0"/>
        <w:rPr>
          <w:sz w:val="20"/>
          <w:szCs w:val="20"/>
          <w:color w:val="auto"/>
        </w:rPr>
      </w:pPr>
      <w:r>
        <w:rPr>
          <w:rFonts w:ascii="Arial" w:cs="Arial" w:eastAsia="Arial" w:hAnsi="Arial"/>
          <w:sz w:val="21"/>
          <w:szCs w:val="21"/>
          <w:color w:val="auto"/>
        </w:rPr>
        <w:t>THE COMMITMENTS AND CREDIT EXTENSIONS</w:t>
      </w:r>
    </w:p>
    <w:p>
      <w:pPr>
        <w:spacing w:after="0" w:line="153"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The Loans</w:t>
      </w:r>
      <w:r>
        <w:rPr>
          <w:rFonts w:ascii="Arial" w:cs="Arial" w:eastAsia="Arial" w:hAnsi="Arial"/>
          <w:sz w:val="21"/>
          <w:szCs w:val="21"/>
          <w:color w:val="auto"/>
        </w:rPr>
        <w:t>. (a) The Restatement Date Term Loan Borrowings. Subject to the terms and conditions set forth herein, each Term Lender severally agrees to make to the Borrower on the Restatement Date loans denominated in Dollars in an aggregate principal amount not to exceed the amount of such Term Lender’s Restatement Date Term Commitment. Amounts borrowed under this Section 2.01(a) and repaid or prepaid may not be reborrowed. Restatement Date Term Loans may be Base Rate Loans or Term SOFR Loans, as further provided herein.</w:t>
      </w:r>
    </w:p>
    <w:p>
      <w:pPr>
        <w:spacing w:after="0" w:line="151" w:lineRule="exact"/>
        <w:rPr>
          <w:sz w:val="20"/>
          <w:szCs w:val="20"/>
          <w:color w:val="auto"/>
        </w:rPr>
      </w:pPr>
    </w:p>
    <w:p>
      <w:pPr>
        <w:jc w:val="both"/>
        <w:ind w:firstLine="622"/>
        <w:spacing w:after="0" w:line="231" w:lineRule="auto"/>
        <w:tabs>
          <w:tab w:leader="none" w:pos="115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Revolving Credit Borrowings. Subject to the terms and conditions set forth herein each Revolving Credit Lender severally agrees to make revolving credit loans denominated in an Approved Currency to the Borrower from its applicable Lending Office from time to time as elected by the Borrower pursuant to Section 2.02, on any Business Day during the period from the Restatement Date until the Maturity Date with respect to such Revolving Credit Lender’s applicable Revolving Credit Commitment, in an aggregate Principal Amount not to exceed at any time outstanding the amount of such Lender’s Revolving Credit Commitment at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any Revolving Credit Borrowing, the aggregate Outstanding Amount of the Revolving Credit Loans of any Lender, plus such Lender’s Pro Rata Share or other applicable share provided for under this Agreement of the Outstanding Amount of all L/C Obligations, plus such Lender’s Pro Rata Share or other applicable share provided for under this Agreement of the Outstanding Amount of all Swing Line Loans shall not exceed such Lender’s Revolving Credit Commitment;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the Dollar Equivalent of the total outstanding Foreign Currency Denominated Letters of Credit and Revolving</w:t>
      </w:r>
      <w:r>
        <w:rPr>
          <w:rFonts w:ascii="Arial" w:cs="Arial" w:eastAsia="Arial" w:hAnsi="Arial"/>
          <w:sz w:val="19"/>
          <w:szCs w:val="19"/>
          <w:i w:val="1"/>
          <w:iCs w:val="1"/>
          <w:color w:val="auto"/>
        </w:rPr>
        <w:t xml:space="preserve"> </w:t>
      </w:r>
      <w:r>
        <w:rPr>
          <w:rFonts w:ascii="Arial" w:cs="Arial" w:eastAsia="Arial" w:hAnsi="Arial"/>
          <w:sz w:val="19"/>
          <w:szCs w:val="19"/>
          <w:color w:val="auto"/>
        </w:rPr>
        <w:t>Credit Loans that are Foreign Currency Denominated Loans shall not at any time exceed the Approved Foreign Currency Sublimit. Within the limits of each Lender’s Revolving Credit Commitments, and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316" w:lineRule="exact"/>
        <w:rPr>
          <w:sz w:val="20"/>
          <w:szCs w:val="20"/>
          <w:color w:val="auto"/>
        </w:rPr>
      </w:pPr>
    </w:p>
    <w:p>
      <w:pPr>
        <w:jc w:val="both"/>
        <w:ind w:firstLine="6"/>
        <w:spacing w:after="0" w:line="219" w:lineRule="auto"/>
        <w:rPr>
          <w:sz w:val="20"/>
          <w:szCs w:val="20"/>
          <w:color w:val="auto"/>
        </w:rPr>
      </w:pPr>
      <w:r>
        <w:rPr>
          <w:rFonts w:ascii="Arial" w:cs="Arial" w:eastAsia="Arial" w:hAnsi="Arial"/>
          <w:sz w:val="21"/>
          <w:szCs w:val="21"/>
          <w:color w:val="auto"/>
        </w:rPr>
        <w:t>other terms and conditions hereof, the Borrower may borrow under this Section 2.01(b), prepay under Section 2.05, and reborrow under this Section 2.01(b). Revolving Credit Loans denominated in Dollars may be Base Rate Loans or Term SOFR Loans, as further provided herein. Revolving Credit Loans denominated in Approved Foreign Currencies may be Eurocurrency Rate Loans, as further provided herein.</w:t>
      </w:r>
    </w:p>
    <w:p>
      <w:pPr>
        <w:spacing w:after="0" w:line="176"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i w:val="1"/>
          <w:iCs w:val="1"/>
          <w:color w:val="auto"/>
        </w:rPr>
        <w:t>Borrowings, Conversions and Continuations of Loans</w:t>
      </w:r>
      <w:r>
        <w:rPr>
          <w:rFonts w:ascii="Arial" w:cs="Arial" w:eastAsia="Arial" w:hAnsi="Arial"/>
          <w:sz w:val="19"/>
          <w:szCs w:val="19"/>
          <w:color w:val="auto"/>
        </w:rPr>
        <w:t xml:space="preserve">(a) . (a) Each Term Borrowing, each Revolving Credit Borrowing, each conversion of Term Loans or Revolving Credit Loans from one Type to the other, and each continuation of Term SOFR Loans or Eurocurrency Rate Loans shall be made upon the Borrower’s irrevocable notice to the Administrative Agent, which may be given by telephone, facsimile or electronic communication. Each such notice must be received by the Administrative Agent not later than (i) 1:00 p.m. New York City time three Business Days prior to the requested date of any Borrowing or continuation of Term SOFR Loans or any conversion of Base Rate Loans to Term SOFR Loans, (ii) 1:00 p.m. New York City time three Business Days prior to the requested date of any Borrowing of Daily SOFR Loans, (iii) 1:00 p.m. New York City time four Business Days prior to the requested date of any Borrowing or continuation of Eurocurrency Rate Loans denominated in an Approved Foreign Currency and (iv) 11:00 a.m. New York City time on the requested date of any Borrowing of Base Rate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notice referred to in subclause (i) above may be delivered no later than one (1) Business Day prior to the Restatement Date in the case of initial Credit Extensions denominated in Dollars. Each telephonic notice by the Borrower pursuant to this Section 2.02(a) must be confirmed promptly by delivery to the Administrative Agent of a written Committed Loan Notice, appropriately completed and signed by a Responsible Officer of the Borrower. Except as provided in Section 2.14(d), each Borrowing of, conversion to or continuation of Eurocurrency Rate Loans or Term SOFR Loans or (if applicable) Daily SOFR Loans shall be in a minimum principal amount of $500,000, or a whole multiple of $100,000 in excess thereof. Except as provided in Sections 2.03(c), 2.04(c), 2.14(d), each Borrowing of or conversion to Base Rate Loans shall be in a minimum principal amount of $500,000 or a whole multiple of $100,000 in excess thereof. Each Committed Loan Notice (whether telephonic or written) shall specify (i) whether the Borrower is requesting a Term Borrowing of a particular Class, a Revolving Credit Borrowing, a conversion of Term Loans of any Class or Revolving Credit Loans from one Type to the other, or a continuation of Eurocurrency Rate Loans or Term SOFR Loans, (ii) the requested date of the Borrowing, conversion or continuation, as the case may be (which shall be a Business Day), (iii) the principal amount of Loans to be borrowed, converted or continued, (iv) the Type of Loans to be borrowed or to which existing Term Loans of a Class or Revolving Credit Loans are to be converted (v) in the case of a Revolving Credit Borrowing, the relevant Approved Currency in which such Revolving Credit Borrowing is to be denominated and (vi) if applicable, the duration of the Interest Period with respect thereto. If the Borrower fails to specify an Approved Currency of a Loan in a Committed Loan Notice, such Loan shall be made in Dollars. If the Borrower fails to specify a Type of Loan in a Committed Loan Notice or fails to give a timely notice requesting a conversion or continuation, then the applicable Term Loans or Revolving Credit Loans shall be made as or converted to (x) in the case of any Loan denominated in Dollars, Base Rate Loans or (y) in the case of any Loan denominated in an Approved Foreign Currency, Eurocurrency Rate Loans in the Approved Foreign Currency having an Interest Period of one month, as applicable. Any such automatic conversion to Base Rate Loans or one-month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16" w:lineRule="exact"/>
        <w:rPr>
          <w:sz w:val="20"/>
          <w:szCs w:val="20"/>
          <w:color w:val="auto"/>
        </w:rPr>
      </w:pPr>
    </w:p>
    <w:p>
      <w:pPr>
        <w:jc w:val="both"/>
        <w:ind w:firstLine="6"/>
        <w:spacing w:after="0" w:line="239" w:lineRule="auto"/>
        <w:rPr>
          <w:sz w:val="20"/>
          <w:szCs w:val="20"/>
          <w:color w:val="auto"/>
        </w:rPr>
      </w:pPr>
      <w:r>
        <w:rPr>
          <w:rFonts w:ascii="Arial" w:cs="Arial" w:eastAsia="Arial" w:hAnsi="Arial"/>
          <w:sz w:val="19"/>
          <w:szCs w:val="19"/>
          <w:color w:val="auto"/>
        </w:rPr>
        <w:t>Eurocurrency Rate Loans shall be effective as of the last day of the Interest Period then in effect with respect to the applicable Eurocurrency Rate Loans. If the Borrower requests a Borrowing of, conversion to, or continuation of Eurocurrency Rate Loans or Term SOFR Loans in any such Committed Loan Notice, but fails to specify an Interest Period, it will be deemed to have specified an Interest Period of one (1) month. No Loan may be converted into or continued as a Loan denominated in another Approved Currency, but instead must be prepaid in the original Approved Currency or reborrowed in another Approved Currency.</w:t>
      </w:r>
    </w:p>
    <w:p>
      <w:pPr>
        <w:spacing w:after="0" w:line="176" w:lineRule="exact"/>
        <w:rPr>
          <w:sz w:val="20"/>
          <w:szCs w:val="20"/>
          <w:color w:val="auto"/>
        </w:rPr>
      </w:pPr>
    </w:p>
    <w:p>
      <w:pPr>
        <w:jc w:val="both"/>
        <w:ind w:firstLine="622"/>
        <w:spacing w:after="0" w:line="231" w:lineRule="auto"/>
        <w:tabs>
          <w:tab w:leader="none" w:pos="1070" w:val="left"/>
        </w:tabs>
        <w:numPr>
          <w:ilvl w:val="0"/>
          <w:numId w:val="79"/>
        </w:numPr>
        <w:rPr>
          <w:rFonts w:ascii="Arial" w:cs="Arial" w:eastAsia="Arial" w:hAnsi="Arial"/>
          <w:sz w:val="19"/>
          <w:szCs w:val="19"/>
          <w:color w:val="auto"/>
        </w:rPr>
      </w:pPr>
      <w:r>
        <w:rPr>
          <w:rFonts w:ascii="Arial" w:cs="Arial" w:eastAsia="Arial" w:hAnsi="Arial"/>
          <w:sz w:val="19"/>
          <w:szCs w:val="19"/>
          <w:color w:val="auto"/>
        </w:rPr>
        <w:t>Following receipt of a Committed Loan Notice, the Administrative Agent shall promptly notify each Lender of the amount (and Approved Currency) of its Pro Rata Share or other applicable share provided for under this Agreement of the applicable Class of Loans, and if no timely notice of a conversion or continuation is provided by the Borrower, the Administrative Agent shall notify each Lender of the details of any automatic conversion or continuation described in Section 2.02(a). In the case of each Borrowing, each Appropriate Lender shall make the amount of its Loan available to the Administrative Agent in Same Day Funds at the Administrative Agent’s Office not later than (i) 1:00 p.m. (New York City time) on the Business Day specified in the applicable Committed Loan Notice for any Borrowing of Term SOFR Loans, (ii) the Applicable Time specified by the Administrative Agent on the Business Day specified in the applicable Committed Loan Notice for any Borrowing of Eurocurrency Rate Loans denominated in an Approved Foreign Currency and (iii) 1:00 p.m. (New York City time) on the Business Day specified in the applicable Committed Loan Notice for any Borrowing of Base Rate Loans. The Administrative Agent shall make all funds so received available to the Borrower in like funds as received by the Administrative Agent by wire transfer of such funds in accordance with instructions provided to (and reasonably acceptable to) the Administrative Agent by the Borrower.</w:t>
      </w:r>
    </w:p>
    <w:p>
      <w:pPr>
        <w:spacing w:after="0" w:line="157" w:lineRule="exact"/>
        <w:rPr>
          <w:rFonts w:ascii="Arial" w:cs="Arial" w:eastAsia="Arial" w:hAnsi="Arial"/>
          <w:sz w:val="19"/>
          <w:szCs w:val="19"/>
          <w:color w:val="auto"/>
        </w:rPr>
      </w:pPr>
    </w:p>
    <w:p>
      <w:pPr>
        <w:jc w:val="both"/>
        <w:ind w:firstLine="622"/>
        <w:spacing w:after="0" w:line="224" w:lineRule="auto"/>
        <w:tabs>
          <w:tab w:leader="none" w:pos="1129" w:val="left"/>
        </w:tabs>
        <w:numPr>
          <w:ilvl w:val="0"/>
          <w:numId w:val="79"/>
        </w:numPr>
        <w:rPr>
          <w:rFonts w:ascii="Arial" w:cs="Arial" w:eastAsia="Arial" w:hAnsi="Arial"/>
          <w:sz w:val="21"/>
          <w:szCs w:val="21"/>
          <w:color w:val="auto"/>
        </w:rPr>
      </w:pPr>
      <w:r>
        <w:rPr>
          <w:rFonts w:ascii="Arial" w:cs="Arial" w:eastAsia="Arial" w:hAnsi="Arial"/>
          <w:sz w:val="21"/>
          <w:szCs w:val="21"/>
          <w:color w:val="auto"/>
        </w:rPr>
        <w:t>Except as otherwise provided herein, a Term SOFR Loan or a Eurocurrency Rate Loan may be continued or converted only on the last day of an Interest Period for such Eurocurrency Rate Loan unless the Borrower pays the amount due, if any, under Section 3.05 in connection therewith.</w:t>
      </w:r>
    </w:p>
    <w:p>
      <w:pPr>
        <w:spacing w:after="0" w:line="148" w:lineRule="exact"/>
        <w:rPr>
          <w:rFonts w:ascii="Arial" w:cs="Arial" w:eastAsia="Arial" w:hAnsi="Arial"/>
          <w:sz w:val="21"/>
          <w:szCs w:val="21"/>
          <w:color w:val="auto"/>
        </w:rPr>
      </w:pPr>
    </w:p>
    <w:p>
      <w:pPr>
        <w:jc w:val="both"/>
        <w:ind w:firstLine="622"/>
        <w:spacing w:after="0" w:line="216" w:lineRule="auto"/>
        <w:tabs>
          <w:tab w:leader="none" w:pos="1066"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Administrative Agent shall promptly notify the Borrower and the Lenders of the interest rate applicable to any Interest Period for Eurocurrency Rate Loans upon determination of such interest rate. The determination of the Eurocurrency Rate by the Administrative Agent shall be conclusive in the absence of manifest error. At any time that Base Rate Loans are outstanding, the Administrative Agent shall notify the Borrower and the Lenders of any change in the Prime Rate used in determining the Base Rate promptly following the announcement of such change.</w:t>
      </w:r>
    </w:p>
    <w:p>
      <w:pPr>
        <w:spacing w:after="0" w:line="150" w:lineRule="exact"/>
        <w:rPr>
          <w:rFonts w:ascii="Arial" w:cs="Arial" w:eastAsia="Arial" w:hAnsi="Arial"/>
          <w:sz w:val="21"/>
          <w:szCs w:val="21"/>
          <w:color w:val="auto"/>
        </w:rPr>
      </w:pPr>
    </w:p>
    <w:p>
      <w:pPr>
        <w:jc w:val="both"/>
        <w:ind w:firstLine="622"/>
        <w:spacing w:after="0" w:line="239" w:lineRule="auto"/>
        <w:tabs>
          <w:tab w:leader="none" w:pos="1067" w:val="left"/>
        </w:tabs>
        <w:numPr>
          <w:ilvl w:val="0"/>
          <w:numId w:val="79"/>
        </w:numPr>
        <w:rPr>
          <w:rFonts w:ascii="Arial" w:cs="Arial" w:eastAsia="Arial" w:hAnsi="Arial"/>
          <w:sz w:val="19"/>
          <w:szCs w:val="19"/>
          <w:color w:val="auto"/>
        </w:rPr>
      </w:pPr>
      <w:r>
        <w:rPr>
          <w:rFonts w:ascii="Arial" w:cs="Arial" w:eastAsia="Arial" w:hAnsi="Arial"/>
          <w:sz w:val="19"/>
          <w:szCs w:val="19"/>
          <w:color w:val="auto"/>
        </w:rPr>
        <w:t>After giving effect to all Term Borrowings, all Revolving Credit Borrowings, all conversions of Term Loans or Revolving Credit Loans from one Type to the other, and all continuations of Term Loans or Revolving Credit Loans as the same Type, there shall not be more than fifteen (15) Interest Periods in effect; provided that after the establishment of any new Class of Loans pursuant to an Incremental Amendment, Refinancing Amendment or Extension Amendment, the number of Interest Periods otherwise permitted by this Section 2.02(e) shall increase by three (3) Interest Periods for each applicable Class so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35" w:lineRule="auto"/>
        <w:tabs>
          <w:tab w:leader="none" w:pos="1034"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2.03.</w:t>
      </w:r>
      <w:r>
        <w:rPr>
          <w:sz w:val="20"/>
          <w:szCs w:val="20"/>
          <w:color w:val="auto"/>
        </w:rPr>
        <w:tab/>
      </w:r>
      <w:r>
        <w:rPr>
          <w:rFonts w:ascii="Arial" w:cs="Arial" w:eastAsia="Arial" w:hAnsi="Arial"/>
          <w:sz w:val="19"/>
          <w:szCs w:val="19"/>
          <w:i w:val="1"/>
          <w:iCs w:val="1"/>
          <w:color w:val="auto"/>
        </w:rPr>
        <w:t>Letters of Credit</w:t>
      </w:r>
      <w:r>
        <w:rPr>
          <w:rFonts w:ascii="Arial" w:cs="Arial" w:eastAsia="Arial" w:hAnsi="Arial"/>
          <w:sz w:val="19"/>
          <w:szCs w:val="19"/>
          <w:color w:val="auto"/>
        </w:rPr>
        <w:t>. (a) The Letter of Credit Commitment.</w:t>
      </w:r>
    </w:p>
    <w:p>
      <w:pPr>
        <w:spacing w:after="0" w:line="171" w:lineRule="exact"/>
        <w:rPr>
          <w:sz w:val="20"/>
          <w:szCs w:val="20"/>
          <w:color w:val="auto"/>
        </w:rPr>
      </w:pPr>
    </w:p>
    <w:p>
      <w:pPr>
        <w:jc w:val="both"/>
        <w:ind w:left="620" w:firstLine="621"/>
        <w:spacing w:after="0" w:line="229" w:lineRule="auto"/>
        <w:tabs>
          <w:tab w:leader="none" w:pos="1662"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(A) each L/C Issuer agrees, in reliance upon the agreements of the other Revolving Credit Lenders set forth in this Section 2.03, (1) from time to time on any Business Day during the period from the Restatement Date until the Letter of Credit Expiration Date to issue Letters of Credit at sight denominated in Dollars or any Approved Foreign Currency approved by such L/C Issuer pursuant to Section 1.09 for the account of the Borrower or any Restricted Subsidiary of the Borrower and to amend or renew Letters of Credit previously issued by it, in accordance with Section 2.03(b), and (2) to honor drafts under the Letters of Credit and (B) the Revolving Credit Lenders severally agree to participate in Letters of Credit issued pursuant to this Section 2.03;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L/C Issuer shall be obligated to make any L/C Credit Extension with respect to any Letter of Credit, and no Lender shall be obligated to participate in any Letter of Credit if as of the date of such L/C Credit Extension, after giving effect to the issuance of such Letter of Credit, (w) the Dollar Equivalent of the total outstanding Foreign Currency Denominated Letters of Credit and Revolving Credit Loans that are Foreign Currency Denominated Loans would exceed the Approved Foreign Currency Sublimit, (x) the Revolving Credit Exposure of any Revolving Credit Lender would exceed such Lender’s Revolving Credit Commitment, (y) the Outstanding Amount of the L/C Obligations in respect of Letters of Credit issued by such L/C Issuer would exceed such L/C Issuer’s L/C Commitment or (z) the Outstanding Amount of the L/C Obligations would exceed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be issued hereunder in the name of the Borrower for the benefit of the Borrower or Subsidiary of the Borrower in whose name such Existing Letter of Credit is outstanding immediately prior to the Restatement Date and shall constitute Letters of Credit subject to the terms hereof.</w:t>
      </w:r>
    </w:p>
    <w:p>
      <w:pPr>
        <w:spacing w:after="0" w:line="162" w:lineRule="exact"/>
        <w:rPr>
          <w:rFonts w:ascii="Arial" w:cs="Arial" w:eastAsia="Arial" w:hAnsi="Arial"/>
          <w:sz w:val="19"/>
          <w:szCs w:val="19"/>
          <w:color w:val="auto"/>
        </w:rPr>
      </w:pPr>
    </w:p>
    <w:p>
      <w:pPr>
        <w:ind w:left="1680" w:hanging="439"/>
        <w:spacing w:after="0"/>
        <w:tabs>
          <w:tab w:leader="none" w:pos="16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An L/C Issuer shall be under no obligation to issue any Letter of Credit if:</w:t>
      </w:r>
    </w:p>
    <w:p>
      <w:pPr>
        <w:spacing w:after="0" w:line="171" w:lineRule="exact"/>
        <w:rPr>
          <w:rFonts w:ascii="Arial" w:cs="Arial" w:eastAsia="Arial" w:hAnsi="Arial"/>
          <w:sz w:val="21"/>
          <w:szCs w:val="21"/>
          <w:color w:val="auto"/>
        </w:rPr>
      </w:pPr>
    </w:p>
    <w:p>
      <w:pPr>
        <w:jc w:val="both"/>
        <w:ind w:left="1240" w:firstLine="620"/>
        <w:spacing w:after="0" w:line="214" w:lineRule="auto"/>
        <w:tabs>
          <w:tab w:leader="none" w:pos="2429" w:val="left"/>
        </w:tabs>
        <w:numPr>
          <w:ilvl w:val="1"/>
          <w:numId w:val="81"/>
        </w:numPr>
        <w:rPr>
          <w:rFonts w:ascii="Arial" w:cs="Arial" w:eastAsia="Arial" w:hAnsi="Arial"/>
          <w:sz w:val="21"/>
          <w:szCs w:val="21"/>
          <w:color w:val="auto"/>
        </w:rPr>
      </w:pPr>
      <w:r>
        <w:rPr>
          <w:rFonts w:ascii="Arial" w:cs="Arial" w:eastAsia="Arial" w:hAnsi="Arial"/>
          <w:sz w:val="21"/>
          <w:szCs w:val="21"/>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316" w:lineRule="exact"/>
        <w:rPr>
          <w:sz w:val="20"/>
          <w:szCs w:val="20"/>
          <w:color w:val="auto"/>
        </w:rPr>
      </w:pPr>
    </w:p>
    <w:p>
      <w:pPr>
        <w:jc w:val="both"/>
        <w:ind w:left="120" w:firstLine="6"/>
        <w:spacing w:after="0" w:line="224" w:lineRule="auto"/>
        <w:rPr>
          <w:sz w:val="20"/>
          <w:szCs w:val="20"/>
          <w:color w:val="auto"/>
        </w:rPr>
      </w:pPr>
      <w:r>
        <w:rPr>
          <w:rFonts w:ascii="Arial" w:cs="Arial" w:eastAsia="Arial" w:hAnsi="Arial"/>
          <w:sz w:val="21"/>
          <w:szCs w:val="21"/>
          <w:color w:val="auto"/>
        </w:rPr>
        <w:t>is not otherwise compensated hereunder) not in effect on the Restatement Date, or shall impose upon such L/C Issuer any unreimbursed loss, cost or expense which was not applicable on the Restatement Date (for which such L/C Issuer is not otherwise compensated hereunder);</w:t>
      </w:r>
    </w:p>
    <w:p>
      <w:pPr>
        <w:spacing w:after="0" w:line="175" w:lineRule="exact"/>
        <w:rPr>
          <w:sz w:val="20"/>
          <w:szCs w:val="20"/>
          <w:color w:val="auto"/>
        </w:rPr>
      </w:pPr>
    </w:p>
    <w:p>
      <w:pPr>
        <w:jc w:val="both"/>
        <w:ind w:left="120" w:firstLine="620"/>
        <w:spacing w:after="0" w:line="225" w:lineRule="auto"/>
        <w:tabs>
          <w:tab w:leader="none" w:pos="1247" w:val="left"/>
        </w:tabs>
        <w:numPr>
          <w:ilvl w:val="1"/>
          <w:numId w:val="82"/>
        </w:numPr>
        <w:rPr>
          <w:rFonts w:ascii="Arial" w:cs="Arial" w:eastAsia="Arial" w:hAnsi="Arial"/>
          <w:sz w:val="20"/>
          <w:szCs w:val="20"/>
          <w:color w:val="auto"/>
        </w:rPr>
      </w:pPr>
      <w:r>
        <w:rPr>
          <w:rFonts w:ascii="Arial" w:cs="Arial" w:eastAsia="Arial" w:hAnsi="Arial"/>
          <w:sz w:val="20"/>
          <w:szCs w:val="20"/>
          <w:color w:val="auto"/>
        </w:rPr>
        <w:t>subject to Section 2.03(b)(iii) and Section 2.03(a)(ii)(C), the expiry date of such requested Letter of Credit would occur later than the earlier of (x) twelve months after the date of issuance or last renewal or (y) the fifth Business Day prior to the Maturity Date of the Revolving Credit Facility, unless (1) each Appropriate Lender has approved of such expiration date or (2) the L/C Issuer thereof has approved of such expiration date and the Outstanding Amount of L/C Obligations in respect of such requested Letter of Credit has been Cash Collateralized or backstopped pursuant to arrangements reasonably satisfactory to such L/C Issuer;</w:t>
      </w:r>
    </w:p>
    <w:p>
      <w:pPr>
        <w:spacing w:after="0" w:line="150" w:lineRule="exact"/>
        <w:rPr>
          <w:rFonts w:ascii="Arial" w:cs="Arial" w:eastAsia="Arial" w:hAnsi="Arial"/>
          <w:sz w:val="20"/>
          <w:szCs w:val="20"/>
          <w:color w:val="auto"/>
        </w:rPr>
      </w:pPr>
    </w:p>
    <w:p>
      <w:pPr>
        <w:ind w:left="120" w:firstLine="620"/>
        <w:spacing w:after="0" w:line="233" w:lineRule="auto"/>
        <w:tabs>
          <w:tab w:leader="none" w:pos="1274"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expiry date of such requested Letter of Credit would occur after the Letter of Credit Expiration Date, unless all the Revolving Credit Lenders have approved such expiry date;</w:t>
      </w:r>
    </w:p>
    <w:p>
      <w:pPr>
        <w:spacing w:after="0" w:line="149" w:lineRule="exact"/>
        <w:rPr>
          <w:rFonts w:ascii="Arial" w:cs="Arial" w:eastAsia="Arial" w:hAnsi="Arial"/>
          <w:sz w:val="21"/>
          <w:szCs w:val="21"/>
          <w:color w:val="auto"/>
        </w:rPr>
      </w:pPr>
    </w:p>
    <w:p>
      <w:pPr>
        <w:ind w:left="1240" w:hanging="500"/>
        <w:spacing w:after="0"/>
        <w:tabs>
          <w:tab w:leader="none" w:pos="1240"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issuance of such Letter of Credit would violate any Laws binding upon such L/C Issuer;</w:t>
      </w:r>
    </w:p>
    <w:p>
      <w:pPr>
        <w:spacing w:after="0" w:line="171" w:lineRule="exact"/>
        <w:rPr>
          <w:rFonts w:ascii="Arial" w:cs="Arial" w:eastAsia="Arial" w:hAnsi="Arial"/>
          <w:sz w:val="21"/>
          <w:szCs w:val="21"/>
          <w:color w:val="auto"/>
        </w:rPr>
      </w:pPr>
    </w:p>
    <w:p>
      <w:pPr>
        <w:ind w:left="120" w:firstLine="620"/>
        <w:spacing w:after="0" w:line="233" w:lineRule="auto"/>
        <w:tabs>
          <w:tab w:leader="none" w:pos="1208"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L/C Issuer does not as of the issuance date of the requested Letter of Credit issue Letters of Credit in the requested currency or type; or</w:t>
      </w:r>
    </w:p>
    <w:p>
      <w:pPr>
        <w:spacing w:after="0" w:line="149" w:lineRule="exact"/>
        <w:rPr>
          <w:rFonts w:ascii="Arial" w:cs="Arial" w:eastAsia="Arial" w:hAnsi="Arial"/>
          <w:sz w:val="21"/>
          <w:szCs w:val="21"/>
          <w:color w:val="auto"/>
        </w:rPr>
      </w:pPr>
    </w:p>
    <w:p>
      <w:pPr>
        <w:jc w:val="both"/>
        <w:ind w:left="120" w:firstLine="620"/>
        <w:spacing w:after="0" w:line="214" w:lineRule="auto"/>
        <w:tabs>
          <w:tab w:leader="none" w:pos="1256" w:val="left"/>
        </w:tabs>
        <w:numPr>
          <w:ilvl w:val="1"/>
          <w:numId w:val="82"/>
        </w:numPr>
        <w:rPr>
          <w:rFonts w:ascii="Arial" w:cs="Arial" w:eastAsia="Arial" w:hAnsi="Arial"/>
          <w:sz w:val="21"/>
          <w:szCs w:val="21"/>
          <w:color w:val="auto"/>
        </w:rPr>
      </w:pPr>
      <w:r>
        <w:rPr>
          <w:rFonts w:ascii="Arial" w:cs="Arial" w:eastAsia="Arial" w:hAnsi="Arial"/>
          <w:sz w:val="21"/>
          <w:szCs w:val="21"/>
          <w:color w:val="auto"/>
        </w:rPr>
        <w:t>any Revolving Credit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Section 2.17(a)(iv))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51" w:lineRule="exact"/>
        <w:rPr>
          <w:rFonts w:ascii="Arial" w:cs="Arial" w:eastAsia="Arial" w:hAnsi="Arial"/>
          <w:sz w:val="21"/>
          <w:szCs w:val="21"/>
          <w:color w:val="auto"/>
        </w:rPr>
      </w:pPr>
    </w:p>
    <w:p>
      <w:pPr>
        <w:jc w:val="both"/>
        <w:ind w:left="-500" w:firstLine="621"/>
        <w:spacing w:after="0" w:line="224" w:lineRule="auto"/>
        <w:tabs>
          <w:tab w:leader="none" w:pos="679" w:val="left"/>
        </w:tabs>
        <w:numPr>
          <w:ilvl w:val="0"/>
          <w:numId w:val="83"/>
        </w:numPr>
        <w:rPr>
          <w:rFonts w:ascii="Arial" w:cs="Arial" w:eastAsia="Arial" w:hAnsi="Arial"/>
          <w:sz w:val="21"/>
          <w:szCs w:val="21"/>
          <w:color w:val="auto"/>
        </w:rPr>
      </w:pPr>
      <w:r>
        <w:rPr>
          <w:rFonts w:ascii="Arial" w:cs="Arial" w:eastAsia="Arial" w:hAnsi="Arial"/>
          <w:sz w:val="21"/>
          <w:szCs w:val="21"/>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48" w:lineRule="exact"/>
        <w:rPr>
          <w:rFonts w:ascii="Arial" w:cs="Arial" w:eastAsia="Arial" w:hAnsi="Arial"/>
          <w:sz w:val="21"/>
          <w:szCs w:val="21"/>
          <w:color w:val="auto"/>
        </w:rPr>
      </w:pPr>
    </w:p>
    <w:p>
      <w:pPr>
        <w:jc w:val="both"/>
        <w:ind w:left="-500" w:firstLine="621"/>
        <w:spacing w:after="0" w:line="255" w:lineRule="auto"/>
        <w:tabs>
          <w:tab w:leader="none" w:pos="7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L/C Issuer shall act on behalf of the Lenders with respect to any Letters of Credit issued by it and the documents associated therewith, and each L/C Issuer shall have all of the benefits and immunities (A) provided to the Administrative Agent in Article 9 with respect to any acts taken or omissions suffered by such L/C Issuer in connection with Letters of Credit issued by it or proposed to be issued by it and any Letter of Credit Issuance Request (and any other document, agreement or instrument entered into by such L/C Issuer and the Borrower or in favor of such L/C Issuer) pertaining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92</w:t>
      </w:r>
    </w:p>
    <w:p>
      <w:pPr>
        <w:sectPr>
          <w:pgSz w:w="11900" w:h="16838" w:orient="portrait"/>
          <w:cols w:equalWidth="0" w:num="1">
            <w:col w:w="10120"/>
          </w:cols>
          <w:pgMar w:left="1440" w:top="1440" w:right="339" w:bottom="1440" w:gutter="0" w:footer="0" w:header="0"/>
        </w:sectPr>
      </w:pPr>
    </w:p>
    <w:bookmarkStart w:id="140" w:name="page141"/>
    <w:bookmarkEnd w:id="140"/>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Letters of Credit as fully as if the term “Administrative Agent” as used in Article 9 included such L/C Issuer with respect to such acts or omissions, and (B) as additionally provided herein with respect to each L/C Issuer.</w:t>
      </w:r>
    </w:p>
    <w:p>
      <w:pPr>
        <w:spacing w:after="0" w:line="176" w:lineRule="exact"/>
        <w:rPr>
          <w:sz w:val="20"/>
          <w:szCs w:val="20"/>
          <w:color w:val="auto"/>
        </w:rPr>
      </w:pPr>
    </w:p>
    <w:p>
      <w:pPr>
        <w:jc w:val="both"/>
        <w:ind w:firstLine="621"/>
        <w:spacing w:after="0" w:line="224" w:lineRule="auto"/>
        <w:tabs>
          <w:tab w:leader="none" w:pos="1137"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The Borrower may, at any time and from time to time, reduce the L/C Commitment of any L/C Issuer with the consent of such L/C Issuer;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Borrower shall not reduce the L/C Commitment of any L/C Issuer if, after giving effect to such reduction, the conditions set forth in clause (i) above would not be satisfied.</w:t>
      </w:r>
    </w:p>
    <w:p>
      <w:pPr>
        <w:spacing w:after="0" w:line="148" w:lineRule="exact"/>
        <w:rPr>
          <w:rFonts w:ascii="Arial" w:cs="Arial" w:eastAsia="Arial" w:hAnsi="Arial"/>
          <w:sz w:val="21"/>
          <w:szCs w:val="21"/>
          <w:color w:val="auto"/>
        </w:rPr>
      </w:pPr>
    </w:p>
    <w:p>
      <w:pPr>
        <w:ind w:left="440" w:hanging="438"/>
        <w:spacing w:after="0"/>
        <w:tabs>
          <w:tab w:leader="none" w:pos="440" w:val="left"/>
        </w:tabs>
        <w:numPr>
          <w:ilvl w:val="0"/>
          <w:numId w:val="85"/>
        </w:numPr>
        <w:rPr>
          <w:rFonts w:ascii="Arial" w:cs="Arial" w:eastAsia="Arial" w:hAnsi="Arial"/>
          <w:sz w:val="21"/>
          <w:szCs w:val="21"/>
          <w:color w:val="auto"/>
        </w:rPr>
      </w:pPr>
      <w:r>
        <w:rPr>
          <w:rFonts w:ascii="Arial" w:cs="Arial" w:eastAsia="Arial" w:hAnsi="Arial"/>
          <w:sz w:val="21"/>
          <w:szCs w:val="21"/>
          <w:i w:val="1"/>
          <w:iCs w:val="1"/>
          <w:color w:val="auto"/>
        </w:rPr>
        <w:t>Procedures for Issuance and Amendment of Letters of Credit; Auto-Extension Letters of Credit</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jc w:val="both"/>
        <w:ind w:firstLine="621"/>
        <w:spacing w:after="0" w:line="229" w:lineRule="auto"/>
        <w:tabs>
          <w:tab w:leader="none" w:pos="1032" w:val="left"/>
        </w:tabs>
        <w:numPr>
          <w:ilvl w:val="1"/>
          <w:numId w:val="85"/>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the request of the Borrower delivered to an L/C Issuer (with a copy to the Administrative Agent) in the form of a Letter of Credit Issuance Request, appropriately completed and signed by a Responsible Officer of the Borrower or his/her delegate or designee. Such Letter of Credit Issuance Request must be received by the relevant L/C Issuer and the Administrative Agent not later than 1:00 p.m. (New York City time) (x) at least two Business Days prior to the proposed issuance date or date of amendment in the case of Dollar Denominated Letter of Credit and (y) at least four Business Days prior to the proposed issuance date or date of amendment in the case of Foreign Currency Denominated Letter of Credit, as the case may be; or, in each case, such other date and time as the relevant L/C Issuer may agree in a particular instance in its sole discretion. In the case of a request for an initial issuance of a Letter of Credit, such Letter of Credit Issuance Request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relevant Approved Currency in which such Letter of Credit is to be denominated; and (H) such other matters as the relevant L/C Issuer may reasonably request. In the case of a request for an amendment of any outstanding Letter of Credit, such Letter of Credit Issuance Request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 In addition, as a condition to any Letter of Credit issuance, the Borrower shall have entered into a continuing agreement (or other letter of credit agreement) for the issuance of letters of credit and/or shall submit a letter of credit application, in each case, as required by the L/C Issuer and using such L/C Issuer’s standard form (each, a “</w:t>
      </w:r>
      <w:r>
        <w:rPr>
          <w:rFonts w:ascii="Arial" w:cs="Arial" w:eastAsia="Arial" w:hAnsi="Arial"/>
          <w:sz w:val="19"/>
          <w:szCs w:val="19"/>
          <w:b w:val="1"/>
          <w:bCs w:val="1"/>
          <w:color w:val="auto"/>
        </w:rPr>
        <w:t>Letter of Credit Agreement</w:t>
      </w:r>
      <w:r>
        <w:rPr>
          <w:rFonts w:ascii="Arial" w:cs="Arial" w:eastAsia="Arial" w:hAnsi="Arial"/>
          <w:sz w:val="19"/>
          <w:szCs w:val="19"/>
          <w:color w:val="auto"/>
        </w:rPr>
        <w:t>”). In the event of any inconsistency between the terms and conditions of any Letter of Credit Agreement and the terms and conditions of this Agreement, the terms and conditions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93</w:t>
      </w:r>
    </w:p>
    <w:p>
      <w:pPr>
        <w:sectPr>
          <w:pgSz w:w="11900" w:h="16838" w:orient="portrait"/>
          <w:cols w:equalWidth="0" w:num="1">
            <w:col w:w="10620"/>
          </w:cols>
          <w:pgMar w:left="940" w:top="1440"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2" w:firstLine="621"/>
        <w:spacing w:after="0" w:line="232" w:lineRule="auto"/>
        <w:tabs>
          <w:tab w:leader="none" w:pos="1181" w:val="left"/>
        </w:tabs>
        <w:numPr>
          <w:ilvl w:val="1"/>
          <w:numId w:val="86"/>
        </w:numPr>
        <w:rPr>
          <w:rFonts w:ascii="Arial" w:cs="Arial" w:eastAsia="Arial" w:hAnsi="Arial"/>
          <w:sz w:val="19"/>
          <w:szCs w:val="19"/>
          <w:color w:val="auto"/>
        </w:rPr>
      </w:pPr>
      <w:r>
        <w:rPr>
          <w:rFonts w:ascii="Arial" w:cs="Arial" w:eastAsia="Arial" w:hAnsi="Arial"/>
          <w:sz w:val="19"/>
          <w:szCs w:val="19"/>
          <w:color w:val="auto"/>
        </w:rPr>
        <w:t>Promptly after receipt of any Letter of Credit Issuance Request, the relevant L/C Issuer will confirm with the Administrative Agent (by telephone or in writing) that the Administrative Agent has received a copy of such Letter of Credit Issuance Request from the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Borrower or, if applicable, the Restricted Subsidiary, or enter into the applicable amendment, as the case may be. Immediately upon the issuance of each Letter of Credit, each Revolving Credit Lender shall be deemed to, and hereby irrevocably and unconditionally agrees to, purchase from the relevant L/C Issuer a risk participation in such Letter of Credit in an amount equal to the product of such Lender’s Pro Rata Share provided for under this Agreement times the amount of such Letter of Credit.</w:t>
      </w:r>
    </w:p>
    <w:p>
      <w:pPr>
        <w:spacing w:after="0" w:line="156" w:lineRule="exact"/>
        <w:rPr>
          <w:rFonts w:ascii="Arial" w:cs="Arial" w:eastAsia="Arial" w:hAnsi="Arial"/>
          <w:sz w:val="19"/>
          <w:szCs w:val="19"/>
          <w:color w:val="auto"/>
        </w:rPr>
      </w:pPr>
    </w:p>
    <w:p>
      <w:pPr>
        <w:jc w:val="both"/>
        <w:ind w:left="-2" w:firstLine="621"/>
        <w:spacing w:after="0" w:line="230" w:lineRule="auto"/>
        <w:tabs>
          <w:tab w:leader="none" w:pos="1139" w:val="left"/>
        </w:tabs>
        <w:numPr>
          <w:ilvl w:val="1"/>
          <w:numId w:val="86"/>
        </w:numPr>
        <w:rPr>
          <w:rFonts w:ascii="Arial" w:cs="Arial" w:eastAsia="Arial" w:hAnsi="Arial"/>
          <w:sz w:val="19"/>
          <w:szCs w:val="19"/>
          <w:color w:val="auto"/>
        </w:rPr>
      </w:pPr>
      <w:r>
        <w:rPr>
          <w:rFonts w:ascii="Arial" w:cs="Arial" w:eastAsia="Arial" w:hAnsi="Arial"/>
          <w:sz w:val="19"/>
          <w:szCs w:val="19"/>
          <w:color w:val="auto"/>
        </w:rPr>
        <w:t>If the Borrower so requests in any applicable Letter of Credit Issuance Request, the relevant L/C Issuer shall agree to issue a Letter of Credit that has automatic extension provisions (each, an “</w:t>
      </w:r>
      <w:r>
        <w:rPr>
          <w:rFonts w:ascii="Arial" w:cs="Arial" w:eastAsia="Arial" w:hAnsi="Arial"/>
          <w:sz w:val="19"/>
          <w:szCs w:val="19"/>
          <w:b w:val="1"/>
          <w:bCs w:val="1"/>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Auto-Extension Letter of Credit must permit the relevant L/C Issuer to prevent any such extension at least once in each twelve month period (commencing with the date of issuance of such Letter of Credit) by giving prior notice to the beneficiary thereof not later than a number of days (the “</w:t>
      </w:r>
      <w:r>
        <w:rPr>
          <w:rFonts w:ascii="Arial" w:cs="Arial" w:eastAsia="Arial" w:hAnsi="Arial"/>
          <w:sz w:val="19"/>
          <w:szCs w:val="19"/>
          <w:b w:val="1"/>
          <w:bCs w:val="1"/>
          <w:color w:val="auto"/>
        </w:rPr>
        <w:t>Non-Extension Notice Date</w:t>
      </w:r>
      <w:r>
        <w:rPr>
          <w:rFonts w:ascii="Arial" w:cs="Arial" w:eastAsia="Arial" w:hAnsi="Arial"/>
          <w:sz w:val="19"/>
          <w:szCs w:val="19"/>
          <w:color w:val="auto"/>
        </w:rPr>
        <w:t xml:space="preserve">”) prior to the last day of such twelve month period to be agreed upon by the relevant L/C Issuer and the Borrower at the time such Letter of Credit is issued. Unless otherwise directed by the relevant L/C Issuer, the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Letter of Credit Expiration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relevant L/C Issuer shall not permit any such extension if (A) the relevant L/C Issuer has determined that it would have no obligation at such time to issue such Letter of Credit in its extended form under the terms hereof (by reason of the provisions of Section 2.03(a)(ii) or otherwise), or (B) it has received notice (which may be by telephone or in writing) on or before the day that is seven (7) Business Days before the Non-Extension Notice Date from the Administrative Agent, any Revolving Credit Lender or the Borrower that one or more of the applicable conditions specified in Section 4.02 is not then satisfied.</w:t>
      </w:r>
    </w:p>
    <w:p>
      <w:pPr>
        <w:spacing w:after="0" w:line="159" w:lineRule="exact"/>
        <w:rPr>
          <w:rFonts w:ascii="Arial" w:cs="Arial" w:eastAsia="Arial" w:hAnsi="Arial"/>
          <w:sz w:val="19"/>
          <w:szCs w:val="19"/>
          <w:color w:val="auto"/>
        </w:rPr>
      </w:pPr>
    </w:p>
    <w:p>
      <w:pPr>
        <w:ind w:left="-2" w:firstLine="621"/>
        <w:spacing w:after="0" w:line="276" w:lineRule="auto"/>
        <w:tabs>
          <w:tab w:leader="none" w:pos="1121" w:val="left"/>
        </w:tabs>
        <w:numPr>
          <w:ilvl w:val="1"/>
          <w:numId w:val="86"/>
        </w:numPr>
        <w:rPr>
          <w:rFonts w:ascii="Arial" w:cs="Arial" w:eastAsia="Arial" w:hAnsi="Arial"/>
          <w:sz w:val="19"/>
          <w:szCs w:val="19"/>
          <w:color w:val="auto"/>
        </w:rPr>
      </w:pPr>
      <w:r>
        <w:rPr>
          <w:rFonts w:ascii="Arial" w:cs="Arial" w:eastAsia="Arial" w:hAnsi="Arial"/>
          <w:sz w:val="19"/>
          <w:szCs w:val="19"/>
          <w:color w:val="auto"/>
        </w:rPr>
        <w:t>Promptly after issuance of any Letter of Credit or any amendment to a Letter of Credit, the relevant L/C Issuer will also deliver to the Borrower and the Administrative Agent a true and complete copy of such Letter of Credit or amendment.</w:t>
      </w:r>
    </w:p>
    <w:p>
      <w:pPr>
        <w:spacing w:after="0" w:line="116" w:lineRule="exact"/>
        <w:rPr>
          <w:rFonts w:ascii="Arial" w:cs="Arial" w:eastAsia="Arial" w:hAnsi="Arial"/>
          <w:sz w:val="19"/>
          <w:szCs w:val="19"/>
          <w:color w:val="auto"/>
        </w:rPr>
      </w:pPr>
    </w:p>
    <w:p>
      <w:pPr>
        <w:ind w:left="438" w:hanging="438"/>
        <w:spacing w:after="0"/>
        <w:tabs>
          <w:tab w:leader="none" w:pos="438" w:val="left"/>
        </w:tabs>
        <w:numPr>
          <w:ilvl w:val="0"/>
          <w:numId w:val="87"/>
        </w:numPr>
        <w:rPr>
          <w:rFonts w:ascii="Arial" w:cs="Arial" w:eastAsia="Arial" w:hAnsi="Arial"/>
          <w:sz w:val="21"/>
          <w:szCs w:val="21"/>
          <w:color w:val="auto"/>
        </w:rPr>
      </w:pPr>
      <w:r>
        <w:rPr>
          <w:rFonts w:ascii="Arial" w:cs="Arial" w:eastAsia="Arial" w:hAnsi="Arial"/>
          <w:sz w:val="21"/>
          <w:szCs w:val="21"/>
          <w:i w:val="1"/>
          <w:iCs w:val="1"/>
          <w:color w:val="auto"/>
        </w:rPr>
        <w:t>Drawings and Reimbursements; Funding of Participations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2" w:firstLine="621"/>
        <w:spacing w:after="0" w:line="233" w:lineRule="auto"/>
        <w:tabs>
          <w:tab w:leader="none" w:pos="1022" w:val="left"/>
        </w:tabs>
        <w:numPr>
          <w:ilvl w:val="1"/>
          <w:numId w:val="87"/>
        </w:numPr>
        <w:rPr>
          <w:rFonts w:ascii="Arial" w:cs="Arial" w:eastAsia="Arial" w:hAnsi="Arial"/>
          <w:sz w:val="21"/>
          <w:szCs w:val="21"/>
          <w:color w:val="auto"/>
        </w:rPr>
      </w:pPr>
      <w:r>
        <w:rPr>
          <w:rFonts w:ascii="Arial" w:cs="Arial" w:eastAsia="Arial" w:hAnsi="Arial"/>
          <w:sz w:val="21"/>
          <w:szCs w:val="21"/>
          <w:color w:val="auto"/>
        </w:rPr>
        <w:t>Upon receipt from the beneficiary of any Letter of Credit of any notice of a drawing under such Letter of Credit, the relevant L/C Issuer shall notify promptly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98"/>
        <w:spacing w:after="0"/>
        <w:rPr>
          <w:sz w:val="20"/>
          <w:szCs w:val="20"/>
          <w:color w:val="auto"/>
        </w:rPr>
      </w:pPr>
      <w:r>
        <w:rPr>
          <w:rFonts w:ascii="Arial" w:cs="Arial" w:eastAsia="Arial" w:hAnsi="Arial"/>
          <w:sz w:val="21"/>
          <w:szCs w:val="21"/>
          <w:color w:val="auto"/>
        </w:rPr>
        <w:t>94</w:t>
      </w:r>
    </w:p>
    <w:p>
      <w:pPr>
        <w:sectPr>
          <w:pgSz w:w="11900" w:h="16838" w:orient="portrait"/>
          <w:cols w:equalWidth="0" w:num="1">
            <w:col w:w="10618"/>
          </w:cols>
          <w:pgMar w:left="942" w:top="1440" w:right="339" w:bottom="1440" w:gutter="0" w:footer="0" w:header="0"/>
        </w:sectPr>
      </w:pPr>
    </w:p>
    <w:bookmarkStart w:id="142" w:name="page143"/>
    <w:bookmarkEnd w:id="142"/>
    <w:p>
      <w:pPr>
        <w:spacing w:after="0" w:line="316" w:lineRule="exact"/>
        <w:rPr>
          <w:sz w:val="20"/>
          <w:szCs w:val="20"/>
          <w:color w:val="auto"/>
        </w:rPr>
      </w:pPr>
    </w:p>
    <w:p>
      <w:pPr>
        <w:jc w:val="both"/>
        <w:ind w:firstLine="6"/>
        <w:spacing w:after="0" w:line="229" w:lineRule="auto"/>
        <w:rPr>
          <w:sz w:val="20"/>
          <w:szCs w:val="20"/>
          <w:color w:val="auto"/>
        </w:rPr>
      </w:pPr>
      <w:r>
        <w:rPr>
          <w:rFonts w:ascii="Arial" w:cs="Arial" w:eastAsia="Arial" w:hAnsi="Arial"/>
          <w:sz w:val="19"/>
          <w:szCs w:val="19"/>
          <w:color w:val="auto"/>
        </w:rPr>
        <w:t>Borrower and the Administrative Agent thereof. In the case of a Letter of Credit denominated in an Approved Foreign Currency, the Borrower shall reimburse the L/C Issuer in such Approved Foreign Currency, unless the L/C Issuer (at its option) shall have specified in such notice that it will require reimbursement in Dollars. In the case of any such reimbursement in Dollars of a drawing under a Letter of Credit denominated in an Approved Foreign Currency, the L/C Issuer shall notify the Borrower of the amount of the drawing in such Approved Foreign Currency promptly following the determination thereof. Not later than 1:00 p.m. (New York City time), in the case of a drawing in Dollars, or 2:00 p.m. (London time) (or, if earlier, 9:00 a.m. New York City time), in the case of a drawing in an Approved Foreign Currency, on (1) the next Business Day immediately following the date of any honoring of a drawing by an L/C Issuer under a Letter of Credit that the Borrower receives notice thereof (each such date, an “</w:t>
      </w:r>
      <w:r>
        <w:rPr>
          <w:rFonts w:ascii="Arial" w:cs="Arial" w:eastAsia="Arial" w:hAnsi="Arial"/>
          <w:sz w:val="19"/>
          <w:szCs w:val="19"/>
          <w:b w:val="1"/>
          <w:bCs w:val="1"/>
          <w:color w:val="auto"/>
        </w:rPr>
        <w:t>Honor Date</w:t>
      </w:r>
      <w:r>
        <w:rPr>
          <w:rFonts w:ascii="Arial" w:cs="Arial" w:eastAsia="Arial" w:hAnsi="Arial"/>
          <w:sz w:val="19"/>
          <w:szCs w:val="19"/>
          <w:color w:val="auto"/>
        </w:rPr>
        <w:t xml:space="preserve">”), the Borrower shall reimburse such L/C Issuer through the Administrative Agent in an amount equal to the amount of such drawing in the relevant Approved Currency;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may, subject to the conditions to borrowing set forth herein, request in accordance with this Section 2.03 that such payment be financed with a Revolving Credit Borrowing under the Revolving Credit Facility or a Swing Line Borrowing under the Swing Line Facility in an equivalent amount and, to the extent so financed, the Borrower’s obligation to make such payment shall be discharged and replaced by the resulting Revolving Credit Borrowing or Swing Line Borrowing, as applicable. If the Borrower fails to so reimburse such L/C Issuer by such time, such L/C Issuer shall notify the Administrative Agent and the Administrative Agent shall promptly notify each Appropriate Lender of the Honor Date, the amount of the unreimbursed drawing (expressed in Dollars in the amount of the Dollar Equivalent thereof) (the “</w:t>
      </w:r>
      <w:r>
        <w:rPr>
          <w:rFonts w:ascii="Arial" w:cs="Arial" w:eastAsia="Arial" w:hAnsi="Arial"/>
          <w:sz w:val="19"/>
          <w:szCs w:val="19"/>
          <w:b w:val="1"/>
          <w:bCs w:val="1"/>
          <w:color w:val="auto"/>
        </w:rPr>
        <w:t>Unreimbursed Amount</w:t>
      </w:r>
      <w:r>
        <w:rPr>
          <w:rFonts w:ascii="Arial" w:cs="Arial" w:eastAsia="Arial" w:hAnsi="Arial"/>
          <w:sz w:val="19"/>
          <w:szCs w:val="19"/>
          <w:color w:val="auto"/>
        </w:rPr>
        <w:t xml:space="preserve">”), and the amount of such Appropriate Lender’s Pro Rata Share provided for under this Agreement thereof. In such event, the Borrower shall be deemed to have requested a Revolving Credit Borrowing of Base Rate Loans to be disbursed on the Honor Date in an amount equal to the Unreimbursed Amount, without regard to the minimum and multiples specified in Section 2.02 for the principal amount of Base Rate Loans, Term SOFR Loans or Eurocurrency Rate Loans, as applicable, but subject to the amount of the unutilized portion of the Revolving Credit Commitments of the Appropriate Lenders and the conditions set forth in Section 4.02 (other than the delivery of a Committed Loan Notice). Any notice given by an L/C Issuer or the Administrative Agent pursuant to this Section 2.03(c)(i) may be given by telephone if immediately confirmed in writing;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151" w:lineRule="exact"/>
        <w:rPr>
          <w:sz w:val="20"/>
          <w:szCs w:val="20"/>
          <w:color w:val="auto"/>
        </w:rPr>
      </w:pPr>
    </w:p>
    <w:p>
      <w:pPr>
        <w:jc w:val="both"/>
        <w:ind w:firstLine="621"/>
        <w:spacing w:after="0" w:line="213" w:lineRule="auto"/>
        <w:tabs>
          <w:tab w:leader="none" w:pos="1094" w:val="left"/>
        </w:tabs>
        <w:numPr>
          <w:ilvl w:val="0"/>
          <w:numId w:val="88"/>
        </w:numPr>
        <w:rPr>
          <w:rFonts w:ascii="Arial" w:cs="Arial" w:eastAsia="Arial" w:hAnsi="Arial"/>
          <w:sz w:val="21"/>
          <w:szCs w:val="21"/>
          <w:color w:val="auto"/>
        </w:rPr>
      </w:pPr>
      <w:r>
        <w:rPr>
          <w:rFonts w:ascii="Arial" w:cs="Arial" w:eastAsia="Arial" w:hAnsi="Arial"/>
          <w:sz w:val="21"/>
          <w:szCs w:val="21"/>
          <w:color w:val="auto"/>
        </w:rPr>
        <w:t>Each Appropriate Lender (including any Lender acting as an L/C Issuer) shall upon any notice pursuant to Section 2.03(c)(i) make funds available to the Administrative Agent for the account of the relevant L/C Issuer in Dollars at the Administrative Agent’s Office for Dollar-denominated payments in an amount equal to its Pro Rata Share or other applicable share provided for under this Agreement of the Unreimbursed Amount not later than 2:00 p.m. (New York City time) on the Business Day specified in such notice by the Administrative Agent, whereupon, subject to the provisions of Section 2.03(c)(iii), each Appropriate Lender that so makes funds available shall be deemed to have made a Revolving Credit Loan that is a Base Rate Loan, Term SOFR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95</w:t>
      </w:r>
    </w:p>
    <w:p>
      <w:pPr>
        <w:sectPr>
          <w:pgSz w:w="11900" w:h="16838" w:orient="portrait"/>
          <w:cols w:equalWidth="0" w:num="1">
            <w:col w:w="10620"/>
          </w:cols>
          <w:pgMar w:left="940" w:top="1440" w:right="339" w:bottom="1440" w:gutter="0" w:footer="0" w:header="0"/>
        </w:sectPr>
      </w:pPr>
    </w:p>
    <w:bookmarkStart w:id="143" w:name="page144"/>
    <w:bookmarkEnd w:id="143"/>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or Eurocurrency Rate Loan, as applicable, to the Borrower in such amount. The Administrative Agent shall promptly remit the funds so received to the relevant L/C Issuer in Dollars.</w:t>
      </w:r>
    </w:p>
    <w:p>
      <w:pPr>
        <w:spacing w:after="0" w:line="176" w:lineRule="exact"/>
        <w:rPr>
          <w:sz w:val="20"/>
          <w:szCs w:val="20"/>
          <w:color w:val="auto"/>
        </w:rPr>
      </w:pPr>
    </w:p>
    <w:p>
      <w:pPr>
        <w:jc w:val="both"/>
        <w:ind w:firstLine="621"/>
        <w:spacing w:after="0" w:line="248" w:lineRule="auto"/>
        <w:tabs>
          <w:tab w:leader="none" w:pos="11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 respect to any Unreimbursed Amount that is not fully refinanced by a Revolving Credit Borrowing of Base Rate Loans or Eurocurrency Rate Loans, as applicable, because the conditions set forth in Section 4.02 cannot be satisfied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(which begins to accrue upon funding by the L/C Issuer) at the Default Rate for Revolving Credit Loans. In such event, each Appropriate Lender’s payment to the Administrative Agent for the account of the relevant L/C Issuer pursuant to Section 2.03(c)(ii) shall be deemed payment in respect of its participation in such L/C Borrowing and shall constitute an L/C Advance from such Lender in satisfaction of its participation obligation under this Section 2.03.</w:t>
      </w:r>
    </w:p>
    <w:p>
      <w:pPr>
        <w:spacing w:after="0" w:line="145" w:lineRule="exact"/>
        <w:rPr>
          <w:rFonts w:ascii="Arial" w:cs="Arial" w:eastAsia="Arial" w:hAnsi="Arial"/>
          <w:sz w:val="18"/>
          <w:szCs w:val="18"/>
          <w:color w:val="auto"/>
        </w:rPr>
      </w:pPr>
    </w:p>
    <w:p>
      <w:pPr>
        <w:jc w:val="both"/>
        <w:ind w:firstLine="621"/>
        <w:spacing w:after="0" w:line="219" w:lineRule="auto"/>
        <w:tabs>
          <w:tab w:leader="none" w:pos="1125" w:val="left"/>
        </w:tabs>
        <w:numPr>
          <w:ilvl w:val="0"/>
          <w:numId w:val="89"/>
        </w:numPr>
        <w:rPr>
          <w:rFonts w:ascii="Arial" w:cs="Arial" w:eastAsia="Arial" w:hAnsi="Arial"/>
          <w:sz w:val="21"/>
          <w:szCs w:val="21"/>
          <w:color w:val="auto"/>
        </w:rPr>
      </w:pPr>
      <w:r>
        <w:rPr>
          <w:rFonts w:ascii="Arial" w:cs="Arial" w:eastAsia="Arial" w:hAnsi="Arial"/>
          <w:sz w:val="21"/>
          <w:szCs w:val="21"/>
          <w:color w:val="auto"/>
        </w:rPr>
        <w:t>Until each Appropriate Lender funds its Revolving Credit Loan or L/C Advance pursuant to this Section 2.03(c) to reimburse the relevant L/C Issuer for any amount drawn under any Letter of Credit, interest in respect of such Lender’s Pro Rata Share or other applicable share provided for under this Agreement of such amount shall be solely for the account of the relevant L/C Issuer.</w:t>
      </w:r>
    </w:p>
    <w:p>
      <w:pPr>
        <w:spacing w:after="0" w:line="149" w:lineRule="exact"/>
        <w:rPr>
          <w:rFonts w:ascii="Arial" w:cs="Arial" w:eastAsia="Arial" w:hAnsi="Arial"/>
          <w:sz w:val="21"/>
          <w:szCs w:val="21"/>
          <w:color w:val="auto"/>
        </w:rPr>
      </w:pPr>
    </w:p>
    <w:p>
      <w:pPr>
        <w:jc w:val="both"/>
        <w:ind w:firstLine="621"/>
        <w:spacing w:after="0" w:line="221" w:lineRule="auto"/>
        <w:tabs>
          <w:tab w:leader="none" w:pos="1081"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Each Revolving Credit Lender’s obligation to make Revolving Credit Loans or L/C Advances to reimburse an L/C Issuer for amounts drawn under Letters of Credit, as contemplated by this Section 2.03(c), shall be absolute and unconditional and shall not be affected by any circumstance, including (A) any setoff, counterclaim, recoupment, defense or other right which such Lender may have against the relevant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Revolving Credit Lender’s obligation to make Revolving Credit Loans pursuant to this Section 2.03(c) is subject to the conditions set forth in Section 4.02 (other than delivery by the Borrower of a Committed Loan Notice). No such making of an L/C Advance shall relieve or otherwise impair the obligation of the Borrower to reimburse the relevant L/C Issuer for the amount of any payment made by such L/C Issuer under any Letter of Credit, together with interest as provided herein.</w:t>
      </w:r>
    </w:p>
    <w:p>
      <w:pPr>
        <w:spacing w:after="0" w:line="151" w:lineRule="exact"/>
        <w:rPr>
          <w:rFonts w:ascii="Arial" w:cs="Arial" w:eastAsia="Arial" w:hAnsi="Arial"/>
          <w:sz w:val="20"/>
          <w:szCs w:val="20"/>
          <w:color w:val="auto"/>
        </w:rPr>
      </w:pPr>
    </w:p>
    <w:p>
      <w:pPr>
        <w:jc w:val="both"/>
        <w:ind w:firstLine="621"/>
        <w:spacing w:after="0" w:line="225" w:lineRule="auto"/>
        <w:tabs>
          <w:tab w:leader="none" w:pos="1139" w:val="left"/>
        </w:tabs>
        <w:numPr>
          <w:ilvl w:val="0"/>
          <w:numId w:val="89"/>
        </w:numPr>
        <w:rPr>
          <w:rFonts w:ascii="Arial" w:cs="Arial" w:eastAsia="Arial" w:hAnsi="Arial"/>
          <w:sz w:val="20"/>
          <w:szCs w:val="20"/>
          <w:color w:val="auto"/>
        </w:rPr>
      </w:pPr>
      <w:r>
        <w:rPr>
          <w:rFonts w:ascii="Arial" w:cs="Arial" w:eastAsia="Arial" w:hAnsi="Arial"/>
          <w:sz w:val="20"/>
          <w:szCs w:val="20"/>
          <w:color w:val="auto"/>
        </w:rPr>
        <w:t>If any Revolving Credit Lender fails to make available to the Administrative Agent for the account of the relevant L/C Issuer any amount required to be paid by such Lender pursuant to the foregoing provisions of this Section 2.03(c) by the time specified in Section 2.03(c)(ii),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Federal Funds Effective Rate from time to time in effect, plus any reasonable administrative,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96</w:t>
      </w:r>
    </w:p>
    <w:p>
      <w:pPr>
        <w:sectPr>
          <w:pgSz w:w="11900" w:h="16838" w:orient="portrait"/>
          <w:cols w:equalWidth="0" w:num="1">
            <w:col w:w="10620"/>
          </w:cols>
          <w:pgMar w:left="940" w:top="1440" w:right="339" w:bottom="1440" w:gutter="0" w:footer="0" w:header="0"/>
        </w:sectPr>
      </w:pPr>
    </w:p>
    <w:bookmarkStart w:id="144" w:name="page145"/>
    <w:bookmarkEnd w:id="144"/>
    <w:p>
      <w:pPr>
        <w:spacing w:after="0" w:line="316" w:lineRule="exact"/>
        <w:rPr>
          <w:sz w:val="20"/>
          <w:szCs w:val="20"/>
          <w:color w:val="auto"/>
        </w:rPr>
      </w:pPr>
    </w:p>
    <w:p>
      <w:pPr>
        <w:jc w:val="both"/>
        <w:ind w:left="620" w:firstLine="6"/>
        <w:spacing w:after="0" w:line="224" w:lineRule="auto"/>
        <w:rPr>
          <w:sz w:val="20"/>
          <w:szCs w:val="20"/>
          <w:color w:val="auto"/>
        </w:rPr>
      </w:pPr>
      <w:r>
        <w:rPr>
          <w:rFonts w:ascii="Arial" w:cs="Arial" w:eastAsia="Arial" w:hAnsi="Arial"/>
          <w:sz w:val="21"/>
          <w:szCs w:val="21"/>
          <w:color w:val="auto"/>
        </w:rPr>
        <w:t>or similar fees customarily charged by such L/C Issuer in connection with the foregoing. A certificate of the relevant L/C Issuer submitted to any Revolving Credit Lender (through the Administrative Agent) with respect to any amounts owing under this Section 2.03(c)(vi) shall be conclusive absent manifest error.</w:t>
      </w:r>
    </w:p>
    <w:p>
      <w:pPr>
        <w:spacing w:after="0" w:line="175" w:lineRule="exact"/>
        <w:rPr>
          <w:sz w:val="20"/>
          <w:szCs w:val="20"/>
          <w:color w:val="auto"/>
        </w:rPr>
      </w:pPr>
    </w:p>
    <w:p>
      <w:pPr>
        <w:ind w:left="1060" w:hanging="438"/>
        <w:spacing w:after="0"/>
        <w:tabs>
          <w:tab w:leader="none" w:pos="1060" w:val="left"/>
        </w:tabs>
        <w:numPr>
          <w:ilvl w:val="0"/>
          <w:numId w:val="90"/>
        </w:numPr>
        <w:rPr>
          <w:rFonts w:ascii="Arial" w:cs="Arial" w:eastAsia="Arial" w:hAnsi="Arial"/>
          <w:sz w:val="21"/>
          <w:szCs w:val="21"/>
          <w:color w:val="auto"/>
        </w:rPr>
      </w:pPr>
      <w:r>
        <w:rPr>
          <w:rFonts w:ascii="Arial" w:cs="Arial" w:eastAsia="Arial" w:hAnsi="Arial"/>
          <w:sz w:val="21"/>
          <w:szCs w:val="21"/>
          <w:i w:val="1"/>
          <w:iCs w:val="1"/>
          <w:color w:val="auto"/>
        </w:rPr>
        <w:t>Repayment of Participations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jc w:val="both"/>
        <w:ind w:left="620" w:firstLine="621"/>
        <w:spacing w:after="0" w:line="235" w:lineRule="auto"/>
        <w:tabs>
          <w:tab w:leader="none" w:pos="1749" w:val="left"/>
        </w:tabs>
        <w:numPr>
          <w:ilvl w:val="1"/>
          <w:numId w:val="90"/>
        </w:numPr>
        <w:rPr>
          <w:rFonts w:ascii="Arial" w:cs="Arial" w:eastAsia="Arial" w:hAnsi="Arial"/>
          <w:sz w:val="19"/>
          <w:szCs w:val="19"/>
          <w:color w:val="auto"/>
        </w:rPr>
      </w:pPr>
      <w:r>
        <w:rPr>
          <w:rFonts w:ascii="Arial" w:cs="Arial" w:eastAsia="Arial" w:hAnsi="Arial"/>
          <w:sz w:val="19"/>
          <w:szCs w:val="19"/>
          <w:color w:val="auto"/>
        </w:rPr>
        <w:t>If, at any time after an L/C Issuer has made a payment under any Letter of Credit and has received from any Revolving Credit Lender such Lender’s L/C Advance in respect of such payment in accordance with Section 2.03(c),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Pro Rata Share or other applicable share provided for under this Agreement hereof (appropriately adjusted, in the case of interest payments, to reflect the period of time during which such Lender’s L/C Advance was outstanding) in the same funds as those received by the Administrative Agent.</w:t>
      </w:r>
    </w:p>
    <w:p>
      <w:pPr>
        <w:spacing w:after="0" w:line="152" w:lineRule="exact"/>
        <w:rPr>
          <w:rFonts w:ascii="Arial" w:cs="Arial" w:eastAsia="Arial" w:hAnsi="Arial"/>
          <w:sz w:val="19"/>
          <w:szCs w:val="19"/>
          <w:color w:val="auto"/>
        </w:rPr>
      </w:pPr>
    </w:p>
    <w:p>
      <w:pPr>
        <w:ind w:left="1740" w:hanging="499"/>
        <w:spacing w:after="0"/>
        <w:tabs>
          <w:tab w:leader="none" w:pos="1740" w:val="left"/>
        </w:tabs>
        <w:numPr>
          <w:ilvl w:val="1"/>
          <w:numId w:val="90"/>
        </w:numPr>
        <w:rPr>
          <w:rFonts w:ascii="Arial" w:cs="Arial" w:eastAsia="Arial" w:hAnsi="Arial"/>
          <w:sz w:val="19"/>
          <w:szCs w:val="19"/>
          <w:color w:val="auto"/>
        </w:rPr>
      </w:pPr>
      <w:r>
        <w:rPr>
          <w:rFonts w:ascii="Arial" w:cs="Arial" w:eastAsia="Arial" w:hAnsi="Arial"/>
          <w:sz w:val="19"/>
          <w:szCs w:val="19"/>
          <w:color w:val="auto"/>
        </w:rPr>
        <w:t>If any payment received by the Administrative Agent for the account of an L/C Issuer pursuant to Section 2.03(c)</w:t>
      </w:r>
    </w:p>
    <w:p>
      <w:pPr>
        <w:spacing w:after="0" w:line="5" w:lineRule="exact"/>
        <w:rPr>
          <w:rFonts w:ascii="Arial" w:cs="Arial" w:eastAsia="Arial" w:hAnsi="Arial"/>
          <w:sz w:val="19"/>
          <w:szCs w:val="19"/>
          <w:color w:val="auto"/>
        </w:rPr>
      </w:pPr>
    </w:p>
    <w:p>
      <w:pPr>
        <w:jc w:val="both"/>
        <w:ind w:left="620" w:firstLine="2"/>
        <w:spacing w:after="0" w:line="233" w:lineRule="auto"/>
        <w:tabs>
          <w:tab w:leader="none" w:pos="883" w:val="left"/>
        </w:tabs>
        <w:numPr>
          <w:ilvl w:val="0"/>
          <w:numId w:val="91"/>
        </w:numPr>
        <w:rPr>
          <w:rFonts w:ascii="Arial" w:cs="Arial" w:eastAsia="Arial" w:hAnsi="Arial"/>
          <w:sz w:val="19"/>
          <w:szCs w:val="19"/>
          <w:color w:val="auto"/>
        </w:rPr>
      </w:pPr>
      <w:r>
        <w:rPr>
          <w:rFonts w:ascii="Arial" w:cs="Arial" w:eastAsia="Arial" w:hAnsi="Arial"/>
          <w:sz w:val="19"/>
          <w:szCs w:val="19"/>
          <w:color w:val="auto"/>
        </w:rPr>
        <w:t>is required to be returned under any of the circumstances described in Section 10.06 (including pursuant to any settlement entered into by such L/C Issuer in its discretion), each Appropriate Lender shall pay to the Administrative Agent for the account of such L/C Issuer its Pro Rata Share or other applicable share provided for under this Agreement thereof on demand of the Administrative Agent, plus interest thereon from the date of such demand to the date such amount is returned by such Lender, at a rate per annum equal to the Federal Funds Effective Rate, plus any reasonable administrative, processing or similar fees customarily charged by the Administrative Agent in connection with the foregoing.</w:t>
      </w:r>
    </w:p>
    <w:p>
      <w:pPr>
        <w:spacing w:after="0" w:line="153" w:lineRule="exact"/>
        <w:rPr>
          <w:rFonts w:ascii="Arial" w:cs="Arial" w:eastAsia="Arial" w:hAnsi="Arial"/>
          <w:sz w:val="19"/>
          <w:szCs w:val="19"/>
          <w:color w:val="auto"/>
        </w:rPr>
      </w:pPr>
    </w:p>
    <w:p>
      <w:pPr>
        <w:jc w:val="both"/>
        <w:ind w:firstLine="622"/>
        <w:spacing w:after="0" w:line="235" w:lineRule="auto"/>
        <w:tabs>
          <w:tab w:leader="none" w:pos="1105" w:val="left"/>
        </w:tabs>
        <w:numPr>
          <w:ilvl w:val="0"/>
          <w:numId w:val="92"/>
        </w:numPr>
        <w:rPr>
          <w:rFonts w:ascii="Arial" w:cs="Arial" w:eastAsia="Arial" w:hAnsi="Arial"/>
          <w:sz w:val="20"/>
          <w:szCs w:val="20"/>
          <w:color w:val="auto"/>
        </w:rPr>
      </w:pPr>
      <w:r>
        <w:rPr>
          <w:rFonts w:ascii="Arial" w:cs="Arial" w:eastAsia="Arial" w:hAnsi="Arial"/>
          <w:sz w:val="20"/>
          <w:szCs w:val="20"/>
          <w:i w:val="1"/>
          <w:iCs w:val="1"/>
          <w:color w:val="auto"/>
        </w:rPr>
        <w:t>Obligations Absolute</w:t>
      </w:r>
      <w:r>
        <w:rPr>
          <w:rFonts w:ascii="Arial" w:cs="Arial" w:eastAsia="Arial" w:hAnsi="Arial"/>
          <w:sz w:val="20"/>
          <w:szCs w:val="20"/>
          <w:color w:val="auto"/>
        </w:rPr>
        <w:t>. The obligation of the Borrower to reimburse the relevant L/C Issuer for each drawing under each</w:t>
      </w:r>
      <w:r>
        <w:rPr>
          <w:rFonts w:ascii="Arial" w:cs="Arial" w:eastAsia="Arial" w:hAnsi="Arial"/>
          <w:sz w:val="20"/>
          <w:szCs w:val="20"/>
          <w:i w:val="1"/>
          <w:iCs w:val="1"/>
          <w:color w:val="auto"/>
        </w:rPr>
        <w:t xml:space="preserve"> </w:t>
      </w:r>
      <w:r>
        <w:rPr>
          <w:rFonts w:ascii="Arial" w:cs="Arial" w:eastAsia="Arial" w:hAnsi="Arial"/>
          <w:sz w:val="20"/>
          <w:szCs w:val="20"/>
          <w:color w:val="auto"/>
        </w:rPr>
        <w:t>Letter of Credit issued by it and to repay each L/C Borrowing shall be absolute, unconditional and irrevocable, and shall be paid strictly in accordance with the terms of this Agreement under all circumstances, including the following:</w:t>
      </w:r>
    </w:p>
    <w:p>
      <w:pPr>
        <w:spacing w:after="0" w:line="149" w:lineRule="exact"/>
        <w:rPr>
          <w:rFonts w:ascii="Arial" w:cs="Arial" w:eastAsia="Arial" w:hAnsi="Arial"/>
          <w:sz w:val="20"/>
          <w:szCs w:val="20"/>
          <w:color w:val="auto"/>
        </w:rPr>
      </w:pPr>
    </w:p>
    <w:p>
      <w:pPr>
        <w:ind w:left="620" w:firstLine="621"/>
        <w:spacing w:after="0" w:line="233" w:lineRule="auto"/>
        <w:tabs>
          <w:tab w:leader="none" w:pos="1649" w:val="left"/>
        </w:tabs>
        <w:numPr>
          <w:ilvl w:val="1"/>
          <w:numId w:val="92"/>
        </w:numPr>
        <w:rPr>
          <w:rFonts w:ascii="Arial" w:cs="Arial" w:eastAsia="Arial" w:hAnsi="Arial"/>
          <w:sz w:val="21"/>
          <w:szCs w:val="21"/>
          <w:color w:val="auto"/>
        </w:rPr>
      </w:pPr>
      <w:r>
        <w:rPr>
          <w:rFonts w:ascii="Arial" w:cs="Arial" w:eastAsia="Arial" w:hAnsi="Arial"/>
          <w:sz w:val="21"/>
          <w:szCs w:val="21"/>
          <w:color w:val="auto"/>
        </w:rPr>
        <w:t>any lack of validity or enforceability of such Letter of Credit, this Agreement, or any other agreement or instrument relating thereto;</w:t>
      </w:r>
    </w:p>
    <w:p>
      <w:pPr>
        <w:spacing w:after="0" w:line="149" w:lineRule="exact"/>
        <w:rPr>
          <w:rFonts w:ascii="Arial" w:cs="Arial" w:eastAsia="Arial" w:hAnsi="Arial"/>
          <w:sz w:val="21"/>
          <w:szCs w:val="21"/>
          <w:color w:val="auto"/>
        </w:rPr>
      </w:pPr>
    </w:p>
    <w:p>
      <w:pPr>
        <w:jc w:val="both"/>
        <w:ind w:left="620" w:firstLine="621"/>
        <w:spacing w:after="0" w:line="216" w:lineRule="auto"/>
        <w:tabs>
          <w:tab w:leader="none" w:pos="1744" w:val="left"/>
        </w:tabs>
        <w:numPr>
          <w:ilvl w:val="1"/>
          <w:numId w:val="92"/>
        </w:numPr>
        <w:rPr>
          <w:rFonts w:ascii="Arial" w:cs="Arial" w:eastAsia="Arial" w:hAnsi="Arial"/>
          <w:sz w:val="21"/>
          <w:szCs w:val="21"/>
          <w:color w:val="auto"/>
        </w:rPr>
      </w:pPr>
      <w:r>
        <w:rPr>
          <w:rFonts w:ascii="Arial" w:cs="Arial" w:eastAsia="Arial" w:hAnsi="Arial"/>
          <w:sz w:val="21"/>
          <w:szCs w:val="21"/>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620" w:firstLine="621"/>
        <w:spacing w:after="0" w:line="251" w:lineRule="auto"/>
        <w:tabs>
          <w:tab w:leader="none" w:pos="187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39" w:lineRule="exact"/>
        <w:rPr>
          <w:rFonts w:ascii="Arial" w:cs="Arial" w:eastAsia="Arial" w:hAnsi="Arial"/>
          <w:sz w:val="19"/>
          <w:szCs w:val="19"/>
          <w:color w:val="auto"/>
        </w:rPr>
      </w:pPr>
    </w:p>
    <w:p>
      <w:pPr>
        <w:jc w:val="both"/>
        <w:ind w:left="620" w:firstLine="621"/>
        <w:spacing w:after="0" w:line="227" w:lineRule="auto"/>
        <w:tabs>
          <w:tab w:leader="none" w:pos="1806"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payment by the relevant L/C Issuer under such Letter of Credit against presentation of a draft or certificate that does not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50" w:lineRule="exact"/>
        <w:rPr>
          <w:rFonts w:ascii="Arial" w:cs="Arial" w:eastAsia="Arial" w:hAnsi="Arial"/>
          <w:sz w:val="20"/>
          <w:szCs w:val="20"/>
          <w:color w:val="auto"/>
        </w:rPr>
      </w:pPr>
    </w:p>
    <w:p>
      <w:pPr>
        <w:jc w:val="both"/>
        <w:ind w:left="620" w:firstLine="621"/>
        <w:spacing w:after="0" w:line="224" w:lineRule="auto"/>
        <w:tabs>
          <w:tab w:leader="none" w:pos="1714" w:val="left"/>
        </w:tabs>
        <w:numPr>
          <w:ilvl w:val="0"/>
          <w:numId w:val="93"/>
        </w:numPr>
        <w:rPr>
          <w:rFonts w:ascii="Arial" w:cs="Arial" w:eastAsia="Arial" w:hAnsi="Arial"/>
          <w:sz w:val="21"/>
          <w:szCs w:val="21"/>
          <w:color w:val="auto"/>
        </w:rPr>
      </w:pPr>
      <w:r>
        <w:rPr>
          <w:rFonts w:ascii="Arial" w:cs="Arial" w:eastAsia="Arial" w:hAnsi="Arial"/>
          <w:sz w:val="21"/>
          <w:szCs w:val="21"/>
          <w:color w:val="auto"/>
        </w:rPr>
        <w:t>any exchange, release or non-perfection of any Collateral, or any release or amendment or waiver of or consent to departure from the Guaranty or any other guarantee, for all or any of the Obligations of any Loan Party in respect of such Letter of Credit;</w:t>
      </w:r>
    </w:p>
    <w:p>
      <w:pPr>
        <w:spacing w:after="0" w:line="148" w:lineRule="exact"/>
        <w:rPr>
          <w:rFonts w:ascii="Arial" w:cs="Arial" w:eastAsia="Arial" w:hAnsi="Arial"/>
          <w:sz w:val="21"/>
          <w:szCs w:val="21"/>
          <w:color w:val="auto"/>
        </w:rPr>
      </w:pPr>
    </w:p>
    <w:p>
      <w:pPr>
        <w:ind w:left="620" w:firstLine="621"/>
        <w:spacing w:after="0" w:line="233" w:lineRule="auto"/>
        <w:tabs>
          <w:tab w:leader="none" w:pos="1868" w:val="left"/>
        </w:tabs>
        <w:numPr>
          <w:ilvl w:val="0"/>
          <w:numId w:val="93"/>
        </w:numPr>
        <w:rPr>
          <w:rFonts w:ascii="Arial" w:cs="Arial" w:eastAsia="Arial" w:hAnsi="Arial"/>
          <w:sz w:val="21"/>
          <w:szCs w:val="21"/>
          <w:color w:val="auto"/>
        </w:rPr>
      </w:pPr>
      <w:r>
        <w:rPr>
          <w:rFonts w:ascii="Arial" w:cs="Arial" w:eastAsia="Arial" w:hAnsi="Arial"/>
          <w:sz w:val="21"/>
          <w:szCs w:val="21"/>
          <w:color w:val="auto"/>
        </w:rPr>
        <w:t>any adverse change in the relevant exchange rates or in the availability of Dollars or the relevant Approved Foreign Currency to the Borrower or any Subsidiary or in the relevant currency markets generally; and</w:t>
      </w:r>
    </w:p>
    <w:p>
      <w:pPr>
        <w:spacing w:after="0" w:line="149" w:lineRule="exact"/>
        <w:rPr>
          <w:rFonts w:ascii="Arial" w:cs="Arial" w:eastAsia="Arial" w:hAnsi="Arial"/>
          <w:sz w:val="21"/>
          <w:szCs w:val="21"/>
          <w:color w:val="auto"/>
        </w:rPr>
      </w:pPr>
    </w:p>
    <w:p>
      <w:pPr>
        <w:ind w:left="620" w:firstLine="621"/>
        <w:spacing w:after="0" w:line="250" w:lineRule="auto"/>
        <w:tabs>
          <w:tab w:leader="none" w:pos="1859"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any Loan Party;</w:t>
      </w:r>
    </w:p>
    <w:p>
      <w:pPr>
        <w:spacing w:after="0" w:line="140" w:lineRule="exact"/>
        <w:rPr>
          <w:sz w:val="20"/>
          <w:szCs w:val="20"/>
          <w:color w:val="auto"/>
        </w:rPr>
      </w:pPr>
    </w:p>
    <w:p>
      <w:pPr>
        <w:jc w:val="both"/>
        <w:spacing w:after="0" w:line="216"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foregoing shall not excuse any L/C Issuer from liability to the Borrower to the extent of any direct damages (as</w:t>
      </w:r>
      <w:r>
        <w:rPr>
          <w:rFonts w:ascii="Arial" w:cs="Arial" w:eastAsia="Arial" w:hAnsi="Arial"/>
          <w:sz w:val="21"/>
          <w:szCs w:val="21"/>
          <w:i w:val="1"/>
          <w:iCs w:val="1"/>
          <w:color w:val="auto"/>
        </w:rPr>
        <w:t xml:space="preserve"> </w:t>
      </w:r>
      <w:r>
        <w:rPr>
          <w:rFonts w:ascii="Arial" w:cs="Arial" w:eastAsia="Arial" w:hAnsi="Arial"/>
          <w:sz w:val="21"/>
          <w:szCs w:val="21"/>
          <w:color w:val="auto"/>
        </w:rPr>
        <w:t>opposed to consequential damages, claims in respect of which are waived by the Borrower to the extent permitted by applicable Law) suffered by the Borrower that are caused by such L/C Issuer’s gross negligence or willful misconduct as determined in a final and non-appealable judgment by a court of competent jurisdiction when determining whether drafts and other documents presented under a Letter of Credit comply with the terms thereof.</w:t>
      </w:r>
    </w:p>
    <w:p>
      <w:pPr>
        <w:spacing w:after="0" w:line="151" w:lineRule="exact"/>
        <w:rPr>
          <w:sz w:val="20"/>
          <w:szCs w:val="20"/>
          <w:color w:val="auto"/>
        </w:rPr>
      </w:pPr>
    </w:p>
    <w:p>
      <w:pPr>
        <w:jc w:val="both"/>
        <w:ind w:firstLine="622"/>
        <w:spacing w:after="0" w:line="221" w:lineRule="auto"/>
        <w:tabs>
          <w:tab w:leader="none" w:pos="1044" w:val="left"/>
        </w:tabs>
        <w:numPr>
          <w:ilvl w:val="0"/>
          <w:numId w:val="94"/>
        </w:numPr>
        <w:rPr>
          <w:rFonts w:ascii="Arial" w:cs="Arial" w:eastAsia="Arial" w:hAnsi="Arial"/>
          <w:sz w:val="20"/>
          <w:szCs w:val="20"/>
          <w:color w:val="auto"/>
        </w:rPr>
      </w:pPr>
      <w:r>
        <w:rPr>
          <w:rFonts w:ascii="Arial" w:cs="Arial" w:eastAsia="Arial" w:hAnsi="Arial"/>
          <w:sz w:val="20"/>
          <w:szCs w:val="20"/>
          <w:i w:val="1"/>
          <w:iCs w:val="1"/>
          <w:color w:val="auto"/>
        </w:rPr>
        <w:t>Role of L/C Issuers</w:t>
      </w:r>
      <w:r>
        <w:rPr>
          <w:rFonts w:ascii="Arial" w:cs="Arial" w:eastAsia="Arial" w:hAnsi="Arial"/>
          <w:sz w:val="20"/>
          <w:szCs w:val="20"/>
          <w:color w:val="auto"/>
        </w:rPr>
        <w:t>. Each Lender and the Borrower agree that, in paying any drawing under a Letter of Credit, the relevant</w:t>
      </w:r>
      <w:r>
        <w:rPr>
          <w:rFonts w:ascii="Arial" w:cs="Arial" w:eastAsia="Arial" w:hAnsi="Arial"/>
          <w:sz w:val="20"/>
          <w:szCs w:val="20"/>
          <w:i w:val="1"/>
          <w:iCs w:val="1"/>
          <w:color w:val="auto"/>
        </w:rPr>
        <w:t xml:space="preserve"> </w:t>
      </w:r>
      <w:r>
        <w:rPr>
          <w:rFonts w:ascii="Arial" w:cs="Arial" w:eastAsia="Arial" w:hAnsi="Arial"/>
          <w:sz w:val="20"/>
          <w:szCs w:val="20"/>
          <w:color w:val="auto"/>
        </w:rPr>
        <w:t>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Lenders holding a majority of the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Issuance Request. The Borrower hereby assumes all risks of the acts or omissions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316" w:lineRule="exact"/>
        <w:rPr>
          <w:sz w:val="20"/>
          <w:szCs w:val="20"/>
          <w:color w:val="auto"/>
        </w:rPr>
      </w:pPr>
    </w:p>
    <w:p>
      <w:pPr>
        <w:jc w:val="both"/>
        <w:ind w:firstLine="6"/>
        <w:spacing w:after="0" w:line="229" w:lineRule="auto"/>
        <w:rPr>
          <w:sz w:val="20"/>
          <w:szCs w:val="20"/>
          <w:color w:val="auto"/>
        </w:rPr>
      </w:pPr>
      <w:r>
        <w:rPr>
          <w:rFonts w:ascii="Arial" w:cs="Arial" w:eastAsia="Arial" w:hAnsi="Arial"/>
          <w:sz w:val="19"/>
          <w:szCs w:val="19"/>
          <w:color w:val="auto"/>
        </w:rPr>
        <w:t xml:space="preserve">beneficiary or transferee with respect to its use of any Letter of Credit;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assumption is not intended to, and shall not, preclude the Borrower’s pursuing such rights and remedies as it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clauses (i) through (vii) of Section 2.03(e)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L/C Issuer;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which are caused by such L/C Issuer’s failure to exercise care when determining whether drafts and other documents presented under a Letter of Credit comply with the terms thereof. The parties hereto expressly agree that, in the absence of willful misconduct or gross negligence on the part of the relevant L/C Issuer or such L/C Issuer’s willful or grossly negligent failure to pay under any Letter of Credit after the presentation to it by the beneficiary of a sight draft and certificate(s) strictly complying with the terms and conditions of a Letter of Credit, in each case, as determined in a final and non-appealable judgment by a court of competent jurisdiction, such L/C Issuer shall be deemed to have exercised care in each such determination.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or refuse to accept and make payment upon such documents if such documents are not in compliance with the terms of such Letter of Credit.</w:t>
      </w:r>
    </w:p>
    <w:p>
      <w:pPr>
        <w:spacing w:after="0" w:line="188" w:lineRule="exact"/>
        <w:rPr>
          <w:sz w:val="20"/>
          <w:szCs w:val="20"/>
          <w:color w:val="auto"/>
        </w:rPr>
      </w:pPr>
    </w:p>
    <w:p>
      <w:pPr>
        <w:jc w:val="both"/>
        <w:ind w:firstLine="622"/>
        <w:spacing w:after="0" w:line="231" w:lineRule="auto"/>
        <w:tabs>
          <w:tab w:leader="none" w:pos="1207"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Cash Collateral</w:t>
      </w:r>
      <w:r>
        <w:rPr>
          <w:rFonts w:ascii="Arial" w:cs="Arial" w:eastAsia="Arial" w:hAnsi="Arial"/>
          <w:sz w:val="19"/>
          <w:szCs w:val="19"/>
          <w:color w:val="auto"/>
        </w:rPr>
        <w:t>. If (i) as of the Letter of Credit Expiration Date, any Letter of Credit may for any reason remain</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and partially or wholly undrawn (and without limiting the requirements of Section 2.03(a)(ii)(C)), (ii) any Event of Default occurs and is continuing and the Administrative Agent or the Lenders holding a majority of the Revolving Credit Commitments, as applicable, require the Borrower to Cash Collateralize the L/C Obligations pursuant to Section 8.02 or (iii) an Event of Default set forth under Section 8.01(f) occurs and is continuing, the Borrower shall Cash Collateralize the then Outstanding Amount of all L/C Obligations (in an amount equal to such Outstanding Amount determined as of the date of such Event of Default or the Letter of Credit Expiration Date, as the case may be), and shall do so not later than 2:00 p.m., New York City time on (x) in the case of the immediately preceding clauses (i) and (ii), (1) the Business Day 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clause (iii), the Business Day on which an Event of Default set forth under Section 8.01(f) occurs or, if such day is not a Business Day, the Business Day immediately succeeding such day. At any time that there shall exist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316" w:lineRule="exact"/>
        <w:rPr>
          <w:sz w:val="20"/>
          <w:szCs w:val="20"/>
          <w:color w:val="auto"/>
        </w:rPr>
      </w:pPr>
    </w:p>
    <w:p>
      <w:pPr>
        <w:jc w:val="both"/>
        <w:ind w:firstLine="6"/>
        <w:spacing w:after="0" w:line="229" w:lineRule="auto"/>
        <w:rPr>
          <w:sz w:val="20"/>
          <w:szCs w:val="20"/>
          <w:color w:val="auto"/>
        </w:rPr>
      </w:pPr>
      <w:r>
        <w:rPr>
          <w:rFonts w:ascii="Arial" w:cs="Arial" w:eastAsia="Arial" w:hAnsi="Arial"/>
          <w:sz w:val="19"/>
          <w:szCs w:val="19"/>
          <w:color w:val="auto"/>
        </w:rPr>
        <w:t>immediately upon the request of the Administrative Agent, the L/C Issuer or the Swing Line Lender, the Borrower shall deliver to the Administrative Agent Cash Collateral in an amount sufficient to cover all Fronting Exposure (after giving effect to Section 2.17(a)(iv) and any Cash Collateral provided by the Defaulting Lender). For purposes hereof, “</w:t>
      </w:r>
      <w:r>
        <w:rPr>
          <w:rFonts w:ascii="Arial" w:cs="Arial" w:eastAsia="Arial" w:hAnsi="Arial"/>
          <w:sz w:val="19"/>
          <w:szCs w:val="19"/>
          <w:b w:val="1"/>
          <w:bCs w:val="1"/>
          <w:color w:val="auto"/>
        </w:rPr>
        <w:t>Cash Collateralize</w:t>
      </w:r>
      <w:r>
        <w:rPr>
          <w:rFonts w:ascii="Arial" w:cs="Arial" w:eastAsia="Arial" w:hAnsi="Arial"/>
          <w:sz w:val="19"/>
          <w:szCs w:val="19"/>
          <w:color w:val="auto"/>
        </w:rPr>
        <w:t>” means to pledge and deposit with or deliver to the Administrative Agent, for the benefit of the relevant L/C Issuer and the Appropriate Lenders, as collateral for the L/C Obligations, cash or deposit account balances (“</w:t>
      </w:r>
      <w:r>
        <w:rPr>
          <w:rFonts w:ascii="Arial" w:cs="Arial" w:eastAsia="Arial" w:hAnsi="Arial"/>
          <w:sz w:val="19"/>
          <w:szCs w:val="19"/>
          <w:b w:val="1"/>
          <w:bCs w:val="1"/>
          <w:color w:val="auto"/>
        </w:rPr>
        <w:t>Cash Collateral</w:t>
      </w:r>
      <w:r>
        <w:rPr>
          <w:rFonts w:ascii="Arial" w:cs="Arial" w:eastAsia="Arial" w:hAnsi="Arial"/>
          <w:sz w:val="19"/>
          <w:szCs w:val="19"/>
          <w:color w:val="auto"/>
        </w:rPr>
        <w:t>”) pursuant to documentation in form and substance reasonably satisfactory to the Administrative Agent and the relevant L/C Issuer (which documents are hereby consented to by the Appropriate Lenders). Derivatives of such term have corresponding meanings. The Borrower hereby grants to the Administrative Agent, for the benefit of the L/C Issuers and the Revolving Credit Lenders of the applicable Facility, a security interest in all such cash, deposit accounts and all balances therein and all proceeds of the foregoing. Cash Collateral shall be maintained in a Cash Collateral Account and may be invested in readily available Cash Equivalents as directed by the Borrower. If at any time the Administrative Agent determines that any funds held as Cash Collateral are expressly subject to any right or claim of any Person other than the Administrative Agent (on behalf of the Secured Parties) or that the total amount of such funds is less than the aggregate Outstanding Amount of all L/C Obligations, the Borrower will, forthwith upon demand by the Administrative Agent, pay to the Administrative Agent, as additional funds to be deposited and held in the Cash Collateral Account,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 To the extent any Event of Default giving rise to the requirement to Cash Collateralize any Letter of Credit pursuant to this Section 2.03(g) is cured or otherwise waived by the Required Lenders, then so long as no other Event of Default has occurred and is continuing, all Cash Collateral pledged to Cash Collateralize such Letter of Credit shall be refunded to the Borrower.</w:t>
      </w:r>
    </w:p>
    <w:p>
      <w:pPr>
        <w:spacing w:after="0" w:line="184" w:lineRule="exact"/>
        <w:rPr>
          <w:sz w:val="20"/>
          <w:szCs w:val="20"/>
          <w:color w:val="auto"/>
        </w:rPr>
      </w:pPr>
    </w:p>
    <w:p>
      <w:pPr>
        <w:jc w:val="both"/>
        <w:ind w:firstLine="622"/>
        <w:spacing w:after="0" w:line="220" w:lineRule="auto"/>
        <w:tabs>
          <w:tab w:leader="none" w:pos="1066" w:val="left"/>
        </w:tabs>
        <w:numPr>
          <w:ilvl w:val="0"/>
          <w:numId w:val="96"/>
        </w:numPr>
        <w:rPr>
          <w:rFonts w:ascii="Arial" w:cs="Arial" w:eastAsia="Arial" w:hAnsi="Arial"/>
          <w:sz w:val="20"/>
          <w:szCs w:val="20"/>
          <w:color w:val="auto"/>
        </w:rPr>
      </w:pPr>
      <w:r>
        <w:rPr>
          <w:rFonts w:ascii="Arial" w:cs="Arial" w:eastAsia="Arial" w:hAnsi="Arial"/>
          <w:sz w:val="20"/>
          <w:szCs w:val="20"/>
          <w:i w:val="1"/>
          <w:iCs w:val="1"/>
          <w:color w:val="auto"/>
        </w:rPr>
        <w:t>Letter of Credit Fees</w:t>
      </w:r>
      <w:r>
        <w:rPr>
          <w:rFonts w:ascii="Arial" w:cs="Arial" w:eastAsia="Arial" w:hAnsi="Arial"/>
          <w:sz w:val="20"/>
          <w:szCs w:val="20"/>
          <w:color w:val="auto"/>
        </w:rPr>
        <w:t>. The Borrower shall pay to the Administrative Agent for the account of the Revolving Credit Lenders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for the applicable Revolving Credit Facility (in accordance with their Pro Rata Share or other applicable share provided for under this Agreement) a Letter of Credit fee in Dollars for each Letter of Credit issued pursuant to this Agreement equal to the Applicable Rate for Revolving Credit Loans times the Dollar Equivalent of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Arial" w:cs="Arial" w:eastAsia="Arial" w:hAnsi="Arial"/>
          <w:sz w:val="20"/>
          <w:szCs w:val="20"/>
          <w:i w:val="1"/>
          <w:iCs w:val="1"/>
          <w:color w:val="auto"/>
        </w:rPr>
        <w:t>provided, however</w:t>
      </w:r>
      <w:r>
        <w:rPr>
          <w:rFonts w:ascii="Arial" w:cs="Arial" w:eastAsia="Arial" w:hAnsi="Arial"/>
          <w:sz w:val="20"/>
          <w:szCs w:val="20"/>
          <w:color w:val="auto"/>
        </w:rPr>
        <w:t>, any Letter of Credit fees otherwise payable for the account of a Defaulting Lender with respect to any Letter of Credit as to which such Defaulting Lender has not provided Cash Collateral satisfactory to the L/C Issuer pursuant to this Section 2.03 shall be payable, to the maximum extent permitted by applicable Law, to the other Lenders in accordance with the upward adjustments in their respective Pro Rata Shares allocable to such Letter of Credit pursuant to Section 2.17(a)(iv), with the balance of such fee, if any, payable to the L/C Issuer for its own account. Such Letter of Credit fees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16" w:lineRule="exact"/>
        <w:rPr>
          <w:sz w:val="20"/>
          <w:szCs w:val="20"/>
          <w:color w:val="auto"/>
        </w:rPr>
      </w:pPr>
    </w:p>
    <w:p>
      <w:pPr>
        <w:jc w:val="both"/>
        <w:ind w:firstLine="6"/>
        <w:spacing w:after="0" w:line="219" w:lineRule="auto"/>
        <w:rPr>
          <w:sz w:val="20"/>
          <w:szCs w:val="20"/>
          <w:color w:val="auto"/>
        </w:rPr>
      </w:pPr>
      <w:r>
        <w:rPr>
          <w:rFonts w:ascii="Arial" w:cs="Arial" w:eastAsia="Arial" w:hAnsi="Arial"/>
          <w:sz w:val="20"/>
          <w:szCs w:val="20"/>
          <w:color w:val="auto"/>
        </w:rPr>
        <w:t>computed on a quarterly basis in arrears. Such Letter of Credit fees shall be due and payable in Dollars on the last Business Day of each March, June, September and December, commencing with the first such date to occur after the issuance of such Letter of Credit, on the Letter of Credit Expiration Date and thereafter on demand. If there is any change in any Applicable Rate for Revolving Credit Loans during any quarter, the daily maximum amount of each Letter of Credit shall be computed and multiplied by such Applicable Rate separately for each period during such quarter that such Applicable Rate was in effect.</w:t>
      </w:r>
    </w:p>
    <w:p>
      <w:pPr>
        <w:jc w:val="both"/>
        <w:ind w:firstLine="622"/>
        <w:spacing w:after="0" w:line="244" w:lineRule="auto"/>
        <w:tabs>
          <w:tab w:leader="none" w:pos="1058"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Fronting Fee and Documentary and Processing Charges Payable to L/C Issuers</w:t>
      </w:r>
      <w:r>
        <w:rPr>
          <w:rFonts w:ascii="Arial" w:cs="Arial" w:eastAsia="Arial" w:hAnsi="Arial"/>
          <w:sz w:val="18"/>
          <w:szCs w:val="18"/>
          <w:color w:val="auto"/>
        </w:rPr>
        <w:t>. The Borrower shall pay directly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L/C Issuer for its own account, in Dollars, a fronting fee with respect to each Letter of Credit issued by it equal to 0.125% per annum of the Dollar Equivalent of the aggregate face amount of such Letter of Credit. Such fronting fees shall be computed on a quarterly basis in arrears. Such fronting fees shall be due and payable in Dollars on the last Business Day of each March, June, September and December, commencing with the first such date to occur after the issuance of such Letter of Credit, on the Letter of Credit Expiration Date and thereafter on demand. In addition, the Borrower shall pay directly to each L/C Issuer for its own account, in Dollars, with respect to each Letter of Credit issued by it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150" w:lineRule="exact"/>
        <w:rPr>
          <w:rFonts w:ascii="Arial" w:cs="Arial" w:eastAsia="Arial" w:hAnsi="Arial"/>
          <w:sz w:val="18"/>
          <w:szCs w:val="18"/>
          <w:color w:val="auto"/>
        </w:rPr>
      </w:pPr>
    </w:p>
    <w:p>
      <w:pPr>
        <w:jc w:val="both"/>
        <w:ind w:firstLine="622"/>
        <w:spacing w:after="0" w:line="224" w:lineRule="auto"/>
        <w:tabs>
          <w:tab w:leader="none" w:pos="1084" w:val="left"/>
        </w:tabs>
        <w:numPr>
          <w:ilvl w:val="0"/>
          <w:numId w:val="97"/>
        </w:numPr>
        <w:rPr>
          <w:rFonts w:ascii="Arial" w:cs="Arial" w:eastAsia="Arial" w:hAnsi="Arial"/>
          <w:sz w:val="21"/>
          <w:szCs w:val="21"/>
          <w:color w:val="auto"/>
        </w:rPr>
      </w:pPr>
      <w:r>
        <w:rPr>
          <w:rFonts w:ascii="Arial" w:cs="Arial" w:eastAsia="Arial" w:hAnsi="Arial"/>
          <w:sz w:val="21"/>
          <w:szCs w:val="21"/>
          <w:i w:val="1"/>
          <w:iCs w:val="1"/>
          <w:color w:val="auto"/>
        </w:rPr>
        <w:t>Conflict with Letter of Credit Issuance Request</w:t>
      </w:r>
      <w:r>
        <w:rPr>
          <w:rFonts w:ascii="Arial" w:cs="Arial" w:eastAsia="Arial" w:hAnsi="Arial"/>
          <w:sz w:val="21"/>
          <w:szCs w:val="21"/>
          <w:color w:val="auto"/>
        </w:rPr>
        <w:t>. Notwithstanding anything else to the contrary in this Agreement or any</w:t>
      </w:r>
      <w:r>
        <w:rPr>
          <w:rFonts w:ascii="Arial" w:cs="Arial" w:eastAsia="Arial" w:hAnsi="Arial"/>
          <w:sz w:val="21"/>
          <w:szCs w:val="21"/>
          <w:i w:val="1"/>
          <w:iCs w:val="1"/>
          <w:color w:val="auto"/>
        </w:rPr>
        <w:t xml:space="preserve"> </w:t>
      </w:r>
      <w:r>
        <w:rPr>
          <w:rFonts w:ascii="Arial" w:cs="Arial" w:eastAsia="Arial" w:hAnsi="Arial"/>
          <w:sz w:val="21"/>
          <w:szCs w:val="21"/>
          <w:color w:val="auto"/>
        </w:rPr>
        <w:t>Letter of Credit Issuance Request, in the event of any conflict between the terms hereof and the terms of any Letter of Credit Issuance Request, the terms hereof shall control.</w:t>
      </w:r>
    </w:p>
    <w:p>
      <w:pPr>
        <w:spacing w:after="0" w:line="148" w:lineRule="exact"/>
        <w:rPr>
          <w:rFonts w:ascii="Arial" w:cs="Arial" w:eastAsia="Arial" w:hAnsi="Arial"/>
          <w:sz w:val="21"/>
          <w:szCs w:val="21"/>
          <w:color w:val="auto"/>
        </w:rPr>
      </w:pPr>
    </w:p>
    <w:p>
      <w:pPr>
        <w:jc w:val="both"/>
        <w:ind w:firstLine="622"/>
        <w:spacing w:after="0" w:line="224" w:lineRule="auto"/>
        <w:tabs>
          <w:tab w:leader="none" w:pos="1169" w:val="left"/>
        </w:tabs>
        <w:numPr>
          <w:ilvl w:val="0"/>
          <w:numId w:val="97"/>
        </w:numPr>
        <w:rPr>
          <w:rFonts w:ascii="Arial" w:cs="Arial" w:eastAsia="Arial" w:hAnsi="Arial"/>
          <w:sz w:val="21"/>
          <w:szCs w:val="21"/>
          <w:color w:val="auto"/>
        </w:rPr>
      </w:pPr>
      <w:r>
        <w:rPr>
          <w:rFonts w:ascii="Arial" w:cs="Arial" w:eastAsia="Arial" w:hAnsi="Arial"/>
          <w:sz w:val="21"/>
          <w:szCs w:val="21"/>
          <w:i w:val="1"/>
          <w:iCs w:val="1"/>
          <w:color w:val="auto"/>
        </w:rPr>
        <w:t>Addition of an L/C Issuer</w:t>
      </w:r>
      <w:r>
        <w:rPr>
          <w:rFonts w:ascii="Arial" w:cs="Arial" w:eastAsia="Arial" w:hAnsi="Arial"/>
          <w:sz w:val="21"/>
          <w:szCs w:val="21"/>
          <w:color w:val="auto"/>
        </w:rPr>
        <w:t>. A Revolving Credit Lender may become an additional L/C Issuer hereunder pursuant to a</w:t>
      </w:r>
      <w:r>
        <w:rPr>
          <w:rFonts w:ascii="Arial" w:cs="Arial" w:eastAsia="Arial" w:hAnsi="Arial"/>
          <w:sz w:val="21"/>
          <w:szCs w:val="21"/>
          <w:i w:val="1"/>
          <w:iCs w:val="1"/>
          <w:color w:val="auto"/>
        </w:rPr>
        <w:t xml:space="preserve"> </w:t>
      </w:r>
      <w:r>
        <w:rPr>
          <w:rFonts w:ascii="Arial" w:cs="Arial" w:eastAsia="Arial" w:hAnsi="Arial"/>
          <w:sz w:val="21"/>
          <w:szCs w:val="21"/>
          <w:color w:val="auto"/>
        </w:rPr>
        <w:t>written agreement among the Borrower, the Administrative Agent and such Revolving Credit Lender. The Administrative Agent shall notify the Revolving Credit Lenders of any such additional L/C Issuer.</w:t>
      </w:r>
    </w:p>
    <w:p>
      <w:pPr>
        <w:spacing w:after="0" w:line="148" w:lineRule="exact"/>
        <w:rPr>
          <w:rFonts w:ascii="Arial" w:cs="Arial" w:eastAsia="Arial" w:hAnsi="Arial"/>
          <w:sz w:val="21"/>
          <w:szCs w:val="21"/>
          <w:color w:val="auto"/>
        </w:rPr>
      </w:pPr>
    </w:p>
    <w:p>
      <w:pPr>
        <w:jc w:val="both"/>
        <w:ind w:firstLine="622"/>
        <w:spacing w:after="0" w:line="255" w:lineRule="auto"/>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Letter of Credit Amounts</w:t>
      </w:r>
      <w:r>
        <w:rPr>
          <w:rFonts w:ascii="Arial" w:cs="Arial" w:eastAsia="Arial" w:hAnsi="Arial"/>
          <w:sz w:val="18"/>
          <w:szCs w:val="18"/>
          <w:color w:val="auto"/>
        </w:rPr>
        <w:t>. Unless otherwise specified herein, the amount of a Letter of Credit at any time shall be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the Dollar Equivalent of the stated amount of such Letter of Credit in effect at such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38" w:lineRule="exact"/>
        <w:rPr>
          <w:rFonts w:ascii="Arial" w:cs="Arial" w:eastAsia="Arial" w:hAnsi="Arial"/>
          <w:sz w:val="18"/>
          <w:szCs w:val="18"/>
          <w:color w:val="auto"/>
        </w:rPr>
      </w:pPr>
    </w:p>
    <w:p>
      <w:pPr>
        <w:jc w:val="both"/>
        <w:ind w:firstLine="622"/>
        <w:spacing w:after="0" w:line="219" w:lineRule="auto"/>
        <w:tabs>
          <w:tab w:leader="none" w:pos="1239" w:val="left"/>
        </w:tabs>
        <w:numPr>
          <w:ilvl w:val="0"/>
          <w:numId w:val="97"/>
        </w:numPr>
        <w:rPr>
          <w:rFonts w:ascii="Arial" w:cs="Arial" w:eastAsia="Arial" w:hAnsi="Arial"/>
          <w:sz w:val="21"/>
          <w:szCs w:val="21"/>
          <w:color w:val="auto"/>
        </w:rPr>
      </w:pPr>
      <w:r>
        <w:rPr>
          <w:rFonts w:ascii="Arial" w:cs="Arial" w:eastAsia="Arial" w:hAnsi="Arial"/>
          <w:sz w:val="21"/>
          <w:szCs w:val="21"/>
          <w:i w:val="1"/>
          <w:iCs w:val="1"/>
          <w:color w:val="auto"/>
        </w:rPr>
        <w:t>Reporting</w:t>
      </w:r>
      <w:r>
        <w:rPr>
          <w:rFonts w:ascii="Arial" w:cs="Arial" w:eastAsia="Arial" w:hAnsi="Arial"/>
          <w:sz w:val="21"/>
          <w:szCs w:val="21"/>
          <w:color w:val="auto"/>
        </w:rPr>
        <w:t>. Each L/C Issuer will report in writing to the Administrative Agent (i) on the first Business Day of each</w:t>
      </w:r>
      <w:r>
        <w:rPr>
          <w:rFonts w:ascii="Arial" w:cs="Arial" w:eastAsia="Arial" w:hAnsi="Arial"/>
          <w:sz w:val="21"/>
          <w:szCs w:val="21"/>
          <w:i w:val="1"/>
          <w:iCs w:val="1"/>
          <w:color w:val="auto"/>
        </w:rPr>
        <w:t xml:space="preserve"> </w:t>
      </w:r>
      <w:r>
        <w:rPr>
          <w:rFonts w:ascii="Arial" w:cs="Arial" w:eastAsia="Arial" w:hAnsi="Arial"/>
          <w:sz w:val="21"/>
          <w:szCs w:val="21"/>
          <w:color w:val="auto"/>
        </w:rPr>
        <w:t>calendar month, the aggregate face amount of Letters of Credit issued by it and outstanding as of the last Business Day of the preceding calendar month (and on such other dates as the Administrative Agent may request), (ii) on or prior to each Business Day on which such L/C Issuer expects to issue, amend, renew or extend any Letter of Credit,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16" w:lineRule="exact"/>
        <w:rPr>
          <w:sz w:val="20"/>
          <w:szCs w:val="20"/>
          <w:color w:val="auto"/>
        </w:rPr>
      </w:pPr>
    </w:p>
    <w:p>
      <w:pPr>
        <w:jc w:val="both"/>
        <w:ind w:firstLine="6"/>
        <w:spacing w:after="0" w:line="237" w:lineRule="auto"/>
        <w:rPr>
          <w:sz w:val="20"/>
          <w:szCs w:val="20"/>
          <w:color w:val="auto"/>
        </w:rPr>
      </w:pPr>
      <w:r>
        <w:rPr>
          <w:rFonts w:ascii="Arial" w:cs="Arial" w:eastAsia="Arial" w:hAnsi="Arial"/>
          <w:sz w:val="19"/>
          <w:szCs w:val="19"/>
          <w:color w:val="auto"/>
        </w:rPr>
        <w:t>of such issuance or amendment, and the aggregate face amount of Letters of Credit to be issued, amended, renewed or extended by it and outstanding after giving effect to such issuance, amendment, renewal or extension (and such L/C Issuer shall advise the Administrative Agent on such Business Day whether such issuance, amendment, renewal or extension occurred and whether the amount thereof changed), (iii) on each Business Day on which such L/C Issuer makes any L/C Disbursement, the date and amount of such L/C Disbursement and (iv) on any Business Day on which the Borrower fails to reimburse an L/C Disbursement required to be reimbursed to such L/C Issuer on such day, the date and amount of such failure.</w:t>
      </w:r>
    </w:p>
    <w:p>
      <w:pPr>
        <w:spacing w:after="0" w:line="149" w:lineRule="exact"/>
        <w:rPr>
          <w:sz w:val="20"/>
          <w:szCs w:val="20"/>
          <w:color w:val="auto"/>
        </w:rPr>
      </w:pPr>
    </w:p>
    <w:p>
      <w:pPr>
        <w:jc w:val="both"/>
        <w:ind w:firstLine="622"/>
        <w:spacing w:after="0" w:line="236" w:lineRule="auto"/>
        <w:tabs>
          <w:tab w:leader="none" w:pos="1169" w:val="left"/>
        </w:tabs>
        <w:numPr>
          <w:ilvl w:val="1"/>
          <w:numId w:val="98"/>
        </w:numPr>
        <w:rPr>
          <w:rFonts w:ascii="Arial" w:cs="Arial" w:eastAsia="Arial" w:hAnsi="Arial"/>
          <w:sz w:val="19"/>
          <w:szCs w:val="19"/>
          <w:color w:val="auto"/>
        </w:rPr>
      </w:pPr>
      <w:r>
        <w:rPr>
          <w:rFonts w:ascii="Arial" w:cs="Arial" w:eastAsia="Arial" w:hAnsi="Arial"/>
          <w:sz w:val="19"/>
          <w:szCs w:val="19"/>
          <w:i w:val="1"/>
          <w:iCs w:val="1"/>
          <w:color w:val="auto"/>
        </w:rPr>
        <w:t>Provisions Related to Letters of Credit in respect of Extended Revolving Credit Commitments</w:t>
      </w:r>
      <w:r>
        <w:rPr>
          <w:rFonts w:ascii="Arial" w:cs="Arial" w:eastAsia="Arial" w:hAnsi="Arial"/>
          <w:sz w:val="19"/>
          <w:szCs w:val="19"/>
          <w:color w:val="auto"/>
        </w:rPr>
        <w:t>. If the Letter of Credit</w:t>
      </w:r>
      <w:r>
        <w:rPr>
          <w:rFonts w:ascii="Arial" w:cs="Arial" w:eastAsia="Arial" w:hAnsi="Arial"/>
          <w:sz w:val="19"/>
          <w:szCs w:val="19"/>
          <w:i w:val="1"/>
          <w:iCs w:val="1"/>
          <w:color w:val="auto"/>
        </w:rPr>
        <w:t xml:space="preserve"> </w:t>
      </w:r>
      <w:r>
        <w:rPr>
          <w:rFonts w:ascii="Arial" w:cs="Arial" w:eastAsia="Arial" w:hAnsi="Arial"/>
          <w:sz w:val="19"/>
          <w:szCs w:val="19"/>
          <w:color w:val="auto"/>
        </w:rPr>
        <w:t>Expiration Date in respect of any tranche of Revolving Credit Commitments occurs prior to the expiry date of any Letter of Credit, then</w:t>
      </w:r>
    </w:p>
    <w:p>
      <w:pPr>
        <w:jc w:val="both"/>
        <w:ind w:firstLine="3"/>
        <w:spacing w:after="0" w:line="219" w:lineRule="auto"/>
        <w:tabs>
          <w:tab w:leader="none" w:pos="246"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consented to by the L/C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Sections 2.03(c) and (d))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clause (i), the Borrower shall Cash Collateralize any such Letter of Credit in accordance with Section 2.03(g). Upon the maturity date of any tranche of Revolving Credit Commitments, the sublimit for Letters of Credit may be reduced as agreed between the L/C Issuers and the Borrower, without the consent of any other Person.</w:t>
      </w:r>
    </w:p>
    <w:p>
      <w:pPr>
        <w:spacing w:after="0" w:line="148" w:lineRule="exact"/>
        <w:rPr>
          <w:rFonts w:ascii="Arial" w:cs="Arial" w:eastAsia="Arial" w:hAnsi="Arial"/>
          <w:sz w:val="20"/>
          <w:szCs w:val="20"/>
          <w:color w:val="auto"/>
        </w:rPr>
      </w:pPr>
    </w:p>
    <w:p>
      <w:pPr>
        <w:jc w:val="both"/>
        <w:ind w:firstLine="622"/>
        <w:spacing w:after="0" w:line="222" w:lineRule="auto"/>
        <w:tabs>
          <w:tab w:leader="none" w:pos="1156" w:val="left"/>
        </w:tabs>
        <w:numPr>
          <w:ilvl w:val="1"/>
          <w:numId w:val="99"/>
        </w:numPr>
        <w:rPr>
          <w:rFonts w:ascii="Arial" w:cs="Arial" w:eastAsia="Arial" w:hAnsi="Arial"/>
          <w:sz w:val="20"/>
          <w:szCs w:val="20"/>
          <w:color w:val="auto"/>
        </w:rPr>
      </w:pPr>
      <w:r>
        <w:rPr>
          <w:rFonts w:ascii="Arial" w:cs="Arial" w:eastAsia="Arial" w:hAnsi="Arial"/>
          <w:sz w:val="20"/>
          <w:szCs w:val="20"/>
          <w:i w:val="1"/>
          <w:iCs w:val="1"/>
          <w:color w:val="auto"/>
        </w:rPr>
        <w:t>Letters of Credit Issued for Subsidiaries</w:t>
      </w:r>
      <w:r>
        <w:rPr>
          <w:rFonts w:ascii="Arial" w:cs="Arial" w:eastAsia="Arial" w:hAnsi="Arial"/>
          <w:sz w:val="20"/>
          <w:szCs w:val="20"/>
          <w:color w:val="auto"/>
        </w:rPr>
        <w:t>. Notwithstanding that a Letter of Credit issued or outstanding hereunder is in</w:t>
      </w:r>
      <w:r>
        <w:rPr>
          <w:rFonts w:ascii="Arial" w:cs="Arial" w:eastAsia="Arial" w:hAnsi="Arial"/>
          <w:sz w:val="20"/>
          <w:szCs w:val="20"/>
          <w:i w:val="1"/>
          <w:iCs w:val="1"/>
          <w:color w:val="auto"/>
        </w:rPr>
        <w:t xml:space="preserve"> </w:t>
      </w:r>
      <w:r>
        <w:rPr>
          <w:rFonts w:ascii="Arial" w:cs="Arial" w:eastAsia="Arial" w:hAnsi="Arial"/>
          <w:sz w:val="20"/>
          <w:szCs w:val="20"/>
          <w:color w:val="auto"/>
        </w:rPr>
        <w:t>support of any obligations of, or is for the account of, a Restricted Subsidiary, the Borrower shall be obligated to reimburse the applicable L/C Issuer hereunder for any and all drawings under such Letter of Credit. The Borrower hereby acknowledges that the issuance of Letters of Credit for the account of Restricted Subsidiaries inures to the benefit of the Borrower, and that the Borrower’s business derives substantial benefits from the businesses of such Restricted Subsidiaries. In the event that the Borrower requests any Letter of Credit to be issued for the benefit or account of a Restricted Subsidiary, such Restricted Subsidiary shall deliver documentation (including, without limitation, customary letter of credit requests and reimbursement agreements) as may be reasonably requested by the Administrative Agent or the applicable L/C Issuer.</w:t>
      </w:r>
    </w:p>
    <w:p>
      <w:pPr>
        <w:spacing w:after="0" w:line="154" w:lineRule="exact"/>
        <w:rPr>
          <w:rFonts w:ascii="Arial" w:cs="Arial" w:eastAsia="Arial" w:hAnsi="Arial"/>
          <w:sz w:val="20"/>
          <w:szCs w:val="20"/>
          <w:color w:val="auto"/>
        </w:rPr>
      </w:pPr>
    </w:p>
    <w:p>
      <w:pPr>
        <w:jc w:val="both"/>
        <w:ind w:firstLine="622"/>
        <w:spacing w:after="0" w:line="216" w:lineRule="auto"/>
        <w:tabs>
          <w:tab w:leader="none" w:pos="1156" w:val="left"/>
        </w:tabs>
        <w:numPr>
          <w:ilvl w:val="1"/>
          <w:numId w:val="99"/>
        </w:numPr>
        <w:rPr>
          <w:rFonts w:ascii="Arial" w:cs="Arial" w:eastAsia="Arial" w:hAnsi="Arial"/>
          <w:sz w:val="21"/>
          <w:szCs w:val="21"/>
          <w:color w:val="auto"/>
        </w:rPr>
      </w:pPr>
      <w:r>
        <w:rPr>
          <w:rFonts w:ascii="Arial" w:cs="Arial" w:eastAsia="Arial" w:hAnsi="Arial"/>
          <w:sz w:val="21"/>
          <w:szCs w:val="21"/>
          <w:i w:val="1"/>
          <w:iCs w:val="1"/>
          <w:color w:val="auto"/>
        </w:rPr>
        <w:t>Provisions Related to Extended Revolving Credit Commitments</w:t>
      </w:r>
      <w:r>
        <w:rPr>
          <w:rFonts w:ascii="Arial" w:cs="Arial" w:eastAsia="Arial" w:hAnsi="Arial"/>
          <w:sz w:val="21"/>
          <w:szCs w:val="21"/>
          <w:color w:val="auto"/>
        </w:rPr>
        <w:t>. In connection with the establishment of any Extended</w:t>
      </w:r>
      <w:r>
        <w:rPr>
          <w:rFonts w:ascii="Arial" w:cs="Arial" w:eastAsia="Arial" w:hAnsi="Arial"/>
          <w:sz w:val="21"/>
          <w:szCs w:val="21"/>
          <w:i w:val="1"/>
          <w:iCs w:val="1"/>
          <w:color w:val="auto"/>
        </w:rPr>
        <w:t xml:space="preserve"> </w:t>
      </w:r>
      <w:r>
        <w:rPr>
          <w:rFonts w:ascii="Arial" w:cs="Arial" w:eastAsia="Arial" w:hAnsi="Arial"/>
          <w:sz w:val="21"/>
          <w:szCs w:val="21"/>
          <w:color w:val="auto"/>
        </w:rPr>
        <w:t>Revolving Credit Commitments or Other Revolving Credit Commitments and subject to the availability of unused Commitments with respect to such Class and the satisfaction of the conditions set forth in Section 4.02, the Borrower may with the written consent of the applicable L/C Issuer designate any outstanding Letter of Credit to be a Letter of Credit issued pursuant to such Class of Extended Revolving Credit Commitments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316"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color w:val="auto"/>
        </w:rPr>
        <w:t>Revolving Credit Commitments. Upon such designation such Letter of Credit shall no longer be deemed to be issued and outstanding under such prior Class and shall instead be deemed to be issued and outstanding under such Class of Extended Revolving Credit Commitments or Other Revolving Credit Commitments.</w:t>
      </w:r>
    </w:p>
    <w:p>
      <w:pPr>
        <w:spacing w:after="0" w:line="175" w:lineRule="exact"/>
        <w:rPr>
          <w:sz w:val="20"/>
          <w:szCs w:val="20"/>
          <w:color w:val="auto"/>
        </w:rPr>
      </w:pPr>
    </w:p>
    <w:p>
      <w:pPr>
        <w:jc w:val="both"/>
        <w:ind w:firstLine="622"/>
        <w:spacing w:after="0" w:line="221" w:lineRule="auto"/>
        <w:tabs>
          <w:tab w:leader="none" w:pos="1091" w:val="left"/>
        </w:tabs>
        <w:numPr>
          <w:ilvl w:val="0"/>
          <w:numId w:val="100"/>
        </w:numPr>
        <w:rPr>
          <w:rFonts w:ascii="Arial" w:cs="Arial" w:eastAsia="Arial" w:hAnsi="Arial"/>
          <w:sz w:val="20"/>
          <w:szCs w:val="20"/>
          <w:color w:val="auto"/>
        </w:rPr>
      </w:pPr>
      <w:r>
        <w:rPr>
          <w:rFonts w:ascii="Arial" w:cs="Arial" w:eastAsia="Arial" w:hAnsi="Arial"/>
          <w:sz w:val="20"/>
          <w:szCs w:val="20"/>
          <w:i w:val="1"/>
          <w:iCs w:val="1"/>
          <w:color w:val="auto"/>
        </w:rPr>
        <w:t>Replacement of an L/C Issuer</w:t>
      </w:r>
      <w:r>
        <w:rPr>
          <w:rFonts w:ascii="Arial" w:cs="Arial" w:eastAsia="Arial" w:hAnsi="Arial"/>
          <w:sz w:val="20"/>
          <w:szCs w:val="20"/>
          <w:color w:val="auto"/>
        </w:rPr>
        <w:t>. An L/C Issuer may be replaced at any time by written agreement among the Borrower, the</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Administrative Agent, the replaced L/C Issuer and the successor L/C Issuer. The Administrative Agent shall notify the Lenders of any such replacement of an L/C Issuer. From and after the effective date of any such replacement, (x) the successor L/C Issuer shall have all the rights and obligations of the L/C Issuer being replaced under this Agreement with respect to Letters of Credit to be issued thereafter and (y) references herein to the term “L/C Issuer” shall be deemed to refer to such successor or to any previous L/C Issuer, or to such successor and all current and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56" w:lineRule="exact"/>
        <w:rPr>
          <w:rFonts w:ascii="Arial" w:cs="Arial" w:eastAsia="Arial" w:hAnsi="Arial"/>
          <w:sz w:val="20"/>
          <w:szCs w:val="20"/>
          <w:color w:val="auto"/>
        </w:rPr>
      </w:pPr>
    </w:p>
    <w:p>
      <w:pPr>
        <w:jc w:val="both"/>
        <w:ind w:firstLine="622"/>
        <w:spacing w:after="0" w:line="224" w:lineRule="auto"/>
        <w:tabs>
          <w:tab w:leader="none" w:pos="1096" w:val="left"/>
        </w:tabs>
        <w:numPr>
          <w:ilvl w:val="0"/>
          <w:numId w:val="100"/>
        </w:numPr>
        <w:rPr>
          <w:rFonts w:ascii="Arial" w:cs="Arial" w:eastAsia="Arial" w:hAnsi="Arial"/>
          <w:sz w:val="21"/>
          <w:szCs w:val="21"/>
          <w:color w:val="auto"/>
        </w:rPr>
      </w:pPr>
      <w:r>
        <w:rPr>
          <w:rFonts w:ascii="Arial" w:cs="Arial" w:eastAsia="Arial" w:hAnsi="Arial"/>
          <w:sz w:val="21"/>
          <w:szCs w:val="21"/>
          <w:i w:val="1"/>
          <w:iCs w:val="1"/>
          <w:color w:val="auto"/>
        </w:rPr>
        <w:t>Resignation of an L/C Issuer</w:t>
      </w:r>
      <w:r>
        <w:rPr>
          <w:rFonts w:ascii="Arial" w:cs="Arial" w:eastAsia="Arial" w:hAnsi="Arial"/>
          <w:sz w:val="21"/>
          <w:szCs w:val="21"/>
          <w:color w:val="auto"/>
        </w:rPr>
        <w:t>. Subject to the appointment and acceptance of a successor L/C Issuer, any L/C Issuer may</w:t>
      </w:r>
      <w:r>
        <w:rPr>
          <w:rFonts w:ascii="Arial" w:cs="Arial" w:eastAsia="Arial" w:hAnsi="Arial"/>
          <w:sz w:val="21"/>
          <w:szCs w:val="21"/>
          <w:i w:val="1"/>
          <w:iCs w:val="1"/>
          <w:color w:val="auto"/>
        </w:rPr>
        <w:t xml:space="preserve"> </w:t>
      </w:r>
      <w:r>
        <w:rPr>
          <w:rFonts w:ascii="Arial" w:cs="Arial" w:eastAsia="Arial" w:hAnsi="Arial"/>
          <w:sz w:val="21"/>
          <w:szCs w:val="21"/>
          <w:color w:val="auto"/>
        </w:rPr>
        <w:t>resign as an L/C Issuer at any time upon thirty days’ prior written notice to the Administrative Agent, the Borrower and the Lenders, in which case, such L/C Issuer shall be replaced in accordance with Section 2.03(q) above.</w:t>
      </w:r>
    </w:p>
    <w:p>
      <w:pPr>
        <w:spacing w:after="0" w:line="148" w:lineRule="exact"/>
        <w:rPr>
          <w:rFonts w:ascii="Arial" w:cs="Arial" w:eastAsia="Arial" w:hAnsi="Arial"/>
          <w:sz w:val="21"/>
          <w:szCs w:val="21"/>
          <w:color w:val="auto"/>
        </w:rPr>
      </w:pPr>
    </w:p>
    <w:p>
      <w:pPr>
        <w:ind w:firstLine="622"/>
        <w:spacing w:after="0" w:line="233" w:lineRule="auto"/>
        <w:tabs>
          <w:tab w:leader="none" w:pos="1055" w:val="left"/>
        </w:tabs>
        <w:numPr>
          <w:ilvl w:val="0"/>
          <w:numId w:val="100"/>
        </w:numPr>
        <w:rPr>
          <w:rFonts w:ascii="Arial" w:cs="Arial" w:eastAsia="Arial" w:hAnsi="Arial"/>
          <w:sz w:val="21"/>
          <w:szCs w:val="21"/>
          <w:color w:val="auto"/>
        </w:rPr>
      </w:pPr>
      <w:r>
        <w:rPr>
          <w:rFonts w:ascii="Arial" w:cs="Arial" w:eastAsia="Arial" w:hAnsi="Arial"/>
          <w:sz w:val="21"/>
          <w:szCs w:val="21"/>
          <w:i w:val="1"/>
          <w:iCs w:val="1"/>
          <w:color w:val="auto"/>
        </w:rPr>
        <w:t>Existing Letters of Credit</w:t>
      </w:r>
      <w:r>
        <w:rPr>
          <w:rFonts w:ascii="Arial" w:cs="Arial" w:eastAsia="Arial" w:hAnsi="Arial"/>
          <w:sz w:val="21"/>
          <w:szCs w:val="21"/>
          <w:color w:val="auto"/>
        </w:rPr>
        <w:t>. The parties hereto agree that the Existing Letters of Credit shall be deemed Letters of Credit for</w:t>
      </w:r>
      <w:r>
        <w:rPr>
          <w:rFonts w:ascii="Arial" w:cs="Arial" w:eastAsia="Arial" w:hAnsi="Arial"/>
          <w:sz w:val="21"/>
          <w:szCs w:val="21"/>
          <w:i w:val="1"/>
          <w:iCs w:val="1"/>
          <w:color w:val="auto"/>
        </w:rPr>
        <w:t xml:space="preserve"> </w:t>
      </w:r>
      <w:r>
        <w:rPr>
          <w:rFonts w:ascii="Arial" w:cs="Arial" w:eastAsia="Arial" w:hAnsi="Arial"/>
          <w:sz w:val="21"/>
          <w:szCs w:val="21"/>
          <w:color w:val="auto"/>
        </w:rPr>
        <w:t>all purposes under this Agreement, without any further action by the Borrower.</w:t>
      </w:r>
    </w:p>
    <w:p>
      <w:pPr>
        <w:spacing w:after="0" w:line="150"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i w:val="1"/>
          <w:iCs w:val="1"/>
          <w:color w:val="auto"/>
        </w:rPr>
        <w:t>Swing Line Loans</w:t>
      </w:r>
      <w:r>
        <w:rPr>
          <w:rFonts w:ascii="Arial" w:cs="Arial" w:eastAsia="Arial" w:hAnsi="Arial"/>
          <w:sz w:val="19"/>
          <w:szCs w:val="19"/>
          <w:color w:val="auto"/>
        </w:rPr>
        <w:t xml:space="preserve">. (a) </w:t>
      </w:r>
      <w:r>
        <w:rPr>
          <w:rFonts w:ascii="Arial" w:cs="Arial" w:eastAsia="Arial" w:hAnsi="Arial"/>
          <w:sz w:val="19"/>
          <w:szCs w:val="19"/>
          <w:i w:val="1"/>
          <w:iCs w:val="1"/>
          <w:color w:val="auto"/>
        </w:rPr>
        <w:t>The Swing Line</w:t>
      </w:r>
      <w:r>
        <w:rPr>
          <w:rFonts w:ascii="Arial" w:cs="Arial" w:eastAsia="Arial" w:hAnsi="Arial"/>
          <w:sz w:val="19"/>
          <w:szCs w:val="19"/>
          <w:color w:val="auto"/>
        </w:rPr>
        <w:t>. Subject to the terms and conditions set forth herein, JPMorgan, in its capacity as Swing Line Lender, agrees to make loans in Dollars to the Borrower (each such loan, a “</w:t>
      </w:r>
      <w:r>
        <w:rPr>
          <w:rFonts w:ascii="Arial" w:cs="Arial" w:eastAsia="Arial" w:hAnsi="Arial"/>
          <w:sz w:val="19"/>
          <w:szCs w:val="19"/>
          <w:b w:val="1"/>
          <w:bCs w:val="1"/>
          <w:color w:val="auto"/>
        </w:rPr>
        <w:t>Swing Line Loan</w:t>
      </w:r>
      <w:r>
        <w:rPr>
          <w:rFonts w:ascii="Arial" w:cs="Arial" w:eastAsia="Arial" w:hAnsi="Arial"/>
          <w:sz w:val="19"/>
          <w:szCs w:val="19"/>
          <w:color w:val="auto"/>
        </w:rPr>
        <w:t xml:space="preserve">”), from time to time on any Business Day during the period beginning on the Business Day after the Restatement Date and until the Maturity Date of the Revolving Credit Facility in an aggregate principal amount not to exceed at any time outstanding the amount of the Swing Line Sublimit, notwithstanding the fact that such Swing Line Loans, when aggregated with the Pro Rata Share or other applicable share provided for under this Agreement of the Outstanding Amount of Revolving Credit Loans and L/C Obligations of the Lender acting as Swing Line Lender, may exceed the amount of such Swing Line Lender’s Revolving Credit Commitment;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any Swing Line Loan, (i) the Revolving Credit Exposure shall not exceed the aggregate Revolving Credit Commitments and</w:t>
      </w:r>
    </w:p>
    <w:p>
      <w:pPr>
        <w:jc w:val="both"/>
        <w:ind w:firstLine="3"/>
        <w:spacing w:after="0" w:line="235" w:lineRule="auto"/>
        <w:tabs>
          <w:tab w:leader="none" w:pos="33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aggregate Outstanding Amount of the Revolving Credit Loans of any Lender, plus such Lender’s Pro Rata Share or other applicable share provided for under this Agreement of the Outstanding Amount of all L/C Obligations, plus such Lender’s Pro Rata Share or other applicable share provided for under this Agreement of the Outstanding Amount of all Swing Line Loans shall not exceed such Lender’s Revolving Credit Commitment then in effect;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Borrower shall not use the proceeds of any Swing Line Loan to refinance any outstanding Swing Line Loan. Within the foregoing limits, and subject to the other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316" w:lineRule="exact"/>
        <w:rPr>
          <w:sz w:val="20"/>
          <w:szCs w:val="20"/>
          <w:color w:val="auto"/>
        </w:rPr>
      </w:pPr>
    </w:p>
    <w:p>
      <w:pPr>
        <w:jc w:val="both"/>
        <w:ind w:firstLine="6"/>
        <w:spacing w:after="0" w:line="216" w:lineRule="auto"/>
        <w:rPr>
          <w:sz w:val="20"/>
          <w:szCs w:val="20"/>
          <w:color w:val="auto"/>
        </w:rPr>
      </w:pPr>
      <w:r>
        <w:rPr>
          <w:rFonts w:ascii="Arial" w:cs="Arial" w:eastAsia="Arial" w:hAnsi="Arial"/>
          <w:sz w:val="21"/>
          <w:szCs w:val="21"/>
          <w:color w:val="auto"/>
        </w:rPr>
        <w:t>conditions hereof, the Borrower may borrow under this Section 2.04, prepay under Section 2.05, and reborrow under this Section 2.04.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Lender’s Pro Rata Share or other applicable share provided for under this Agreement times the amount of such Swing Line Loan.</w:t>
      </w:r>
    </w:p>
    <w:p>
      <w:pPr>
        <w:spacing w:after="0" w:line="177" w:lineRule="exact"/>
        <w:rPr>
          <w:sz w:val="20"/>
          <w:szCs w:val="20"/>
          <w:color w:val="auto"/>
        </w:rPr>
      </w:pPr>
    </w:p>
    <w:p>
      <w:pPr>
        <w:jc w:val="both"/>
        <w:ind w:firstLine="622"/>
        <w:spacing w:after="0" w:line="229" w:lineRule="auto"/>
        <w:tabs>
          <w:tab w:leader="none" w:pos="1117"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Borrowing Procedures</w:t>
      </w:r>
      <w:r>
        <w:rPr>
          <w:rFonts w:ascii="Arial" w:cs="Arial" w:eastAsia="Arial" w:hAnsi="Arial"/>
          <w:sz w:val="19"/>
          <w:szCs w:val="19"/>
          <w:color w:val="auto"/>
        </w:rPr>
        <w:t>. Each Swing Line Borrowing shall be made upon the Borrower’s irrevocable notice to the Swing</w:t>
      </w:r>
      <w:r>
        <w:rPr>
          <w:rFonts w:ascii="Arial" w:cs="Arial" w:eastAsia="Arial" w:hAnsi="Arial"/>
          <w:sz w:val="19"/>
          <w:szCs w:val="19"/>
          <w:i w:val="1"/>
          <w:iCs w:val="1"/>
          <w:color w:val="auto"/>
        </w:rPr>
        <w:t xml:space="preserve"> </w:t>
      </w:r>
      <w:r>
        <w:rPr>
          <w:rFonts w:ascii="Arial" w:cs="Arial" w:eastAsia="Arial" w:hAnsi="Arial"/>
          <w:sz w:val="19"/>
          <w:szCs w:val="19"/>
          <w:color w:val="auto"/>
        </w:rPr>
        <w:t>Line Lender and the Administrative Agent, which may be given by telephone or Swing Line Loan Notice. Each such notice must be received by the Swing Line Lender and the Administrative Agent not later than 1:00 p.m. New York City time on the requested borrowing date and shall specify (i) the principal amount to be borrowed, which principal amount shall be a minimum of $250,000 (and any amount in excess of $250,000 shall be in integral multiples of $50,000)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Swing Line Loan Notice (by telephone or in writing),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New York City time on the date of the proposed Swing Line Borrowing (A) directing the Swing Line Lender not to make such Swing Line Loan as a result of the limitations set forth in the first proviso to the first sentence of Section 2.04(a), or (B) that one or more of the applicable conditions specified in Section 4.02 is not then satisfied, then, subject to the terms and conditions hereof, the Swing Line Lender will, not later than 3:00 p.m. New York City time on the borrowing date specified in such Swing Line Loan Notice, make the amount of its Swing Line Loan available to the Borrower at its office by crediting the account of the Borrower on the books of the Swing Line Lender in immediately available funds. Notwithstanding anything to the contrary contained in this Section 2.04 or elsewhere in this Agreement, the Swing Line Lender shall not be obligated to make any Swing Line Loan at a time when a Revolving Credit Lender is a Defaulting Lender unless the Swing Line Lender has entered into arrangements reasonably satisfactory to it and the Borrower to eliminate the Swing Line Lender’s Fronting Exposure (after giving effect to Section 2.17(a)(iv))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Pro Rata Share of the outstanding Swing Line Loans.</w:t>
      </w:r>
    </w:p>
    <w:p>
      <w:pPr>
        <w:spacing w:after="0" w:line="155" w:lineRule="exact"/>
        <w:rPr>
          <w:rFonts w:ascii="Arial" w:cs="Arial" w:eastAsia="Arial" w:hAnsi="Arial"/>
          <w:sz w:val="19"/>
          <w:szCs w:val="19"/>
          <w:color w:val="auto"/>
        </w:rPr>
      </w:pPr>
    </w:p>
    <w:p>
      <w:pPr>
        <w:ind w:left="1060" w:hanging="438"/>
        <w:spacing w:after="0"/>
        <w:tabs>
          <w:tab w:leader="none" w:pos="1060" w:val="left"/>
        </w:tabs>
        <w:numPr>
          <w:ilvl w:val="0"/>
          <w:numId w:val="102"/>
        </w:numPr>
        <w:rPr>
          <w:rFonts w:ascii="Arial" w:cs="Arial" w:eastAsia="Arial" w:hAnsi="Arial"/>
          <w:sz w:val="21"/>
          <w:szCs w:val="21"/>
          <w:color w:val="auto"/>
        </w:rPr>
      </w:pPr>
      <w:r>
        <w:rPr>
          <w:rFonts w:ascii="Arial" w:cs="Arial" w:eastAsia="Arial" w:hAnsi="Arial"/>
          <w:sz w:val="21"/>
          <w:szCs w:val="21"/>
          <w:i w:val="1"/>
          <w:iCs w:val="1"/>
          <w:color w:val="auto"/>
        </w:rPr>
        <w:t>Refinancing of Swing Line Loans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620" w:firstLine="621"/>
        <w:spacing w:after="0" w:line="233" w:lineRule="auto"/>
        <w:tabs>
          <w:tab w:leader="none" w:pos="1735"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The Swing Line Lender at any time in its sole and absolute discretion may request, on behalf of the Borrower (which hereby irrevocably authorizes such Swing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316" w:lineRule="exact"/>
        <w:rPr>
          <w:sz w:val="20"/>
          <w:szCs w:val="20"/>
          <w:color w:val="auto"/>
        </w:rPr>
      </w:pPr>
    </w:p>
    <w:p>
      <w:pPr>
        <w:jc w:val="both"/>
        <w:ind w:firstLine="6"/>
        <w:spacing w:after="0" w:line="231" w:lineRule="auto"/>
        <w:rPr>
          <w:sz w:val="20"/>
          <w:szCs w:val="20"/>
          <w:color w:val="auto"/>
        </w:rPr>
      </w:pPr>
      <w:r>
        <w:rPr>
          <w:rFonts w:ascii="Arial" w:cs="Arial" w:eastAsia="Arial" w:hAnsi="Arial"/>
          <w:sz w:val="19"/>
          <w:szCs w:val="19"/>
          <w:color w:val="auto"/>
        </w:rPr>
        <w:t>Lender to so request on its behalf), that each Revolving Credit Lender make a Base Rate Loan in an amount equal to such Lender’s Pro Rata Share or other applicable share provided for under this Agreement of the amount of Swing 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aggregate Revolving Credit Commitments and the conditions set forth in Section 4.02. The Swing Line Lender shall furnish the Borrower with a copy of the applicable Committed Loan Notice promptly after delivering such notice to the Administrative Agent. Each Revolving Credit Lender shall make an amount equal to its Pro Rata Share or other applicable share provided for under this Agreement of the amount specified in such Committed Loan Notice available to the Administrative Agent in Same Day Funds for the account of the Swing Line Lender at the Administrative Agent’s Office for Dollar-denominated payments not later than 1:00 p.m. New York City time on the day specified in such Committed Loan Notice, whereupon, subject to Section 2.04(c)(ii), each Revolving Credit Lender that so makes funds available shall be deemed to have made a Base Rate Loan to the Borrower in such amount. The Administrative Agent shall remit the funds so received to the Swing Line Lender.</w:t>
      </w:r>
    </w:p>
    <w:p>
      <w:pPr>
        <w:spacing w:after="0" w:line="154" w:lineRule="exact"/>
        <w:rPr>
          <w:sz w:val="20"/>
          <w:szCs w:val="20"/>
          <w:color w:val="auto"/>
        </w:rPr>
      </w:pPr>
    </w:p>
    <w:p>
      <w:pPr>
        <w:jc w:val="both"/>
        <w:ind w:firstLine="621"/>
        <w:spacing w:after="0" w:line="239" w:lineRule="auto"/>
        <w:tabs>
          <w:tab w:leader="none" w:pos="11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for any reason any Swing Line Loan cannot be refinanced by such a Revolving Credit Borrowing in accordance with Section 2.04(c)(i),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Section 2.04(c)(i) shall be deemed payment in respect of such participation.</w:t>
      </w:r>
    </w:p>
    <w:p>
      <w:pPr>
        <w:spacing w:after="0" w:line="149" w:lineRule="exact"/>
        <w:rPr>
          <w:rFonts w:ascii="Arial" w:cs="Arial" w:eastAsia="Arial" w:hAnsi="Arial"/>
          <w:sz w:val="19"/>
          <w:szCs w:val="19"/>
          <w:color w:val="auto"/>
        </w:rPr>
      </w:pPr>
    </w:p>
    <w:p>
      <w:pPr>
        <w:jc w:val="both"/>
        <w:ind w:firstLine="621"/>
        <w:spacing w:after="0" w:line="221" w:lineRule="auto"/>
        <w:tabs>
          <w:tab w:leader="none" w:pos="117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If any Revolving Credit Lender fails to make available to the Administrative Agent for the account of the Swing Line Lender any amount required to be paid by the Lender pursuant to the foregoing provisions of this Section 2.04(c) by the time specified in Section 2.04(c)(i),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Effective Rate from time to time in effect, plus any reasonable administrative, processing or similar fees customarily charged by the Swing Line Lender in connection with the foregoing. A certificate of the Swing Line Lender submitted to any Lender (through the Administrative Agent) with respect to any amounts owing under this clause (iii) shall be conclusive absent manifest error.</w:t>
      </w:r>
    </w:p>
    <w:p>
      <w:pPr>
        <w:spacing w:after="0" w:line="156" w:lineRule="exact"/>
        <w:rPr>
          <w:rFonts w:ascii="Arial" w:cs="Arial" w:eastAsia="Arial" w:hAnsi="Arial"/>
          <w:sz w:val="20"/>
          <w:szCs w:val="20"/>
          <w:color w:val="auto"/>
        </w:rPr>
      </w:pPr>
    </w:p>
    <w:p>
      <w:pPr>
        <w:jc w:val="both"/>
        <w:ind w:firstLine="621"/>
        <w:spacing w:after="0" w:line="235" w:lineRule="auto"/>
        <w:tabs>
          <w:tab w:leader="none" w:pos="129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Each Revolving Credit Lender’s obligation to make Revolving Credit Loans or to purchase and fund risk participations in Swing Line Loans pursuant to this Section 2.04(c) shall be absolute and unconditional and shall not be affected by any circumstance, including (A) any setoff, counterclaim, recoupment, defense or other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105</w:t>
      </w:r>
    </w:p>
    <w:p>
      <w:pPr>
        <w:sectPr>
          <w:pgSz w:w="11900" w:h="16838" w:orient="portrait"/>
          <w:cols w:equalWidth="0" w:num="1">
            <w:col w:w="10620"/>
          </w:cols>
          <w:pgMar w:left="940" w:top="1440" w:right="339" w:bottom="1440" w:gutter="0" w:footer="0" w:header="0"/>
        </w:sectPr>
      </w:pPr>
    </w:p>
    <w:bookmarkStart w:id="153" w:name="page154"/>
    <w:bookmarkEnd w:id="153"/>
    <w:p>
      <w:pPr>
        <w:spacing w:after="0" w:line="316" w:lineRule="exact"/>
        <w:rPr>
          <w:sz w:val="20"/>
          <w:szCs w:val="20"/>
          <w:color w:val="auto"/>
        </w:rPr>
      </w:pPr>
    </w:p>
    <w:p>
      <w:pPr>
        <w:jc w:val="both"/>
        <w:ind w:left="620" w:firstLine="6"/>
        <w:spacing w:after="0" w:line="244" w:lineRule="auto"/>
        <w:rPr>
          <w:sz w:val="20"/>
          <w:szCs w:val="20"/>
          <w:color w:val="auto"/>
        </w:rPr>
      </w:pPr>
      <w:r>
        <w:rPr>
          <w:rFonts w:ascii="Arial" w:cs="Arial" w:eastAsia="Arial" w:hAnsi="Arial"/>
          <w:sz w:val="18"/>
          <w:szCs w:val="18"/>
          <w:color w:val="auto"/>
        </w:rPr>
        <w:t xml:space="preserve">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Revolving Credit Lender’s obligation to make Revolving Credit Loans pursuant to this Section 2.04(c) (but not to purchase and fund risk participations in Swing Line Loans) is subject to the conditions set forth in Section</w:t>
      </w:r>
    </w:p>
    <w:p>
      <w:pPr>
        <w:spacing w:after="0" w:line="1" w:lineRule="exact"/>
        <w:rPr>
          <w:sz w:val="20"/>
          <w:szCs w:val="20"/>
          <w:color w:val="auto"/>
        </w:rPr>
      </w:pPr>
    </w:p>
    <w:p>
      <w:pPr>
        <w:jc w:val="both"/>
        <w:ind w:left="620"/>
        <w:spacing w:after="0" w:line="224" w:lineRule="auto"/>
        <w:rPr>
          <w:sz w:val="20"/>
          <w:szCs w:val="20"/>
          <w:color w:val="auto"/>
        </w:rPr>
      </w:pPr>
      <w:r>
        <w:rPr>
          <w:rFonts w:ascii="Arial" w:cs="Arial" w:eastAsia="Arial" w:hAnsi="Arial"/>
          <w:sz w:val="21"/>
          <w:szCs w:val="21"/>
          <w:color w:val="auto"/>
        </w:rPr>
        <w:t>4.02. No such funding of risk participations shall relieve or otherwise impair the obligation of the Borrower to repay Swing Line Loans, together with interest as provided herein.</w:t>
      </w:r>
    </w:p>
    <w:p>
      <w:pPr>
        <w:spacing w:after="0" w:line="150" w:lineRule="exact"/>
        <w:rPr>
          <w:sz w:val="20"/>
          <w:szCs w:val="20"/>
          <w:color w:val="auto"/>
        </w:rPr>
      </w:pPr>
    </w:p>
    <w:p>
      <w:pPr>
        <w:ind w:left="1060" w:hanging="438"/>
        <w:spacing w:after="0"/>
        <w:tabs>
          <w:tab w:leader="none" w:pos="1060" w:val="left"/>
        </w:tabs>
        <w:numPr>
          <w:ilvl w:val="0"/>
          <w:numId w:val="104"/>
        </w:numPr>
        <w:rPr>
          <w:rFonts w:ascii="Arial" w:cs="Arial" w:eastAsia="Arial" w:hAnsi="Arial"/>
          <w:sz w:val="21"/>
          <w:szCs w:val="21"/>
          <w:color w:val="auto"/>
        </w:rPr>
      </w:pPr>
      <w:r>
        <w:rPr>
          <w:rFonts w:ascii="Arial" w:cs="Arial" w:eastAsia="Arial" w:hAnsi="Arial"/>
          <w:sz w:val="21"/>
          <w:szCs w:val="21"/>
          <w:i w:val="1"/>
          <w:iCs w:val="1"/>
          <w:color w:val="auto"/>
        </w:rPr>
        <w:t>Repayment of Participations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jc w:val="both"/>
        <w:ind w:left="620" w:firstLine="621"/>
        <w:spacing w:after="0" w:line="227" w:lineRule="auto"/>
        <w:tabs>
          <w:tab w:leader="none" w:pos="164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At any time after any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50" w:lineRule="exact"/>
        <w:rPr>
          <w:rFonts w:ascii="Arial" w:cs="Arial" w:eastAsia="Arial" w:hAnsi="Arial"/>
          <w:sz w:val="20"/>
          <w:szCs w:val="20"/>
          <w:color w:val="auto"/>
        </w:rPr>
      </w:pPr>
    </w:p>
    <w:p>
      <w:pPr>
        <w:jc w:val="both"/>
        <w:ind w:left="620" w:firstLine="621"/>
        <w:spacing w:after="0" w:line="213" w:lineRule="auto"/>
        <w:tabs>
          <w:tab w:leader="none" w:pos="1751" w:val="left"/>
        </w:tabs>
        <w:numPr>
          <w:ilvl w:val="1"/>
          <w:numId w:val="104"/>
        </w:numPr>
        <w:rPr>
          <w:rFonts w:ascii="Arial" w:cs="Arial" w:eastAsia="Arial" w:hAnsi="Arial"/>
          <w:sz w:val="21"/>
          <w:szCs w:val="21"/>
          <w:color w:val="auto"/>
        </w:rPr>
      </w:pPr>
      <w:r>
        <w:rPr>
          <w:rFonts w:ascii="Arial" w:cs="Arial" w:eastAsia="Arial" w:hAnsi="Arial"/>
          <w:sz w:val="21"/>
          <w:szCs w:val="21"/>
          <w:color w:val="auto"/>
        </w:rPr>
        <w:t>If any payment received by the Swing Line Lender in respect of principal or interest on any Swing Line Loan is required to be returned by the Swing Line Lender under any of the circumstances described in Section 10.06 (including pursuant to any settlement entered into by the Swing Line Lender in its discretion), on demand of the Administrative Agent each Revolving Credit Lender shall pay to the Swing Line Lender its Pro Rata Share or other applicable share provided for under this Agreement thereof, plus interest thereon from the date of such demand to the date such amount is returned, at a rate per annum equal to the Federal Funds Effective Rate. The Administrative Agent will make such demand upon the request in writing of the Swing Line Lender.</w:t>
      </w:r>
    </w:p>
    <w:p>
      <w:pPr>
        <w:spacing w:after="0" w:line="149" w:lineRule="exact"/>
        <w:rPr>
          <w:rFonts w:ascii="Arial" w:cs="Arial" w:eastAsia="Arial" w:hAnsi="Arial"/>
          <w:sz w:val="21"/>
          <w:szCs w:val="21"/>
          <w:color w:val="auto"/>
        </w:rPr>
      </w:pPr>
    </w:p>
    <w:p>
      <w:pPr>
        <w:jc w:val="both"/>
        <w:ind w:firstLine="622"/>
        <w:spacing w:after="0" w:line="219" w:lineRule="auto"/>
        <w:tabs>
          <w:tab w:leader="none" w:pos="1118" w:val="left"/>
        </w:tabs>
        <w:numPr>
          <w:ilvl w:val="0"/>
          <w:numId w:val="104"/>
        </w:numPr>
        <w:rPr>
          <w:rFonts w:ascii="Arial" w:cs="Arial" w:eastAsia="Arial" w:hAnsi="Arial"/>
          <w:sz w:val="21"/>
          <w:szCs w:val="21"/>
          <w:color w:val="auto"/>
        </w:rPr>
      </w:pPr>
      <w:r>
        <w:rPr>
          <w:rFonts w:ascii="Arial" w:cs="Arial" w:eastAsia="Arial" w:hAnsi="Arial"/>
          <w:sz w:val="21"/>
          <w:szCs w:val="21"/>
          <w:i w:val="1"/>
          <w:iCs w:val="1"/>
          <w:color w:val="auto"/>
        </w:rPr>
        <w:t>Interest for Account of Swing Line Lender</w:t>
      </w:r>
      <w:r>
        <w:rPr>
          <w:rFonts w:ascii="Arial" w:cs="Arial" w:eastAsia="Arial" w:hAnsi="Arial"/>
          <w:sz w:val="21"/>
          <w:szCs w:val="21"/>
          <w:color w:val="auto"/>
        </w:rPr>
        <w:t>. The Swing Line Lender shall be responsible for invoicing the Borrower for</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on the Swing Line Loans. Until each Revolving Credit Lender funds its Base Rate Loan or risk participation pursuant to this Section 2.04 to refinance such Lender’s Pro Rata Share of any Swing Line Loan, interest in respect of such Pro Rata Share shall be solely for the account of the Swing Line Lender.</w:t>
      </w:r>
    </w:p>
    <w:p>
      <w:pPr>
        <w:spacing w:after="0" w:line="149" w:lineRule="exact"/>
        <w:rPr>
          <w:rFonts w:ascii="Arial" w:cs="Arial" w:eastAsia="Arial" w:hAnsi="Arial"/>
          <w:sz w:val="21"/>
          <w:szCs w:val="21"/>
          <w:color w:val="auto"/>
        </w:rPr>
      </w:pPr>
    </w:p>
    <w:p>
      <w:pPr>
        <w:ind w:firstLine="622"/>
        <w:spacing w:after="0" w:line="233" w:lineRule="auto"/>
        <w:tabs>
          <w:tab w:leader="none" w:pos="1057" w:val="left"/>
        </w:tabs>
        <w:numPr>
          <w:ilvl w:val="0"/>
          <w:numId w:val="104"/>
        </w:numPr>
        <w:rPr>
          <w:rFonts w:ascii="Arial" w:cs="Arial" w:eastAsia="Arial" w:hAnsi="Arial"/>
          <w:sz w:val="21"/>
          <w:szCs w:val="21"/>
          <w:color w:val="auto"/>
        </w:rPr>
      </w:pPr>
      <w:r>
        <w:rPr>
          <w:rFonts w:ascii="Arial" w:cs="Arial" w:eastAsia="Arial" w:hAnsi="Arial"/>
          <w:sz w:val="21"/>
          <w:szCs w:val="21"/>
          <w:i w:val="1"/>
          <w:iCs w:val="1"/>
          <w:color w:val="auto"/>
        </w:rPr>
        <w:t>Payments Directly to Swing Line Lender</w:t>
      </w:r>
      <w:r>
        <w:rPr>
          <w:rFonts w:ascii="Arial" w:cs="Arial" w:eastAsia="Arial" w:hAnsi="Arial"/>
          <w:sz w:val="21"/>
          <w:szCs w:val="21"/>
          <w:color w:val="auto"/>
        </w:rPr>
        <w:t>. The Borrower shall make all payments of principal and interest in respect of the</w:t>
      </w:r>
      <w:r>
        <w:rPr>
          <w:rFonts w:ascii="Arial" w:cs="Arial" w:eastAsia="Arial" w:hAnsi="Arial"/>
          <w:sz w:val="21"/>
          <w:szCs w:val="21"/>
          <w:i w:val="1"/>
          <w:iCs w:val="1"/>
          <w:color w:val="auto"/>
        </w:rPr>
        <w:t xml:space="preserve"> </w:t>
      </w:r>
      <w:r>
        <w:rPr>
          <w:rFonts w:ascii="Arial" w:cs="Arial" w:eastAsia="Arial" w:hAnsi="Arial"/>
          <w:sz w:val="21"/>
          <w:szCs w:val="21"/>
          <w:color w:val="auto"/>
        </w:rPr>
        <w:t>Swing Line Loans directly to the Swing Line Lender.</w:t>
      </w:r>
    </w:p>
    <w:p>
      <w:pPr>
        <w:spacing w:after="0" w:line="149" w:lineRule="exact"/>
        <w:rPr>
          <w:rFonts w:ascii="Arial" w:cs="Arial" w:eastAsia="Arial" w:hAnsi="Arial"/>
          <w:sz w:val="21"/>
          <w:szCs w:val="21"/>
          <w:color w:val="auto"/>
        </w:rPr>
      </w:pPr>
    </w:p>
    <w:p>
      <w:pPr>
        <w:jc w:val="both"/>
        <w:ind w:firstLine="622"/>
        <w:spacing w:after="0" w:line="237" w:lineRule="auto"/>
        <w:tabs>
          <w:tab w:leader="none" w:pos="1091" w:val="left"/>
        </w:tabs>
        <w:numPr>
          <w:ilvl w:val="0"/>
          <w:numId w:val="104"/>
        </w:numPr>
        <w:rPr>
          <w:rFonts w:ascii="Arial" w:cs="Arial" w:eastAsia="Arial" w:hAnsi="Arial"/>
          <w:sz w:val="19"/>
          <w:szCs w:val="19"/>
          <w:color w:val="auto"/>
        </w:rPr>
      </w:pPr>
      <w:r>
        <w:rPr>
          <w:rFonts w:ascii="Arial" w:cs="Arial" w:eastAsia="Arial" w:hAnsi="Arial"/>
          <w:sz w:val="19"/>
          <w:szCs w:val="19"/>
          <w:i w:val="1"/>
          <w:iCs w:val="1"/>
          <w:color w:val="auto"/>
        </w:rPr>
        <w:t>Provisions Related to Extended Revolving Credit Commitments</w:t>
      </w:r>
      <w:r>
        <w:rPr>
          <w:rFonts w:ascii="Arial" w:cs="Arial" w:eastAsia="Arial" w:hAnsi="Arial"/>
          <w:sz w:val="19"/>
          <w:szCs w:val="19"/>
          <w:color w:val="auto"/>
        </w:rPr>
        <w:t>. If the maturity date shall have occurred in respect of any</w:t>
      </w:r>
      <w:r>
        <w:rPr>
          <w:rFonts w:ascii="Arial" w:cs="Arial" w:eastAsia="Arial" w:hAnsi="Arial"/>
          <w:sz w:val="19"/>
          <w:szCs w:val="19"/>
          <w:i w:val="1"/>
          <w:iCs w:val="1"/>
          <w:color w:val="auto"/>
        </w:rPr>
        <w:t xml:space="preserve"> </w:t>
      </w:r>
      <w:r>
        <w:rPr>
          <w:rFonts w:ascii="Arial" w:cs="Arial" w:eastAsia="Arial" w:hAnsi="Arial"/>
          <w:sz w:val="19"/>
          <w:szCs w:val="19"/>
          <w:color w:val="auto"/>
        </w:rPr>
        <w:t>tranche of Revolving Credit Commitments (the “</w:t>
      </w:r>
      <w:r>
        <w:rPr>
          <w:rFonts w:ascii="Arial" w:cs="Arial" w:eastAsia="Arial" w:hAnsi="Arial"/>
          <w:sz w:val="19"/>
          <w:szCs w:val="19"/>
          <w:b w:val="1"/>
          <w:bCs w:val="1"/>
          <w:color w:val="auto"/>
        </w:rPr>
        <w:t>Expiring Credit Commitment</w:t>
      </w:r>
      <w:r>
        <w:rPr>
          <w:rFonts w:ascii="Arial" w:cs="Arial" w:eastAsia="Arial" w:hAnsi="Arial"/>
          <w:sz w:val="19"/>
          <w:szCs w:val="19"/>
          <w:color w:val="auto"/>
        </w:rPr>
        <w:t>”) at a time when another tranche or tranches of Revolving Credit Commitments is or are in effect with a longer maturity date (each a “</w:t>
      </w:r>
      <w:r>
        <w:rPr>
          <w:rFonts w:ascii="Arial" w:cs="Arial" w:eastAsia="Arial" w:hAnsi="Arial"/>
          <w:sz w:val="19"/>
          <w:szCs w:val="19"/>
          <w:b w:val="1"/>
          <w:bCs w:val="1"/>
          <w:color w:val="auto"/>
        </w:rPr>
        <w:t>Non-Expiring Credit Commitment</w:t>
      </w:r>
      <w:r>
        <w:rPr>
          <w:rFonts w:ascii="Arial" w:cs="Arial" w:eastAsia="Arial" w:hAnsi="Arial"/>
          <w:sz w:val="19"/>
          <w:szCs w:val="19"/>
          <w:color w:val="auto"/>
        </w:rPr>
        <w:t>” and collectively, the “</w:t>
      </w:r>
      <w:r>
        <w:rPr>
          <w:rFonts w:ascii="Arial" w:cs="Arial" w:eastAsia="Arial" w:hAnsi="Arial"/>
          <w:sz w:val="19"/>
          <w:szCs w:val="19"/>
          <w:b w:val="1"/>
          <w:bCs w:val="1"/>
          <w:color w:val="auto"/>
        </w:rPr>
        <w:t>Non-Expiring Credit Commitments</w:t>
      </w:r>
      <w:r>
        <w:rPr>
          <w:rFonts w:ascii="Arial" w:cs="Arial" w:eastAsia="Arial" w:hAnsi="Arial"/>
          <w:sz w:val="19"/>
          <w:szCs w:val="19"/>
          <w:color w:val="auto"/>
        </w:rPr>
        <w:t xml:space="preserve">”), then with respect to each outstanding Swing Line Loan, if consented to by the applicable Swing Line Lender, on the earliest occurring maturity date such Swing Line Loan shall be deemed reallocated to the tranche or tranches of the Non-Expiring Credit Commitments on a pro rata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316" w:lineRule="exact"/>
        <w:rPr>
          <w:sz w:val="20"/>
          <w:szCs w:val="20"/>
          <w:color w:val="auto"/>
        </w:rPr>
      </w:pPr>
    </w:p>
    <w:p>
      <w:pPr>
        <w:jc w:val="both"/>
        <w:ind w:firstLine="6"/>
        <w:spacing w:after="0" w:line="212" w:lineRule="auto"/>
        <w:rPr>
          <w:sz w:val="20"/>
          <w:szCs w:val="20"/>
          <w:color w:val="auto"/>
        </w:rPr>
      </w:pPr>
      <w:r>
        <w:rPr>
          <w:rFonts w:ascii="Arial" w:cs="Arial" w:eastAsia="Arial" w:hAnsi="Arial"/>
          <w:sz w:val="21"/>
          <w:szCs w:val="21"/>
          <w:color w:val="auto"/>
        </w:rPr>
        <w:t>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Borrower shall still be obligated to pay Swing 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 Line Loans may be reduced as agreed between the Swing Line Lender and the Borrower, without the consent of any other Person.</w:t>
      </w:r>
    </w:p>
    <w:p>
      <w:pPr>
        <w:spacing w:after="0" w:line="176" w:lineRule="exact"/>
        <w:rPr>
          <w:sz w:val="20"/>
          <w:szCs w:val="20"/>
          <w:color w:val="auto"/>
        </w:rPr>
      </w:pPr>
    </w:p>
    <w:p>
      <w:pPr>
        <w:jc w:val="both"/>
        <w:ind w:firstLine="622"/>
        <w:spacing w:after="0" w:line="247" w:lineRule="auto"/>
        <w:tabs>
          <w:tab w:leader="none" w:pos="1078"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Replacement of the Swing Line Lender</w:t>
      </w:r>
      <w:r>
        <w:rPr>
          <w:rFonts w:ascii="Arial" w:cs="Arial" w:eastAsia="Arial" w:hAnsi="Arial"/>
          <w:sz w:val="18"/>
          <w:szCs w:val="18"/>
          <w:color w:val="auto"/>
        </w:rPr>
        <w:t>. The Swing Line Lender may be replaced at any time by written agreement among</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the Administrative Agent, the replaced Swing Line Lender and the successor Swing Line Lender. The Administrative Agent shall notify the Lenders of any such replacement of a Swing Line Lender. From and after the effective date of any such replacement, (x) the successor Swing Line Lender shall have all the rights and obligations of the replaced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 After the replacement of a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w:t>
      </w:r>
    </w:p>
    <w:p>
      <w:pPr>
        <w:spacing w:after="0" w:line="145" w:lineRule="exact"/>
        <w:rPr>
          <w:rFonts w:ascii="Arial" w:cs="Arial" w:eastAsia="Arial" w:hAnsi="Arial"/>
          <w:sz w:val="18"/>
          <w:szCs w:val="18"/>
          <w:color w:val="auto"/>
        </w:rPr>
      </w:pPr>
    </w:p>
    <w:p>
      <w:pPr>
        <w:jc w:val="both"/>
        <w:ind w:firstLine="622"/>
        <w:spacing w:after="0" w:line="272" w:lineRule="auto"/>
        <w:tabs>
          <w:tab w:leader="none" w:pos="1071"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Resignation of the Swing Line Lender</w:t>
      </w:r>
      <w:r>
        <w:rPr>
          <w:rFonts w:ascii="Arial" w:cs="Arial" w:eastAsia="Arial" w:hAnsi="Arial"/>
          <w:sz w:val="18"/>
          <w:szCs w:val="18"/>
          <w:color w:val="auto"/>
        </w:rPr>
        <w:t>. Subject to the appointment and acceptance of a successor Swing Line Lender,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Swing Line Lender may resign as a Swing Line Lender at any time upon thirty days’ prior written notice to the Administrative Agent, the Borrower and the Lenders, in which case, such Swing Line Lender shall be replaced in accordance with Section 2.04(h) above.</w:t>
      </w:r>
    </w:p>
    <w:p>
      <w:pPr>
        <w:spacing w:after="0" w:line="121"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2.05.</w:t>
      </w:r>
      <w:r>
        <w:rPr>
          <w:sz w:val="20"/>
          <w:szCs w:val="20"/>
          <w:color w:val="auto"/>
        </w:rPr>
        <w:tab/>
      </w:r>
      <w:r>
        <w:rPr>
          <w:rFonts w:ascii="Arial" w:cs="Arial" w:eastAsia="Arial" w:hAnsi="Arial"/>
          <w:sz w:val="18"/>
          <w:szCs w:val="18"/>
          <w:i w:val="1"/>
          <w:iCs w:val="1"/>
          <w:color w:val="auto"/>
        </w:rPr>
        <w:t>Prepayments</w:t>
      </w:r>
      <w:r>
        <w:rPr>
          <w:rFonts w:ascii="Arial" w:cs="Arial" w:eastAsia="Arial" w:hAnsi="Arial"/>
          <w:sz w:val="18"/>
          <w:szCs w:val="18"/>
          <w:color w:val="auto"/>
        </w:rPr>
        <w:t>. (a)</w:t>
      </w:r>
      <w:r>
        <w:rPr>
          <w:rFonts w:ascii="Arial" w:cs="Arial" w:eastAsia="Arial" w:hAnsi="Arial"/>
          <w:sz w:val="18"/>
          <w:szCs w:val="18"/>
          <w:i w:val="1"/>
          <w:iCs w:val="1"/>
          <w:color w:val="auto"/>
        </w:rPr>
        <w:t xml:space="preserve"> Optional</w:t>
      </w:r>
      <w:r>
        <w:rPr>
          <w:rFonts w:ascii="Arial" w:cs="Arial" w:eastAsia="Arial" w:hAnsi="Arial"/>
          <w:sz w:val="18"/>
          <w:szCs w:val="18"/>
          <w:color w:val="auto"/>
        </w:rPr>
        <w:t>.</w:t>
      </w:r>
    </w:p>
    <w:p>
      <w:pPr>
        <w:spacing w:after="0" w:line="171" w:lineRule="exact"/>
        <w:rPr>
          <w:sz w:val="20"/>
          <w:szCs w:val="20"/>
          <w:color w:val="auto"/>
        </w:rPr>
      </w:pPr>
    </w:p>
    <w:p>
      <w:pPr>
        <w:jc w:val="both"/>
        <w:ind w:left="620" w:firstLine="621"/>
        <w:spacing w:after="0" w:line="233" w:lineRule="auto"/>
        <w:tabs>
          <w:tab w:leader="none" w:pos="165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The Borrower may, upon, subject to clause (iii) below, written notice to the Administrative Agent by the Borrower, at any time or from time to time voluntarily prepay Term Loans of any Class and Revolving Credit Loans in whole or in part without premium or penalty;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such notice must be received by the Administrative Agent not later than 1:00 p.m. New York City time (A) three Business Days prior to any date of prepayment of Term SOFR Loans or Daily SOFR Loans, (B) four Business Days prior to any date of prepayment of Eurocurrency Rate Loans denominated in an Approved Foreign Currency and (C) one Business Day prior to any prepayment of Base Rate Loans, in each case, unless the Administrative Agent agrees to a shorter period in its discretion; (1) any prepayment of Eurocurrency Rate Loans, Daily SOFR Loans or Term SOFR Loans shall be in a minimum Principal Amount of $500,000, or a whole multiple of $100,000 in excess thereof; and (2) any prepayment of Base Rate Loans shall be in a minimum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316" w:lineRule="exact"/>
        <w:rPr>
          <w:sz w:val="20"/>
          <w:szCs w:val="20"/>
          <w:color w:val="auto"/>
        </w:rPr>
      </w:pPr>
    </w:p>
    <w:p>
      <w:pPr>
        <w:jc w:val="both"/>
        <w:ind w:firstLine="6"/>
        <w:spacing w:after="0" w:line="232" w:lineRule="auto"/>
        <w:rPr>
          <w:sz w:val="20"/>
          <w:szCs w:val="20"/>
          <w:color w:val="auto"/>
        </w:rPr>
      </w:pPr>
      <w:r>
        <w:rPr>
          <w:rFonts w:ascii="Arial" w:cs="Arial" w:eastAsia="Arial" w:hAnsi="Arial"/>
          <w:sz w:val="19"/>
          <w:szCs w:val="19"/>
          <w:color w:val="auto"/>
        </w:rPr>
        <w:t>Amount of $500,000 or a whole multiple of $100,000 in excess thereof or, in each case, if less,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Pro Rata Share or other applicable share provided for under this Agreement of such prepayment. Subject to Section 2.05(a)(iii) below, if such notice is given by the Borrower, the Borrower shall make such prepayment and the payment amount specified in such notice shall be due and payable on the date specified therein. Any prepayment of a Eurocurrency Rate Loan or a Term SOFR Loan shall be accompanied by all accrued interest thereon to such date, together with any additional amounts required pursuant to Section 3.05. In the case of each prepayment of the Loans pursuant to this Section 2.05(a), the Borrower may in its sole discretion select the Borrowing or Borrowings (and the order of maturity of principal payments) to be repaid, and such payment shall be paid to the Appropriate Lenders in accordance with their respective Pro Rata Shares or other applicable share as provided for under this Agreement.</w:t>
      </w:r>
    </w:p>
    <w:p>
      <w:pPr>
        <w:spacing w:after="0" w:line="178" w:lineRule="exact"/>
        <w:rPr>
          <w:sz w:val="20"/>
          <w:szCs w:val="20"/>
          <w:color w:val="auto"/>
        </w:rPr>
      </w:pPr>
    </w:p>
    <w:p>
      <w:pPr>
        <w:jc w:val="both"/>
        <w:ind w:firstLine="621"/>
        <w:spacing w:after="0" w:line="222" w:lineRule="auto"/>
        <w:tabs>
          <w:tab w:leader="none" w:pos="109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The Borrower may, upon, subject to clause (iii) below, written notice to the Swing Line Lender (with a copy to the Administrative Agent), at any time or from time to time, voluntarily prepay Swing Line Loans in whole or in part without premium or penalty;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(1) such notice must be received by the Swing Line Lender and the Administrative Agent not later than 1:00 p.m. New York City time on the date of the prepayment, and (2) any such prepayment shall be in a minimum Principal Amount of $500,000 or a whole multiple of $100,000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54" w:lineRule="exact"/>
        <w:rPr>
          <w:rFonts w:ascii="Arial" w:cs="Arial" w:eastAsia="Arial" w:hAnsi="Arial"/>
          <w:sz w:val="20"/>
          <w:szCs w:val="20"/>
          <w:color w:val="auto"/>
        </w:rPr>
      </w:pPr>
    </w:p>
    <w:p>
      <w:pPr>
        <w:jc w:val="both"/>
        <w:ind w:firstLine="621"/>
        <w:spacing w:after="0" w:line="213" w:lineRule="auto"/>
        <w:tabs>
          <w:tab w:leader="none" w:pos="1221" w:val="left"/>
        </w:tabs>
        <w:numPr>
          <w:ilvl w:val="0"/>
          <w:numId w:val="107"/>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Agreement, subject to the payment of any amounts owing pursuant to Section 3.05, the Borrower may rescind any notice of prepayment under Sections 2.05(a)(i) or 2.05(a)(ii) if such prepayment would have resulted from a refinancing of all or a portion of the applicable Facility, which refinancing shall not be consummated or shall otherwise be delayed. Each prepayment of any Class of Term Loans pursuant to this Section 2.05(a) shall be applied as directed by the Borrower (which may be applied to any specific Class, tranche or facility of Indebtedness) and, absent such direction, shall be applied in direct order of maturity to repayments thereof required pursuant to Section 2.07(a).</w:t>
      </w:r>
    </w:p>
    <w:p>
      <w:pPr>
        <w:spacing w:after="0" w:line="149" w:lineRule="exact"/>
        <w:rPr>
          <w:rFonts w:ascii="Arial" w:cs="Arial" w:eastAsia="Arial" w:hAnsi="Arial"/>
          <w:sz w:val="21"/>
          <w:szCs w:val="21"/>
          <w:color w:val="auto"/>
        </w:rPr>
      </w:pPr>
    </w:p>
    <w:p>
      <w:pPr>
        <w:ind w:left="1120" w:hanging="499"/>
        <w:spacing w:after="0"/>
        <w:tabs>
          <w:tab w:leader="none" w:pos="112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[reserved].</w:t>
      </w:r>
    </w:p>
    <w:p>
      <w:pPr>
        <w:spacing w:after="0" w:line="171" w:lineRule="exact"/>
        <w:rPr>
          <w:rFonts w:ascii="Arial" w:cs="Arial" w:eastAsia="Arial" w:hAnsi="Arial"/>
          <w:sz w:val="21"/>
          <w:szCs w:val="21"/>
          <w:color w:val="auto"/>
        </w:rPr>
      </w:pPr>
    </w:p>
    <w:p>
      <w:pPr>
        <w:jc w:val="both"/>
        <w:ind w:firstLine="621"/>
        <w:spacing w:after="0" w:line="219" w:lineRule="auto"/>
        <w:tabs>
          <w:tab w:leader="none" w:pos="120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Notwithstanding anything in any Loan Document to the contrary, so long as no Default has occurred and is continuing and, only to the extent funded at a discount, no proceeds of Revolving Credit Borrowings are applied to fund any such repayment, any Company Party may prepay the outstanding Term Loans (which shall, for the avoidance of doubt, be automatically and permanently canceled immediately upon such prepayment)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108</w:t>
      </w:r>
    </w:p>
    <w:p>
      <w:pPr>
        <w:sectPr>
          <w:pgSz w:w="11900" w:h="16838" w:orient="portrait"/>
          <w:cols w:equalWidth="0" w:num="1">
            <w:col w:w="10620"/>
          </w:cols>
          <w:pgMar w:left="940" w:top="1440" w:right="339" w:bottom="1440" w:gutter="0" w:footer="0" w:header="0"/>
        </w:sectPr>
      </w:pPr>
    </w:p>
    <w:bookmarkStart w:id="156" w:name="page157"/>
    <w:bookmarkEnd w:id="156"/>
    <w:p>
      <w:pPr>
        <w:spacing w:after="0" w:line="200" w:lineRule="exact"/>
        <w:rPr>
          <w:sz w:val="20"/>
          <w:szCs w:val="20"/>
          <w:color w:val="auto"/>
        </w:rPr>
      </w:pPr>
    </w:p>
    <w:p>
      <w:pPr>
        <w:spacing w:after="0" w:line="348"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Holdings, the Borrower or any of its Subsidiaries may purchase such outstanding Term Loans and immediately cancel them) on the following basis:</w:t>
      </w:r>
    </w:p>
    <w:p>
      <w:pPr>
        <w:spacing w:after="0" w:line="176" w:lineRule="exact"/>
        <w:rPr>
          <w:sz w:val="20"/>
          <w:szCs w:val="20"/>
          <w:color w:val="auto"/>
        </w:rPr>
      </w:pPr>
    </w:p>
    <w:p>
      <w:pPr>
        <w:jc w:val="both"/>
        <w:ind w:left="620" w:firstLine="620"/>
        <w:spacing w:after="0" w:line="243" w:lineRule="auto"/>
        <w:tabs>
          <w:tab w:leader="none" w:pos="177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Company Party shall have the right to make a voluntary prepayment of Term Loans at a discount to par pursuant to a Borrower Offer of Specified Discount Prepayment, Borrower Solicitation of Discount Range Prepayment Offers or Borrower Solicitation of Discounted Prepayment Offers (any such prepayment, the “</w:t>
      </w:r>
      <w:r>
        <w:rPr>
          <w:rFonts w:ascii="Arial" w:cs="Arial" w:eastAsia="Arial" w:hAnsi="Arial"/>
          <w:sz w:val="18"/>
          <w:szCs w:val="18"/>
          <w:b w:val="1"/>
          <w:bCs w:val="1"/>
          <w:color w:val="auto"/>
        </w:rPr>
        <w:t>Discounted</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 Prepayment</w:t>
      </w:r>
      <w:r>
        <w:rPr>
          <w:rFonts w:ascii="Arial" w:cs="Arial" w:eastAsia="Arial" w:hAnsi="Arial"/>
          <w:sz w:val="18"/>
          <w:szCs w:val="18"/>
          <w:color w:val="auto"/>
        </w:rPr>
        <w:t>”), in each case made in accordance with this Section 2.05(a)(v);</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no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initiate any action under this Section 2.05(a)(v) in order to make a Discounted Term Loan Prepayment unless</w:t>
      </w:r>
    </w:p>
    <w:p>
      <w:pPr>
        <w:spacing w:after="0" w:line="1" w:lineRule="exact"/>
        <w:rPr>
          <w:rFonts w:ascii="Arial" w:cs="Arial" w:eastAsia="Arial" w:hAnsi="Arial"/>
          <w:sz w:val="18"/>
          <w:szCs w:val="18"/>
          <w:color w:val="auto"/>
        </w:rPr>
      </w:pPr>
    </w:p>
    <w:p>
      <w:pPr>
        <w:jc w:val="both"/>
        <w:ind w:left="620" w:firstLine="1"/>
        <w:spacing w:after="0" w:line="248" w:lineRule="auto"/>
        <w:tabs>
          <w:tab w:leader="none" w:pos="8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least ten (10) Business Days shall have passed since the consummation of the most recent Discounted Term Loan Prepayment as a result of a prepayment made by a Company Party on the applicable Discounted Prepayment Effective Date; or (II) at least three Business Days shall have passed since the date the Company Party was notified that no Term Lender was willing to accept any prepayment of any Term Loan at the Specified Discount, within the Discount Range or at any discount to par value, as applicable, or in the case of Borrower Solicitation of Discounted Prepayment Offers, the date of any Company Party’s election not to accept any Solicited Discounted Prepayment Offers.</w:t>
      </w:r>
    </w:p>
    <w:p>
      <w:pPr>
        <w:spacing w:after="0" w:line="142" w:lineRule="exact"/>
        <w:rPr>
          <w:rFonts w:ascii="Arial" w:cs="Arial" w:eastAsia="Arial" w:hAnsi="Arial"/>
          <w:sz w:val="18"/>
          <w:szCs w:val="18"/>
          <w:color w:val="auto"/>
        </w:rPr>
      </w:pPr>
    </w:p>
    <w:p>
      <w:pPr>
        <w:jc w:val="both"/>
        <w:ind w:left="620" w:firstLine="620"/>
        <w:spacing w:after="0" w:line="241" w:lineRule="auto"/>
        <w:tabs>
          <w:tab w:leader="none" w:pos="172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(I) Subject to the proviso to subsection (A) above, any Company Party may from time to time offer to make a Discounted Term Loan Prepayment by providing the Auction Agent with five (5) Business Days’ notice in the form of a Specified Discount Prepayment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(II) any such offer shall be made available, at the sole discretion of the Company Party, to (x) each Term Lender and/or (y) each Term Lender with respect to any Class of Term Loans on an individual tranche basis, (III) any such offer shall specify the aggregate principal amount offered to be prepaid (the “</w:t>
      </w:r>
      <w:r>
        <w:rPr>
          <w:rFonts w:ascii="Arial" w:cs="Arial" w:eastAsia="Arial" w:hAnsi="Arial"/>
          <w:sz w:val="18"/>
          <w:szCs w:val="18"/>
          <w:b w:val="1"/>
          <w:bCs w:val="1"/>
          <w:color w:val="auto"/>
        </w:rPr>
        <w:t>Specified Discount Prepayment Amount</w:t>
      </w:r>
      <w:r>
        <w:rPr>
          <w:rFonts w:ascii="Arial" w:cs="Arial" w:eastAsia="Arial" w:hAnsi="Arial"/>
          <w:sz w:val="18"/>
          <w:szCs w:val="18"/>
          <w:color w:val="auto"/>
        </w:rPr>
        <w:t>”) with respect to each applicable tranche, the tranche or tranches of Term Loans subject to such offer and the specific percentage discount to par (the “</w:t>
      </w:r>
      <w:r>
        <w:rPr>
          <w:rFonts w:ascii="Arial" w:cs="Arial" w:eastAsia="Arial" w:hAnsi="Arial"/>
          <w:sz w:val="18"/>
          <w:szCs w:val="18"/>
          <w:b w:val="1"/>
          <w:bCs w:val="1"/>
          <w:color w:val="auto"/>
        </w:rPr>
        <w:t>Specified Discount</w:t>
      </w:r>
      <w:r>
        <w:rPr>
          <w:rFonts w:ascii="Arial" w:cs="Arial" w:eastAsia="Arial" w:hAnsi="Arial"/>
          <w:sz w:val="18"/>
          <w:szCs w:val="18"/>
          <w:color w:val="auto"/>
        </w:rPr>
        <w:t>”) of such Term Loans to be prepaid (it being understood that different Specified Discounts and/or Specified Discount Prepayment Amounts may be offered with respect to different tranches of Term Loans and, in such event, each such offer will be treated as a separate offer pursuant to the terms of this Section 2.05(a)(v)(B)), (IV) the Specified Discount Prepayment Amount shall be in an aggregate principal amount not less than $10,000,000 and whole increments of $1,000,000 in excess thereof and</w:t>
      </w:r>
    </w:p>
    <w:p>
      <w:pPr>
        <w:jc w:val="both"/>
        <w:ind w:left="620" w:firstLine="1"/>
        <w:spacing w:after="0" w:line="235" w:lineRule="auto"/>
        <w:tabs>
          <w:tab w:leader="none" w:pos="97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each such offer shall remain outstanding through the Specified Discount Prepayment Response Date. The Auction Agent will promptly provide each Appropriate Lender with a copy of such Specified Discount Prepayment Notice and a form of the Specified Discount Prepayment Response to be completed and returned by each such Term Lender to the Auction Agent (or its delegate) by no later than 5:00 p.m. (New York City time), on the third Business Day after the date of delivery of such notice to such Lenders (the “</w:t>
      </w:r>
      <w:r>
        <w:rPr>
          <w:rFonts w:ascii="Arial" w:cs="Arial" w:eastAsia="Arial" w:hAnsi="Arial"/>
          <w:sz w:val="19"/>
          <w:szCs w:val="19"/>
          <w:b w:val="1"/>
          <w:bCs w:val="1"/>
          <w:color w:val="auto"/>
        </w:rPr>
        <w:t>Specified Discount Prepayment Response Date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109</w:t>
      </w:r>
    </w:p>
    <w:p>
      <w:pPr>
        <w:sectPr>
          <w:pgSz w:w="11900" w:h="16838" w:orient="portrait"/>
          <w:cols w:equalWidth="0" w:num="1">
            <w:col w:w="10620"/>
          </w:cols>
          <w:pgMar w:left="940" w:top="1440" w:right="33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740" w:firstLine="618"/>
        <w:spacing w:after="0" w:line="234" w:lineRule="auto"/>
        <w:tabs>
          <w:tab w:leader="none" w:pos="193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Each Term Lender receiving such offer shall notify the Auction Agent (or its delegate) by the Specified Discount Prepayment Response Date whether or not it agrees to accept a prepayment of any of its applicable then outstanding Term Loans at the Specified Discount and, if so (such accepting Lender, a “</w:t>
      </w:r>
      <w:r>
        <w:rPr>
          <w:rFonts w:ascii="Arial" w:cs="Arial" w:eastAsia="Arial" w:hAnsi="Arial"/>
          <w:sz w:val="19"/>
          <w:szCs w:val="19"/>
          <w:b w:val="1"/>
          <w:bCs w:val="1"/>
          <w:color w:val="auto"/>
        </w:rPr>
        <w:t>Discount</w:t>
      </w:r>
      <w:r>
        <w:rPr>
          <w:rFonts w:ascii="Arial" w:cs="Arial" w:eastAsia="Arial" w:hAnsi="Arial"/>
          <w:sz w:val="19"/>
          <w:szCs w:val="19"/>
          <w:color w:val="auto"/>
        </w:rPr>
        <w:t xml:space="preserve"> </w:t>
      </w:r>
      <w:r>
        <w:rPr>
          <w:rFonts w:ascii="Arial" w:cs="Arial" w:eastAsia="Arial" w:hAnsi="Arial"/>
          <w:sz w:val="19"/>
          <w:szCs w:val="19"/>
          <w:b w:val="1"/>
          <w:bCs w:val="1"/>
          <w:color w:val="auto"/>
        </w:rPr>
        <w:t>Prepayment Accepting Lender</w:t>
      </w:r>
      <w:r>
        <w:rPr>
          <w:rFonts w:ascii="Arial" w:cs="Arial" w:eastAsia="Arial" w:hAnsi="Arial"/>
          <w:sz w:val="19"/>
          <w:szCs w:val="19"/>
          <w:color w:val="auto"/>
        </w:rPr>
        <w:t>”), the amount and the tranches of such Lender’s Term Loans to be prepaid at</w:t>
      </w:r>
      <w:r>
        <w:rPr>
          <w:rFonts w:ascii="Arial" w:cs="Arial" w:eastAsia="Arial" w:hAnsi="Arial"/>
          <w:sz w:val="19"/>
          <w:szCs w:val="19"/>
          <w:b w:val="1"/>
          <w:bCs w:val="1"/>
          <w:color w:val="auto"/>
        </w:rPr>
        <w:t xml:space="preserve"> </w:t>
      </w:r>
      <w:r>
        <w:rPr>
          <w:rFonts w:ascii="Arial" w:cs="Arial" w:eastAsia="Arial" w:hAnsi="Arial"/>
          <w:sz w:val="19"/>
          <w:szCs w:val="19"/>
          <w:color w:val="auto"/>
        </w:rPr>
        <w:t>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152" w:lineRule="exact"/>
        <w:rPr>
          <w:rFonts w:ascii="Arial" w:cs="Arial" w:eastAsia="Arial" w:hAnsi="Arial"/>
          <w:sz w:val="19"/>
          <w:szCs w:val="19"/>
          <w:color w:val="auto"/>
        </w:rPr>
      </w:pPr>
    </w:p>
    <w:p>
      <w:pPr>
        <w:jc w:val="both"/>
        <w:ind w:left="740" w:firstLine="618"/>
        <w:spacing w:after="0" w:line="229" w:lineRule="auto"/>
        <w:tabs>
          <w:tab w:leader="none" w:pos="189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If there is at least one Discount Prepayment Accepting Lender, the relevant Company Party will make a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(1)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aggregate principal amount of Term Loans accepted for prepayment by all Discount Prepayment Accepting Lenders exceeds the Specified Discount Prepayment Amount, such prepayment shall be made pro rata among the Discount Prepayment Accepting Lenders in accordance with the respective principal amounts accepted to be prepaid by each such Discount Prepayment Accepting Lender and the Auction Agent (in consultation with such Company Party and subject to rounding requirements of the Auction Agent made in its reasonable discretion) will calculate such proration (the “</w:t>
      </w:r>
      <w:r>
        <w:rPr>
          <w:rFonts w:ascii="Arial" w:cs="Arial" w:eastAsia="Arial" w:hAnsi="Arial"/>
          <w:sz w:val="19"/>
          <w:szCs w:val="19"/>
          <w:b w:val="1"/>
          <w:bCs w:val="1"/>
          <w:color w:val="auto"/>
        </w:rPr>
        <w:t>Specified Discount Proration</w:t>
      </w:r>
      <w:r>
        <w:rPr>
          <w:rFonts w:ascii="Arial" w:cs="Arial" w:eastAsia="Arial" w:hAnsi="Arial"/>
          <w:sz w:val="19"/>
          <w:szCs w:val="19"/>
          <w:color w:val="auto"/>
        </w:rPr>
        <w:t>”). The Auction Agent shall promptly, and in any case within three Business Days following the Specified Discount Prepayment Response Date, notify (I) the relevant Company Party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Term Loans of such Lender to be prepaid at the Specified Discount on such date. Each determination by the Auction Agent of the amounts stated in the foregoing notices to the Company Party and such Term Lenders shall be conclusive and binding for all purposes absent manifest error. The payment amount specified in such notice to the Company Party shall be due and payable by such Company Party on the Discounted Prepayment Effective Date in accordance with subsection (F) below (subject to subsection (J)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110</w:t>
      </w:r>
    </w:p>
    <w:p>
      <w:pPr>
        <w:sectPr>
          <w:pgSz w:w="11900" w:h="16838" w:orient="portrait"/>
          <w:cols w:equalWidth="0" w:num="1">
            <w:col w:w="10120"/>
          </w:cols>
          <w:pgMar w:left="1440" w:top="1440"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20" w:firstLine="620"/>
        <w:spacing w:after="0" w:line="229" w:lineRule="auto"/>
        <w:tabs>
          <w:tab w:leader="none" w:pos="129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(1) Subject to the proviso to subsection (A) above, any Company Party may from time to time solicit Discount Range Prepayment Offers by providing the Auction Agent with five (5) Business Days’ notice in the form of a Discount Range Prepayment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solicitation shall be extended, at the sole discretion of such Company Party, to (x) each Term Lender and/or (y) each Term Lender with respect to any Class of Term Loans on an individual tranche basis, (II) any such notice shall specify the maximum aggregate principal amount of the relevant Term Loans (the “</w:t>
      </w:r>
      <w:r>
        <w:rPr>
          <w:rFonts w:ascii="Arial" w:cs="Arial" w:eastAsia="Arial" w:hAnsi="Arial"/>
          <w:sz w:val="19"/>
          <w:szCs w:val="19"/>
          <w:b w:val="1"/>
          <w:bCs w:val="1"/>
          <w:color w:val="auto"/>
        </w:rPr>
        <w:t>Discount Range Prepayment Amount</w:t>
      </w:r>
      <w:r>
        <w:rPr>
          <w:rFonts w:ascii="Arial" w:cs="Arial" w:eastAsia="Arial" w:hAnsi="Arial"/>
          <w:sz w:val="19"/>
          <w:szCs w:val="19"/>
          <w:color w:val="auto"/>
        </w:rPr>
        <w:t>”), the tranche or tranches of Term Loans subject to such offer and the maximum and minimum percentage discounts to par (the “</w:t>
      </w:r>
      <w:r>
        <w:rPr>
          <w:rFonts w:ascii="Arial" w:cs="Arial" w:eastAsia="Arial" w:hAnsi="Arial"/>
          <w:sz w:val="19"/>
          <w:szCs w:val="19"/>
          <w:b w:val="1"/>
          <w:bCs w:val="1"/>
          <w:color w:val="auto"/>
        </w:rPr>
        <w:t>Discount Range</w:t>
      </w:r>
      <w:r>
        <w:rPr>
          <w:rFonts w:ascii="Arial" w:cs="Arial" w:eastAsia="Arial" w:hAnsi="Arial"/>
          <w:sz w:val="19"/>
          <w:szCs w:val="19"/>
          <w:color w:val="auto"/>
        </w:rPr>
        <w:t>”) of the principal amount of such Term Loans with respect to each relevant tranche of Term Loans willing to be prepaid by such Company Party (it being understood that different Discount Ranges and/or Discount Range Prepayment Amounts may be offered with respect to different tranches of Term Loans and, in such event, each such offer will be treated as a separate offer pursuant to the terms of this Section 2.05(a)(v)(C)), (III) the Discount Range Prepayment Amount shall be in an aggregate principal amount not less than $10,000,000 and whole increments of $1,000,000 in excess thereof and (IV) each such solicitation by a Company Party shall remain outstanding through the Discount Range Prepayment Response Date. The Auction Agent will promptly provide each Appropriate Lender with a copy of such Discount Range Prepayment Notice and a form of the Discount Range Prepayment Offer to be submitted by a responding Lender to the Auction Agent (or its delegate) by no later than 5:00 p.m. (New York City time), on the third Business Day after the date of delivery of such notice to such Lenders (the “</w:t>
      </w:r>
      <w:r>
        <w:rPr>
          <w:rFonts w:ascii="Arial" w:cs="Arial" w:eastAsia="Arial" w:hAnsi="Arial"/>
          <w:sz w:val="19"/>
          <w:szCs w:val="19"/>
          <w:b w:val="1"/>
          <w:bCs w:val="1"/>
          <w:color w:val="auto"/>
        </w:rPr>
        <w:t>Discount Range Prepayment Response Date</w:t>
      </w:r>
      <w:r>
        <w:rPr>
          <w:rFonts w:ascii="Arial" w:cs="Arial" w:eastAsia="Arial" w:hAnsi="Arial"/>
          <w:sz w:val="19"/>
          <w:szCs w:val="19"/>
          <w:color w:val="auto"/>
        </w:rPr>
        <w:t>”). Each Term Lender’s Discount Range Prepayment Offer shall be irrevocable and shall specify a discount to par within the Discount Range (the “</w:t>
      </w:r>
      <w:r>
        <w:rPr>
          <w:rFonts w:ascii="Arial" w:cs="Arial" w:eastAsia="Arial" w:hAnsi="Arial"/>
          <w:sz w:val="19"/>
          <w:szCs w:val="19"/>
          <w:b w:val="1"/>
          <w:bCs w:val="1"/>
          <w:color w:val="auto"/>
        </w:rPr>
        <w:t>Submitted</w:t>
      </w:r>
      <w:r>
        <w:rPr>
          <w:rFonts w:ascii="Arial" w:cs="Arial" w:eastAsia="Arial" w:hAnsi="Arial"/>
          <w:sz w:val="19"/>
          <w:szCs w:val="19"/>
          <w:color w:val="auto"/>
        </w:rPr>
        <w:t xml:space="preserve"> </w:t>
      </w:r>
      <w:r>
        <w:rPr>
          <w:rFonts w:ascii="Arial" w:cs="Arial" w:eastAsia="Arial" w:hAnsi="Arial"/>
          <w:sz w:val="19"/>
          <w:szCs w:val="19"/>
          <w:b w:val="1"/>
          <w:bCs w:val="1"/>
          <w:color w:val="auto"/>
        </w:rPr>
        <w:t>Discount</w:t>
      </w:r>
      <w:r>
        <w:rPr>
          <w:rFonts w:ascii="Arial" w:cs="Arial" w:eastAsia="Arial" w:hAnsi="Arial"/>
          <w:sz w:val="19"/>
          <w:szCs w:val="19"/>
          <w:color w:val="auto"/>
        </w:rPr>
        <w:t>”) at which such Lender is willing to allow prepayment of any or all of its then outstanding Term Loans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tranche or tranches and the maximum aggregate principal amount and tranches of such Lender’s Term Loans (the “</w:t>
      </w:r>
      <w:r>
        <w:rPr>
          <w:rFonts w:ascii="Arial" w:cs="Arial" w:eastAsia="Arial" w:hAnsi="Arial"/>
          <w:sz w:val="19"/>
          <w:szCs w:val="19"/>
          <w:b w:val="1"/>
          <w:bCs w:val="1"/>
          <w:color w:val="auto"/>
        </w:rPr>
        <w:t>Submitted Amount</w:t>
      </w:r>
      <w:r>
        <w:rPr>
          <w:rFonts w:ascii="Arial" w:cs="Arial" w:eastAsia="Arial" w:hAnsi="Arial"/>
          <w:sz w:val="19"/>
          <w:szCs w:val="19"/>
          <w:color w:val="auto"/>
        </w:rPr>
        <w:t>”) such Term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53" w:lineRule="exact"/>
        <w:rPr>
          <w:rFonts w:ascii="Arial" w:cs="Arial" w:eastAsia="Arial" w:hAnsi="Arial"/>
          <w:sz w:val="19"/>
          <w:szCs w:val="19"/>
          <w:color w:val="auto"/>
        </w:rPr>
      </w:pPr>
    </w:p>
    <w:p>
      <w:pPr>
        <w:jc w:val="both"/>
        <w:ind w:left="740" w:firstLine="618"/>
        <w:spacing w:after="0" w:line="237" w:lineRule="auto"/>
        <w:tabs>
          <w:tab w:leader="none" w:pos="1871"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The Auction Agent shall review all Discount Range Prepayment Offers received on or before the applicable Discount Range Prepayment Response Date and shall determine (in consultation with such Company Party and subject to rounding requirements of the Auction Agent made in its sole reasonable discretion) the Applicable Discount and Term Loans to be prepaid at such Applicable Discount in accordance with this subsection (C). The relevant Company Party agrees to accept on the Discount Range Prepayment Response Date all Discount Range Prepayment Offers received by Auction Agent by the Discount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111</w:t>
      </w:r>
    </w:p>
    <w:p>
      <w:pPr>
        <w:sectPr>
          <w:pgSz w:w="11900" w:h="16838" w:orient="portrait"/>
          <w:cols w:equalWidth="0" w:num="1">
            <w:col w:w="10120"/>
          </w:cols>
          <w:pgMar w:left="1440" w:top="1440" w:right="339" w:bottom="1440" w:gutter="0" w:footer="0" w:header="0"/>
        </w:sectPr>
      </w:pPr>
    </w:p>
    <w:bookmarkStart w:id="159" w:name="page160"/>
    <w:bookmarkEnd w:id="159"/>
    <w:p>
      <w:pPr>
        <w:spacing w:after="0" w:line="316" w:lineRule="exact"/>
        <w:rPr>
          <w:sz w:val="20"/>
          <w:szCs w:val="20"/>
          <w:color w:val="auto"/>
        </w:rPr>
      </w:pPr>
    </w:p>
    <w:p>
      <w:pPr>
        <w:jc w:val="both"/>
        <w:ind w:left="740" w:firstLine="6"/>
        <w:spacing w:after="0" w:line="232" w:lineRule="auto"/>
        <w:rPr>
          <w:sz w:val="20"/>
          <w:szCs w:val="20"/>
          <w:color w:val="auto"/>
        </w:rPr>
      </w:pPr>
      <w:r>
        <w:rPr>
          <w:rFonts w:ascii="Arial" w:cs="Arial" w:eastAsia="Arial" w:hAnsi="Arial"/>
          <w:sz w:val="19"/>
          <w:szCs w:val="19"/>
          <w:color w:val="auto"/>
        </w:rPr>
        <w:t>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9"/>
          <w:szCs w:val="19"/>
          <w:b w:val="1"/>
          <w:bCs w:val="1"/>
          <w:color w:val="auto"/>
        </w:rPr>
        <w:t>Applicable Discount</w:t>
      </w:r>
      <w:r>
        <w:rPr>
          <w:rFonts w:ascii="Arial" w:cs="Arial" w:eastAsia="Arial" w:hAnsi="Arial"/>
          <w:sz w:val="19"/>
          <w:szCs w:val="19"/>
          <w:color w:val="auto"/>
        </w:rPr>
        <w:t>”) which yields a Discounted Term Loan Prepayment in an aggregate principal amount equal to the lower of (I) the Discount Range Prepayment Amount and (II)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Term Lender, a “</w:t>
      </w:r>
      <w:r>
        <w:rPr>
          <w:rFonts w:ascii="Arial" w:cs="Arial" w:eastAsia="Arial" w:hAnsi="Arial"/>
          <w:sz w:val="19"/>
          <w:szCs w:val="19"/>
          <w:b w:val="1"/>
          <w:bCs w:val="1"/>
          <w:color w:val="auto"/>
        </w:rPr>
        <w:t>Participating Lender</w:t>
      </w:r>
      <w:r>
        <w:rPr>
          <w:rFonts w:ascii="Arial" w:cs="Arial" w:eastAsia="Arial" w:hAnsi="Arial"/>
          <w:sz w:val="19"/>
          <w:szCs w:val="19"/>
          <w:color w:val="auto"/>
        </w:rPr>
        <w:t>”).</w:t>
      </w:r>
    </w:p>
    <w:p>
      <w:pPr>
        <w:spacing w:after="0" w:line="157" w:lineRule="exact"/>
        <w:rPr>
          <w:sz w:val="20"/>
          <w:szCs w:val="20"/>
          <w:color w:val="auto"/>
        </w:rPr>
      </w:pPr>
    </w:p>
    <w:p>
      <w:pPr>
        <w:jc w:val="both"/>
        <w:ind w:left="740" w:firstLine="618"/>
        <w:spacing w:after="0" w:line="229" w:lineRule="auto"/>
        <w:tabs>
          <w:tab w:leader="none" w:pos="185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If there is at least one Participating Lender, the relevant Company Party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Submitted Amount by all Participating Lenders offered at a discount to par greater than or equal to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9"/>
          <w:szCs w:val="19"/>
          <w:b w:val="1"/>
          <w:bCs w:val="1"/>
          <w:color w:val="auto"/>
        </w:rPr>
        <w:t>Identified Participating Lenders</w:t>
      </w:r>
      <w:r>
        <w:rPr>
          <w:rFonts w:ascii="Arial" w:cs="Arial" w:eastAsia="Arial" w:hAnsi="Arial"/>
          <w:sz w:val="19"/>
          <w:szCs w:val="19"/>
          <w:color w:val="auto"/>
        </w:rPr>
        <w:t>”) shall be made pro rata among the Identified Participating Lenders in accordance with the Submitted Amount of each such Identified Participating Lender and the Auction Agent (in consultation with such Company Party and subject to rounding requirements of the Auction Agent made in its sole reasonable discretion) will calculate such proration (the “</w:t>
      </w:r>
      <w:r>
        <w:rPr>
          <w:rFonts w:ascii="Arial" w:cs="Arial" w:eastAsia="Arial" w:hAnsi="Arial"/>
          <w:sz w:val="19"/>
          <w:szCs w:val="19"/>
          <w:b w:val="1"/>
          <w:bCs w:val="1"/>
          <w:color w:val="auto"/>
        </w:rPr>
        <w:t>Discount Range Proration</w:t>
      </w:r>
      <w:r>
        <w:rPr>
          <w:rFonts w:ascii="Arial" w:cs="Arial" w:eastAsia="Arial" w:hAnsi="Arial"/>
          <w:sz w:val="19"/>
          <w:szCs w:val="19"/>
          <w:color w:val="auto"/>
        </w:rPr>
        <w:t>”). The Auction Agent shall promptly, and in any case within five (5) Business Days following the Discount Range Prepayment Response Date, notify (I) the relevant Company Party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Term Lender to be prepaid at the Applicable Discount on such date, and (IV) if applicable, each Identified Participating Lender of the Discount Range Proration. Each determination by the Auction Agent of the amounts stated in the foregoing notices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112</w:t>
      </w:r>
    </w:p>
    <w:p>
      <w:pPr>
        <w:sectPr>
          <w:pgSz w:w="11900" w:h="16838" w:orient="portrait"/>
          <w:cols w:equalWidth="0" w:num="1">
            <w:col w:w="10120"/>
          </w:cols>
          <w:pgMar w:left="1440" w:top="1440" w:right="339" w:bottom="1440" w:gutter="0" w:footer="0" w:header="0"/>
        </w:sectPr>
      </w:pPr>
    </w:p>
    <w:bookmarkStart w:id="160" w:name="page161"/>
    <w:bookmarkEnd w:id="160"/>
    <w:p>
      <w:pPr>
        <w:spacing w:after="0" w:line="316" w:lineRule="exact"/>
        <w:rPr>
          <w:sz w:val="20"/>
          <w:szCs w:val="20"/>
          <w:color w:val="auto"/>
        </w:rPr>
      </w:pPr>
    </w:p>
    <w:p>
      <w:pPr>
        <w:jc w:val="both"/>
        <w:ind w:left="740" w:firstLine="6"/>
        <w:spacing w:after="0" w:line="219" w:lineRule="auto"/>
        <w:rPr>
          <w:sz w:val="20"/>
          <w:szCs w:val="20"/>
          <w:color w:val="auto"/>
        </w:rPr>
      </w:pPr>
      <w:r>
        <w:rPr>
          <w:rFonts w:ascii="Arial" w:cs="Arial" w:eastAsia="Arial" w:hAnsi="Arial"/>
          <w:sz w:val="21"/>
          <w:szCs w:val="21"/>
          <w:color w:val="auto"/>
        </w:rPr>
        <w:t>relevant Company Party and Term Lenders shall be conclusive and binding for all purposes absent manifest error. The payment amount specified in such notice to the Company Party shall be due and payable by such Company Party on the Discounted Prepayment Effective Date in accordance with subsection (F) below (subject to subsection (J) below).</w:t>
      </w:r>
    </w:p>
    <w:p>
      <w:pPr>
        <w:spacing w:after="0" w:line="176" w:lineRule="exact"/>
        <w:rPr>
          <w:sz w:val="20"/>
          <w:szCs w:val="20"/>
          <w:color w:val="auto"/>
        </w:rPr>
      </w:pPr>
    </w:p>
    <w:p>
      <w:pPr>
        <w:jc w:val="both"/>
        <w:ind w:left="120" w:firstLine="620"/>
        <w:spacing w:after="0" w:line="229" w:lineRule="auto"/>
        <w:tabs>
          <w:tab w:leader="none" w:pos="13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(1) Subject to the proviso to subsection (A) above, any Company Party may from time to time solicit Solicited Discounted Prepayment Offers by providing the Auction Agent with five (5) Business Days’ notice in the form of a Solicited Discounted Prepayment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solicitation shall be extended, at the sole discretion of such Company Party, to (x) each Term Lender and/or (y) each Lender with respect to any Class of Term Loans on an individual tranche basis, (II) any such notice shall specify the maximum aggregate principal amount of the Term Loans (the “</w:t>
      </w:r>
      <w:r>
        <w:rPr>
          <w:rFonts w:ascii="Arial" w:cs="Arial" w:eastAsia="Arial" w:hAnsi="Arial"/>
          <w:sz w:val="19"/>
          <w:szCs w:val="19"/>
          <w:b w:val="1"/>
          <w:bCs w:val="1"/>
          <w:color w:val="auto"/>
        </w:rPr>
        <w:t>Solicited Discounted Prepayment Amount</w:t>
      </w:r>
      <w:r>
        <w:rPr>
          <w:rFonts w:ascii="Arial" w:cs="Arial" w:eastAsia="Arial" w:hAnsi="Arial"/>
          <w:sz w:val="19"/>
          <w:szCs w:val="19"/>
          <w:color w:val="auto"/>
        </w:rPr>
        <w:t>”) and the tranche or tranches of Term Loans the Borrower is willing to prepay at a discount (it being understood that different Solicited Discounted Prepayment Amounts may be offered with respect to different tranches of Term Loans and, in such event, each such offer will be treated as a separate offer pursuant to the terms of this Section 2.05(a)(v)(D)), (III) the Solicited Discounted Prepayment Amount shall be in an aggregate principal amount not less than $10,000,000 and whole increments of $1,000,000 in excess thereof and (IV) each such solicitation by a Company Party shall remain outstanding through the Solicited Discounted Prepayment Response Date. The Auction Agent will promptly provide each Appropriate Lender with a copy of such Solicited Discounted Prepayment Notice and a form of the Solicited Discounted Prepayment Offer to be submitted by a responding Lender to the Auction Agent (or its delegate) by no later than 5:00 p.m. (New York City time), on the third Business Day after the date of delivery of such notice to such Term Lenders (the “</w:t>
      </w:r>
      <w:r>
        <w:rPr>
          <w:rFonts w:ascii="Arial" w:cs="Arial" w:eastAsia="Arial" w:hAnsi="Arial"/>
          <w:sz w:val="19"/>
          <w:szCs w:val="19"/>
          <w:b w:val="1"/>
          <w:bCs w:val="1"/>
          <w:color w:val="auto"/>
        </w:rPr>
        <w:t>Solicited Discounted Prepayment</w:t>
      </w:r>
      <w:r>
        <w:rPr>
          <w:rFonts w:ascii="Arial" w:cs="Arial" w:eastAsia="Arial" w:hAnsi="Arial"/>
          <w:sz w:val="19"/>
          <w:szCs w:val="19"/>
          <w:color w:val="auto"/>
        </w:rPr>
        <w:t xml:space="preserve"> </w:t>
      </w:r>
      <w:r>
        <w:rPr>
          <w:rFonts w:ascii="Arial" w:cs="Arial" w:eastAsia="Arial" w:hAnsi="Arial"/>
          <w:sz w:val="19"/>
          <w:szCs w:val="19"/>
          <w:b w:val="1"/>
          <w:bCs w:val="1"/>
          <w:color w:val="auto"/>
        </w:rPr>
        <w:t>Response Date</w:t>
      </w:r>
      <w:r>
        <w:rPr>
          <w:rFonts w:ascii="Arial" w:cs="Arial" w:eastAsia="Arial" w:hAnsi="Arial"/>
          <w:sz w:val="19"/>
          <w:szCs w:val="19"/>
          <w:color w:val="auto"/>
        </w:rPr>
        <w:t>”). Each Term Lender’s Solicited Discounted Prepayment Offer shall (x) be irrevocable, (y) remain</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until the Acceptance Date, and (z) specify both a discount to par (the “</w:t>
      </w:r>
      <w:r>
        <w:rPr>
          <w:rFonts w:ascii="Arial" w:cs="Arial" w:eastAsia="Arial" w:hAnsi="Arial"/>
          <w:sz w:val="19"/>
          <w:szCs w:val="19"/>
          <w:b w:val="1"/>
          <w:bCs w:val="1"/>
          <w:color w:val="auto"/>
        </w:rPr>
        <w:t>Offered Discount</w:t>
      </w:r>
      <w:r>
        <w:rPr>
          <w:rFonts w:ascii="Arial" w:cs="Arial" w:eastAsia="Arial" w:hAnsi="Arial"/>
          <w:sz w:val="19"/>
          <w:szCs w:val="19"/>
          <w:color w:val="auto"/>
        </w:rPr>
        <w:t>”) at which such Term Lender is willing to allow prepayment of its then outstanding Term Loan and the maximum aggregate principal amount and tranches of such Term Loans (the “</w:t>
      </w:r>
      <w:r>
        <w:rPr>
          <w:rFonts w:ascii="Arial" w:cs="Arial" w:eastAsia="Arial" w:hAnsi="Arial"/>
          <w:sz w:val="19"/>
          <w:szCs w:val="19"/>
          <w:b w:val="1"/>
          <w:bCs w:val="1"/>
          <w:color w:val="auto"/>
        </w:rPr>
        <w:t>Offered Amount</w:t>
      </w:r>
      <w:r>
        <w:rPr>
          <w:rFonts w:ascii="Arial" w:cs="Arial" w:eastAsia="Arial" w:hAnsi="Arial"/>
          <w:sz w:val="19"/>
          <w:szCs w:val="19"/>
          <w:color w:val="auto"/>
        </w:rPr>
        <w: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57" w:lineRule="exact"/>
        <w:rPr>
          <w:rFonts w:ascii="Arial" w:cs="Arial" w:eastAsia="Arial" w:hAnsi="Arial"/>
          <w:sz w:val="19"/>
          <w:szCs w:val="19"/>
          <w:color w:val="auto"/>
        </w:rPr>
      </w:pPr>
    </w:p>
    <w:p>
      <w:pPr>
        <w:jc w:val="both"/>
        <w:ind w:left="740" w:firstLine="618"/>
        <w:spacing w:after="0" w:line="243" w:lineRule="auto"/>
        <w:tabs>
          <w:tab w:leader="none" w:pos="1834"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Auction Agent shall promptly provide the relevant Company Party with a copy of all Solicited Discounted Prepayment Offers received on or before the Solicited Discounted Prepayment Response Date. Such Company Party shall review all such Solicited Discounted Prepayment Offers and select the largest of the Offered Discounts specified by the relevant responding Term Lenders in the Solicited Discounted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113</w:t>
      </w:r>
    </w:p>
    <w:p>
      <w:pPr>
        <w:sectPr>
          <w:pgSz w:w="11900" w:h="16838" w:orient="portrait"/>
          <w:cols w:equalWidth="0" w:num="1">
            <w:col w:w="10120"/>
          </w:cols>
          <w:pgMar w:left="1440" w:top="1440" w:right="339" w:bottom="1440" w:gutter="0" w:footer="0" w:header="0"/>
        </w:sectPr>
      </w:pPr>
    </w:p>
    <w:bookmarkStart w:id="161" w:name="page162"/>
    <w:bookmarkEnd w:id="161"/>
    <w:p>
      <w:pPr>
        <w:spacing w:after="0" w:line="310" w:lineRule="exact"/>
        <w:rPr>
          <w:sz w:val="20"/>
          <w:szCs w:val="20"/>
          <w:color w:val="auto"/>
        </w:rPr>
      </w:pPr>
    </w:p>
    <w:p>
      <w:pPr>
        <w:jc w:val="both"/>
        <w:ind w:left="740" w:firstLine="6"/>
        <w:spacing w:after="0" w:line="249" w:lineRule="auto"/>
        <w:rPr>
          <w:sz w:val="20"/>
          <w:szCs w:val="20"/>
          <w:color w:val="auto"/>
        </w:rPr>
      </w:pPr>
      <w:r>
        <w:rPr>
          <w:rFonts w:ascii="Arial" w:cs="Arial" w:eastAsia="Arial" w:hAnsi="Arial"/>
          <w:sz w:val="18"/>
          <w:szCs w:val="18"/>
          <w:color w:val="auto"/>
        </w:rPr>
        <w:t>Prepayment Offers that is acceptable to the Company Party (the “</w:t>
      </w:r>
      <w:r>
        <w:rPr>
          <w:rFonts w:ascii="Arial" w:cs="Arial" w:eastAsia="Arial" w:hAnsi="Arial"/>
          <w:sz w:val="18"/>
          <w:szCs w:val="18"/>
          <w:b w:val="1"/>
          <w:bCs w:val="1"/>
          <w:color w:val="auto"/>
        </w:rPr>
        <w:t>Acceptable Discount</w:t>
      </w:r>
      <w:r>
        <w:rPr>
          <w:rFonts w:ascii="Arial" w:cs="Arial" w:eastAsia="Arial" w:hAnsi="Arial"/>
          <w:sz w:val="18"/>
          <w:szCs w:val="18"/>
          <w:color w:val="auto"/>
        </w:rPr>
        <w:t>”), if any. If the Company Party elects to accept any Offered Discount as the Acceptable Discount, then as soon as practicable after the determination of the Acceptable Discount, but in no event later than by the third Business Day after the date of receipt by such Company Party from the Auction Agent of a copy of all Solicited Discounted Prepayment Offers pursuant to the first sentence of this subsection (2) (the “</w:t>
      </w:r>
      <w:r>
        <w:rPr>
          <w:rFonts w:ascii="Arial" w:cs="Arial" w:eastAsia="Arial" w:hAnsi="Arial"/>
          <w:sz w:val="18"/>
          <w:szCs w:val="18"/>
          <w:b w:val="1"/>
          <w:bCs w:val="1"/>
          <w:color w:val="auto"/>
        </w:rPr>
        <w:t>Acceptance Date</w:t>
      </w:r>
      <w:r>
        <w:rPr>
          <w:rFonts w:ascii="Arial" w:cs="Arial" w:eastAsia="Arial" w:hAnsi="Arial"/>
          <w:sz w:val="18"/>
          <w:szCs w:val="18"/>
          <w:color w:val="auto"/>
        </w:rPr>
        <w:t>”), the Company Party shall submit an Acceptance and Prepayment Notice to the Auction Agent setting forth the Acceptable Discount. If the Auction Agent shall fail to receive an Acceptance and Prepayment Notice from the Company Party by the Acceptance Date, such Company Party shall be deemed to have rejected all Solicited Discounted Prepayment Offers.</w:t>
      </w:r>
    </w:p>
    <w:p>
      <w:pPr>
        <w:spacing w:after="0" w:line="144" w:lineRule="exact"/>
        <w:rPr>
          <w:sz w:val="20"/>
          <w:szCs w:val="20"/>
          <w:color w:val="auto"/>
        </w:rPr>
      </w:pPr>
    </w:p>
    <w:p>
      <w:pPr>
        <w:jc w:val="both"/>
        <w:ind w:left="740" w:firstLine="618"/>
        <w:spacing w:after="0" w:line="242" w:lineRule="auto"/>
        <w:tabs>
          <w:tab w:leader="none" w:pos="1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upon the Acceptable Discount and the Solicited Discounted Prepayment Offers received by Auction Agent by the Solicited Discounted Prepayment Response Date, within three Business Days after receipt of an Acceptance and Prepayment Notice (the “</w:t>
      </w:r>
      <w:r>
        <w:rPr>
          <w:rFonts w:ascii="Arial" w:cs="Arial" w:eastAsia="Arial" w:hAnsi="Arial"/>
          <w:sz w:val="18"/>
          <w:szCs w:val="18"/>
          <w:b w:val="1"/>
          <w:bCs w:val="1"/>
          <w:color w:val="auto"/>
        </w:rPr>
        <w:t>Discounted Prepayment Determination Date</w:t>
      </w:r>
      <w:r>
        <w:rPr>
          <w:rFonts w:ascii="Arial" w:cs="Arial" w:eastAsia="Arial" w:hAnsi="Arial"/>
          <w:sz w:val="18"/>
          <w:szCs w:val="18"/>
          <w:color w:val="auto"/>
        </w:rPr>
        <w:t>”), the Auction Agent will determine (in consultation with such Company Party and subject to rounding requirements of the Auction Agent made in its sole reasonable discretion) the aggregate principal amount and the tranches of Term Loans (the “</w:t>
      </w:r>
      <w:r>
        <w:rPr>
          <w:rFonts w:ascii="Arial" w:cs="Arial" w:eastAsia="Arial" w:hAnsi="Arial"/>
          <w:sz w:val="18"/>
          <w:szCs w:val="18"/>
          <w:b w:val="1"/>
          <w:bCs w:val="1"/>
          <w:color w:val="auto"/>
        </w:rPr>
        <w:t>Acceptable Prepayment Amount</w:t>
      </w:r>
      <w:r>
        <w:rPr>
          <w:rFonts w:ascii="Arial" w:cs="Arial" w:eastAsia="Arial" w:hAnsi="Arial"/>
          <w:sz w:val="18"/>
          <w:szCs w:val="18"/>
          <w:color w:val="auto"/>
        </w:rPr>
        <w:t>”) to be prepaid by the relevant Company Party at the Acceptable Discount in accordance with this Section 2.05(a)(v)(D). If the Company Party elects to accept any Acceptable Discount, then the Company Party agrees to accept all Solicited Discounted Prepayment Offers received by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 rata reduction pursuant to the following sentence) at the Acceptable Discount (each such Lender, a “</w:t>
      </w:r>
      <w:r>
        <w:rPr>
          <w:rFonts w:ascii="Arial" w:cs="Arial" w:eastAsia="Arial" w:hAnsi="Arial"/>
          <w:sz w:val="18"/>
          <w:szCs w:val="18"/>
          <w:b w:val="1"/>
          <w:bCs w:val="1"/>
          <w:color w:val="auto"/>
        </w:rPr>
        <w:t>Qualifying Lender</w:t>
      </w:r>
      <w:r>
        <w:rPr>
          <w:rFonts w:ascii="Arial" w:cs="Arial" w:eastAsia="Arial" w:hAnsi="Arial"/>
          <w:sz w:val="18"/>
          <w:szCs w:val="18"/>
          <w:color w:val="auto"/>
        </w:rPr>
        <w:t xml:space="preserve">”). The Company Party will prepay outstanding Term Loans pursuant to this subsection (D) to each Qualifying Lender in the aggregate principal amount and of the tranches specified in such Lender’s Solicited Discounted Prepayment Offer at the Acceptable Discount;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8"/>
          <w:szCs w:val="18"/>
          <w:b w:val="1"/>
          <w:bCs w:val="1"/>
          <w:color w:val="auto"/>
        </w:rPr>
        <w:t>Identified Qualifying Lenders</w:t>
      </w:r>
      <w:r>
        <w:rPr>
          <w:rFonts w:ascii="Arial" w:cs="Arial" w:eastAsia="Arial" w:hAnsi="Arial"/>
          <w:sz w:val="18"/>
          <w:szCs w:val="18"/>
          <w:color w:val="auto"/>
        </w:rPr>
        <w:t>”) shall be made pro rata among the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114</w:t>
      </w:r>
    </w:p>
    <w:p>
      <w:pPr>
        <w:sectPr>
          <w:pgSz w:w="11900" w:h="16838" w:orient="portrait"/>
          <w:cols w:equalWidth="0" w:num="1">
            <w:col w:w="10120"/>
          </w:cols>
          <w:pgMar w:left="1440" w:top="1440" w:right="339" w:bottom="1440" w:gutter="0" w:footer="0" w:header="0"/>
        </w:sectPr>
      </w:pPr>
    </w:p>
    <w:bookmarkStart w:id="162" w:name="page163"/>
    <w:bookmarkEnd w:id="162"/>
    <w:p>
      <w:pPr>
        <w:spacing w:after="0" w:line="316" w:lineRule="exact"/>
        <w:rPr>
          <w:sz w:val="20"/>
          <w:szCs w:val="20"/>
          <w:color w:val="auto"/>
        </w:rPr>
      </w:pPr>
    </w:p>
    <w:p>
      <w:pPr>
        <w:jc w:val="both"/>
        <w:ind w:left="740" w:firstLine="6"/>
        <w:spacing w:after="0" w:line="230" w:lineRule="auto"/>
        <w:rPr>
          <w:sz w:val="20"/>
          <w:szCs w:val="20"/>
          <w:color w:val="auto"/>
        </w:rPr>
      </w:pPr>
      <w:r>
        <w:rPr>
          <w:rFonts w:ascii="Arial" w:cs="Arial" w:eastAsia="Arial" w:hAnsi="Arial"/>
          <w:sz w:val="19"/>
          <w:szCs w:val="19"/>
          <w:color w:val="auto"/>
        </w:rPr>
        <w:t>Qualifying Lenders in accordance with the Offered Amount of each such Identified Qualifying Lender and the Auction Agent (in consultation with such Company Party and subject to rounding requirements of the Auction Agent made in its sole reasonable discretion) will calculate such proration (the “</w:t>
      </w:r>
      <w:r>
        <w:rPr>
          <w:rFonts w:ascii="Arial" w:cs="Arial" w:eastAsia="Arial" w:hAnsi="Arial"/>
          <w:sz w:val="19"/>
          <w:szCs w:val="19"/>
          <w:b w:val="1"/>
          <w:bCs w:val="1"/>
          <w:color w:val="auto"/>
        </w:rPr>
        <w:t>Solicited Discount Proration</w:t>
      </w:r>
      <w:r>
        <w:rPr>
          <w:rFonts w:ascii="Arial" w:cs="Arial" w:eastAsia="Arial" w:hAnsi="Arial"/>
          <w:sz w:val="19"/>
          <w:szCs w:val="19"/>
          <w:color w:val="auto"/>
        </w:rPr>
        <w:t>”). On or prior to the Discounted Prepayment Determination Date, the Auction Agent shall promptly notify (I) the relevant Company Party of the 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Term Lender to be prepaid at the Acceptable Discount on such date, and (IV) if applicable, each Identified Qualifying Lender of the Solicited Discount Proration. Each determination by the Auction Agent of the amounts stated in the foregoing notices to such Company Party and Term Lenders shall be conclusive and binding for all purposes absent manifest error. The payment amount specified in such notice to such Company Party shall be due and payable by such Company Party on the Discounted Prepayment Effective Date in accordance with subsection (F) below (subject to subsection (J) below).</w:t>
      </w:r>
    </w:p>
    <w:p>
      <w:pPr>
        <w:spacing w:after="0" w:line="185" w:lineRule="exact"/>
        <w:rPr>
          <w:sz w:val="20"/>
          <w:szCs w:val="20"/>
          <w:color w:val="auto"/>
        </w:rPr>
      </w:pPr>
    </w:p>
    <w:p>
      <w:pPr>
        <w:jc w:val="both"/>
        <w:ind w:left="120" w:firstLine="620"/>
        <w:spacing w:after="0" w:line="235" w:lineRule="auto"/>
        <w:tabs>
          <w:tab w:leader="none" w:pos="128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In connection with any Discounted Term Loan Prepayment, the Company Parties and the Term Lenders acknowledge and agree that the Auction Agent may require as a condition to any Discounted Term Loan Prepayment, the payment of customary fees and expenses from a Company Party in connection therewith.</w:t>
      </w:r>
    </w:p>
    <w:p>
      <w:pPr>
        <w:spacing w:after="0" w:line="149" w:lineRule="exact"/>
        <w:rPr>
          <w:rFonts w:ascii="Arial" w:cs="Arial" w:eastAsia="Arial" w:hAnsi="Arial"/>
          <w:sz w:val="20"/>
          <w:szCs w:val="20"/>
          <w:color w:val="auto"/>
        </w:rPr>
      </w:pPr>
    </w:p>
    <w:p>
      <w:pPr>
        <w:jc w:val="both"/>
        <w:ind w:left="120" w:firstLine="620"/>
        <w:spacing w:after="0" w:line="232" w:lineRule="auto"/>
        <w:tabs>
          <w:tab w:leader="none" w:pos="122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any Term Loan is prepaid in accordance with paragraphs (B) through (D) above, a Company Party shall prepay such Term Loans on the Discounted Prepayment Effective Date. The relevant Company Party shall make such prepayment to the Administrative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2.05(a)(v) shall be paid to the Discount Prepayment Accepting Lenders, Participating Lenders, or Qualifying Lenders, as applicable, and shall be applied to the relevant Loans of such Lenders in accordance with their respective Pro Rata Share. The aggregate principal amount of the tranches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115</w:t>
      </w:r>
    </w:p>
    <w:p>
      <w:pPr>
        <w:sectPr>
          <w:pgSz w:w="11900" w:h="16838" w:orient="portrait"/>
          <w:cols w:equalWidth="0" w:num="1">
            <w:col w:w="10120"/>
          </w:cols>
          <w:pgMar w:left="1440" w:top="1440" w:right="339" w:bottom="1440" w:gutter="0" w:footer="0" w:header="0"/>
        </w:sectPr>
      </w:pPr>
    </w:p>
    <w:bookmarkStart w:id="163" w:name="page164"/>
    <w:bookmarkEnd w:id="163"/>
    <w:p>
      <w:pPr>
        <w:spacing w:after="0" w:line="316" w:lineRule="exact"/>
        <w:rPr>
          <w:sz w:val="20"/>
          <w:szCs w:val="20"/>
          <w:color w:val="auto"/>
        </w:rPr>
      </w:pPr>
    </w:p>
    <w:p>
      <w:pPr>
        <w:jc w:val="both"/>
        <w:ind w:left="618" w:firstLine="6"/>
        <w:spacing w:after="0" w:line="227" w:lineRule="auto"/>
        <w:rPr>
          <w:sz w:val="20"/>
          <w:szCs w:val="20"/>
          <w:color w:val="auto"/>
        </w:rPr>
      </w:pPr>
      <w:r>
        <w:rPr>
          <w:rFonts w:ascii="Arial" w:cs="Arial" w:eastAsia="Arial" w:hAnsi="Arial"/>
          <w:sz w:val="20"/>
          <w:szCs w:val="20"/>
          <w:color w:val="auto"/>
        </w:rPr>
        <w:t>installments of the relevant Term Loans outstanding shall be deemed reduced by the full par value of the aggregate principal amount of the tranches of Term Loans prepaid on the Discounted Prepayment Effective Date in any Discounted Term Loan Prepayment. In connection with each prepayment pursuant to this Section 2.05(a)(v), the relevant Company Party shall waive any right to bring any action against the Administrative Agent, in its capacity as such, in connection with any such Discounted Term Loan Prepayment.</w:t>
      </w:r>
    </w:p>
    <w:p>
      <w:pPr>
        <w:spacing w:after="0" w:line="176" w:lineRule="exact"/>
        <w:rPr>
          <w:sz w:val="20"/>
          <w:szCs w:val="20"/>
          <w:color w:val="auto"/>
        </w:rPr>
      </w:pPr>
    </w:p>
    <w:p>
      <w:pPr>
        <w:jc w:val="both"/>
        <w:ind w:left="618" w:firstLine="620"/>
        <w:spacing w:after="0" w:line="235" w:lineRule="auto"/>
        <w:tabs>
          <w:tab w:leader="none" w:pos="1920" w:val="left"/>
        </w:tabs>
        <w:numPr>
          <w:ilvl w:val="2"/>
          <w:numId w:val="117"/>
        </w:numPr>
        <w:rPr>
          <w:rFonts w:ascii="Arial" w:cs="Arial" w:eastAsia="Arial" w:hAnsi="Arial"/>
          <w:sz w:val="20"/>
          <w:szCs w:val="20"/>
          <w:color w:val="auto"/>
        </w:rPr>
      </w:pPr>
      <w:r>
        <w:rPr>
          <w:rFonts w:ascii="Arial" w:cs="Arial" w:eastAsia="Arial" w:hAnsi="Arial"/>
          <w:sz w:val="20"/>
          <w:szCs w:val="20"/>
          <w:color w:val="auto"/>
        </w:rPr>
        <w:t>To the extent not expressly provided for herein, each Discounted Term Loan Prepayment shall be consummated pursuant to procedures consistent with the provisions in this Section 2.05(a)(v), established by the Auction Agent acting in its reasonable discretion and as reasonably agreed by the Borrower.</w:t>
      </w:r>
    </w:p>
    <w:p>
      <w:pPr>
        <w:spacing w:after="0" w:line="149" w:lineRule="exact"/>
        <w:rPr>
          <w:rFonts w:ascii="Arial" w:cs="Arial" w:eastAsia="Arial" w:hAnsi="Arial"/>
          <w:sz w:val="20"/>
          <w:szCs w:val="20"/>
          <w:color w:val="auto"/>
        </w:rPr>
      </w:pPr>
    </w:p>
    <w:p>
      <w:pPr>
        <w:jc w:val="both"/>
        <w:ind w:left="618" w:firstLine="620"/>
        <w:spacing w:after="0" w:line="255" w:lineRule="auto"/>
        <w:tabs>
          <w:tab w:leader="none" w:pos="1784" w:val="left"/>
        </w:tabs>
        <w:numPr>
          <w:ilvl w:val="2"/>
          <w:numId w:val="117"/>
        </w:numPr>
        <w:rPr>
          <w:rFonts w:ascii="Arial" w:cs="Arial" w:eastAsia="Arial" w:hAnsi="Arial"/>
          <w:sz w:val="18"/>
          <w:szCs w:val="18"/>
          <w:color w:val="auto"/>
        </w:rPr>
      </w:pPr>
      <w:r>
        <w:rPr>
          <w:rFonts w:ascii="Arial" w:cs="Arial" w:eastAsia="Arial" w:hAnsi="Arial"/>
          <w:sz w:val="18"/>
          <w:szCs w:val="18"/>
          <w:color w:val="auto"/>
        </w:rPr>
        <w:t xml:space="preserve">Notwithstanding anything in any Loan Document to the contrary, for purposes of this Section 2.05(a)(v),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actually received outside of normal business hours shall be deemed to have been given as of the opening of business on the next Business Day.</w:t>
      </w:r>
    </w:p>
    <w:p>
      <w:pPr>
        <w:spacing w:after="0" w:line="138" w:lineRule="exact"/>
        <w:rPr>
          <w:rFonts w:ascii="Arial" w:cs="Arial" w:eastAsia="Arial" w:hAnsi="Arial"/>
          <w:sz w:val="18"/>
          <w:szCs w:val="18"/>
          <w:color w:val="auto"/>
        </w:rPr>
      </w:pPr>
    </w:p>
    <w:p>
      <w:pPr>
        <w:jc w:val="both"/>
        <w:ind w:left="618" w:firstLine="620"/>
        <w:spacing w:after="0" w:line="225" w:lineRule="auto"/>
        <w:tabs>
          <w:tab w:leader="none" w:pos="1724" w:val="left"/>
        </w:tabs>
        <w:numPr>
          <w:ilvl w:val="2"/>
          <w:numId w:val="117"/>
        </w:numPr>
        <w:rPr>
          <w:rFonts w:ascii="Arial" w:cs="Arial" w:eastAsia="Arial" w:hAnsi="Arial"/>
          <w:sz w:val="20"/>
          <w:szCs w:val="20"/>
          <w:color w:val="auto"/>
        </w:rPr>
      </w:pPr>
      <w:r>
        <w:rPr>
          <w:rFonts w:ascii="Arial" w:cs="Arial" w:eastAsia="Arial" w:hAnsi="Arial"/>
          <w:sz w:val="20"/>
          <w:szCs w:val="20"/>
          <w:color w:val="auto"/>
        </w:rPr>
        <w:t>Each of the Company Parties and the Term Lenders acknowledge and agree that the Auction Agent may perform any and all of its duties under this Section 2.05(a)(v)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Section 2.05(a)(v) as well as activities of the Auction Agent.</w:t>
      </w:r>
    </w:p>
    <w:p>
      <w:pPr>
        <w:spacing w:after="0" w:line="150" w:lineRule="exact"/>
        <w:rPr>
          <w:rFonts w:ascii="Arial" w:cs="Arial" w:eastAsia="Arial" w:hAnsi="Arial"/>
          <w:sz w:val="20"/>
          <w:szCs w:val="20"/>
          <w:color w:val="auto"/>
        </w:rPr>
      </w:pPr>
    </w:p>
    <w:p>
      <w:pPr>
        <w:jc w:val="both"/>
        <w:ind w:left="618" w:firstLine="620"/>
        <w:spacing w:after="0" w:line="252" w:lineRule="auto"/>
        <w:tabs>
          <w:tab w:leader="none" w:pos="169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Each Company Party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such Company Party to make any prepayment to a Lender, as applicable, pursuant to this Section 2.05(a)(v) shall not constitute a Default or Event of Default under Section 8.01 or otherwise).</w:t>
      </w:r>
    </w:p>
    <w:p>
      <w:pPr>
        <w:spacing w:after="0" w:line="139" w:lineRule="exact"/>
        <w:rPr>
          <w:rFonts w:ascii="Arial" w:cs="Arial" w:eastAsia="Arial" w:hAnsi="Arial"/>
          <w:sz w:val="18"/>
          <w:szCs w:val="18"/>
          <w:color w:val="auto"/>
        </w:rPr>
      </w:pPr>
    </w:p>
    <w:p>
      <w:pPr>
        <w:ind w:left="438" w:hanging="438"/>
        <w:spacing w:after="0"/>
        <w:tabs>
          <w:tab w:leader="none" w:pos="438" w:val="left"/>
        </w:tabs>
        <w:numPr>
          <w:ilvl w:val="0"/>
          <w:numId w:val="118"/>
        </w:numPr>
        <w:rPr>
          <w:rFonts w:ascii="Arial" w:cs="Arial" w:eastAsia="Arial" w:hAnsi="Arial"/>
          <w:sz w:val="21"/>
          <w:szCs w:val="21"/>
          <w:color w:val="auto"/>
        </w:rPr>
      </w:pPr>
      <w:r>
        <w:rPr>
          <w:rFonts w:ascii="Arial" w:cs="Arial" w:eastAsia="Arial" w:hAnsi="Arial"/>
          <w:sz w:val="21"/>
          <w:szCs w:val="21"/>
          <w:i w:val="1"/>
          <w:iCs w:val="1"/>
          <w:color w:val="auto"/>
        </w:rPr>
        <w:t>Mandatory</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1018" w:hanging="399"/>
        <w:spacing w:after="0"/>
        <w:tabs>
          <w:tab w:leader="none" w:pos="1018" w:val="left"/>
        </w:tabs>
        <w:numPr>
          <w:ilvl w:val="1"/>
          <w:numId w:val="118"/>
        </w:numPr>
        <w:rPr>
          <w:rFonts w:ascii="Arial" w:cs="Arial" w:eastAsia="Arial" w:hAnsi="Arial"/>
          <w:sz w:val="21"/>
          <w:szCs w:val="21"/>
          <w:color w:val="auto"/>
        </w:rPr>
      </w:pPr>
      <w:r>
        <w:rPr>
          <w:rFonts w:ascii="Arial" w:cs="Arial" w:eastAsia="Arial" w:hAnsi="Arial"/>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58"/>
        <w:spacing w:after="0"/>
        <w:rPr>
          <w:sz w:val="20"/>
          <w:szCs w:val="20"/>
          <w:color w:val="auto"/>
        </w:rPr>
      </w:pPr>
      <w:r>
        <w:rPr>
          <w:rFonts w:ascii="Arial" w:cs="Arial" w:eastAsia="Arial" w:hAnsi="Arial"/>
          <w:sz w:val="21"/>
          <w:szCs w:val="21"/>
          <w:color w:val="auto"/>
        </w:rPr>
        <w:t>116</w:t>
      </w:r>
    </w:p>
    <w:p>
      <w:pPr>
        <w:sectPr>
          <w:pgSz w:w="11900" w:h="16838" w:orient="portrait"/>
          <w:cols w:equalWidth="0" w:num="1">
            <w:col w:w="10618"/>
          </w:cols>
          <w:pgMar w:left="942" w:top="1440" w:right="3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500" w:firstLine="621"/>
        <w:spacing w:after="0" w:line="229" w:lineRule="auto"/>
        <w:tabs>
          <w:tab w:leader="none" w:pos="633"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(A) the Borrower or any Restricted Subsidiary of the Borrower Disposes of any property or assets pursuant to Sections 7.05(f), (i) or (j) or (B) any Casualty Event occurs, which results in the realization or receipt by the Borrower or Restricted Subsidiary of Net Proceeds, the Borrower shall cause to be offered to be prepaid in accordance with clause (b)(vi) and (ix) below, on or prior to the date which is ten (10) Business Days after the date of the realization or receipt by the Borrower or any Restricted Subsidiary of such Net Proceeds, subject to clause (b)(xi) below, an aggregate principal amount of Term Loans in an amount equal to the Applicable Asset Sale Percentage of all Net Proceeds received (such amount, the “</w:t>
      </w:r>
      <w:r>
        <w:rPr>
          <w:rFonts w:ascii="Arial" w:cs="Arial" w:eastAsia="Arial" w:hAnsi="Arial"/>
          <w:sz w:val="19"/>
          <w:szCs w:val="19"/>
          <w:b w:val="1"/>
          <w:bCs w:val="1"/>
          <w:color w:val="auto"/>
        </w:rPr>
        <w:t>Applicable</w:t>
      </w:r>
      <w:r>
        <w:rPr>
          <w:rFonts w:ascii="Arial" w:cs="Arial" w:eastAsia="Arial" w:hAnsi="Arial"/>
          <w:sz w:val="19"/>
          <w:szCs w:val="19"/>
          <w:color w:val="auto"/>
        </w:rPr>
        <w:t xml:space="preserve"> </w:t>
      </w:r>
      <w:r>
        <w:rPr>
          <w:rFonts w:ascii="Arial" w:cs="Arial" w:eastAsia="Arial" w:hAnsi="Arial"/>
          <w:sz w:val="19"/>
          <w:szCs w:val="19"/>
          <w:b w:val="1"/>
          <w:bCs w:val="1"/>
          <w:color w:val="auto"/>
        </w:rPr>
        <w:t>Proceeds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if at the time that any such prepayment would be required, the Borrower is required to offer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repurchase Incremental Equivalent First Lien Debt, Credit Agreement Refinancing Indebtedness, Permitted Ratio Debt, incurred Indebtedness under Section 7.03(g) or any other Indebtedness outstanding, in each case, at such time that is secured by a Lien on the Collateral ranking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Lien securing the Term Loans pursuant to the terms of the documentation governing such Indebtedness with the Net Proceeds of such Disposition or Casualty Event (such Indebtedness required to be offered to be so repurchased, “</w:t>
      </w:r>
      <w:r>
        <w:rPr>
          <w:rFonts w:ascii="Arial" w:cs="Arial" w:eastAsia="Arial" w:hAnsi="Arial"/>
          <w:sz w:val="19"/>
          <w:szCs w:val="19"/>
          <w:b w:val="1"/>
          <w:bCs w:val="1"/>
          <w:color w:val="auto"/>
        </w:rPr>
        <w:t>Other Applicable Indebtedness</w:t>
      </w:r>
      <w:r>
        <w:rPr>
          <w:rFonts w:ascii="Arial" w:cs="Arial" w:eastAsia="Arial" w:hAnsi="Arial"/>
          <w:sz w:val="19"/>
          <w:szCs w:val="19"/>
          <w:color w:val="auto"/>
        </w:rPr>
        <w:t xml:space="preserve">”), then the Borrower may apply the Applicable Proceeds on a pro rata basis (determined on the basis of the aggregate outstanding principal amount of the Term Loans and Other Applicable Indebtedness at such time) and the remaining Net Proceeds so received to the prepayment of such Other Applicable Indebtedness; </w:t>
      </w:r>
      <w:r>
        <w:rPr>
          <w:rFonts w:ascii="Arial" w:cs="Arial" w:eastAsia="Arial" w:hAnsi="Arial"/>
          <w:sz w:val="19"/>
          <w:szCs w:val="19"/>
          <w:i w:val="1"/>
          <w:iCs w:val="1"/>
          <w:color w:val="auto"/>
        </w:rPr>
        <w:t>provided, further</w:t>
      </w:r>
      <w:r>
        <w:rPr>
          <w:rFonts w:ascii="Arial" w:cs="Arial" w:eastAsia="Arial" w:hAnsi="Arial"/>
          <w:sz w:val="19"/>
          <w:szCs w:val="19"/>
          <w:color w:val="auto"/>
        </w:rPr>
        <w:t>, that (A) the portion of the Applicable Proceeds (but not the other Net Proceeds received) allocated to the Other Applicable Indebtedness shall not exceed the amount of Applicable Proceeds required to be allocated to the Other Applicable Indebtedness pursuant to the terms thereof, and the remaining amount, if any, of such Net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Section 2.05(b)(ii) shall be reduced accordingly and (B) to the extent the holders of Other Applicable Indebtedness decline to have such indebtedness repurchased or prepaid, the declined amount shall promptly (and in any event within ten (10) Business Days after the date of such rejection) be applied to prepay the Term Loans in accordance with the terms hereof.</w:t>
      </w:r>
    </w:p>
    <w:p>
      <w:pPr>
        <w:spacing w:after="0" w:line="155" w:lineRule="exact"/>
        <w:rPr>
          <w:rFonts w:ascii="Arial" w:cs="Arial" w:eastAsia="Arial" w:hAnsi="Arial"/>
          <w:sz w:val="19"/>
          <w:szCs w:val="19"/>
          <w:color w:val="auto"/>
        </w:rPr>
      </w:pPr>
    </w:p>
    <w:p>
      <w:pPr>
        <w:jc w:val="both"/>
        <w:ind w:left="-500" w:firstLine="621"/>
        <w:spacing w:after="0" w:line="221" w:lineRule="auto"/>
        <w:tabs>
          <w:tab w:leader="none" w:pos="678"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If the Borrower or any Restricted Subsidiary incurs or issues any Indebtedness after the Restatement Date (other than Indebtedness not prohibited under Section 7.03), the Borrower shall cause to be offered to be prepaid in accordance with clause (b)(vi) below an aggregate principal amount of Term Loans in an amount equal to 100% of all Net Proceeds received therefrom on or prior to the date which is five (5) Business Days after the receipt by the Borrower or such Restricted Subsidiary of such Net Proceeds;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at the time that any such prepayment would be required, the Borrower is required to offer to repurchase any Other Applicable Indebtedness with the Net Proceeds of such Indebtedness, then the Borrower may apply such Net Proceeds on a pro rata basis (determined on the basis of the aggregate outstanding principal amount of the Term Loans and Other Applicable Indebtedness at such time); </w:t>
      </w:r>
      <w:r>
        <w:rPr>
          <w:rFonts w:ascii="Arial" w:cs="Arial" w:eastAsia="Arial" w:hAnsi="Arial"/>
          <w:sz w:val="20"/>
          <w:szCs w:val="20"/>
          <w:i w:val="1"/>
          <w:iCs w:val="1"/>
          <w:color w:val="auto"/>
        </w:rPr>
        <w:t>provided, further</w:t>
      </w:r>
      <w:r>
        <w:rPr>
          <w:rFonts w:ascii="Arial" w:cs="Arial" w:eastAsia="Arial" w:hAnsi="Arial"/>
          <w:sz w:val="20"/>
          <w:szCs w:val="20"/>
          <w:color w:val="auto"/>
        </w:rPr>
        <w:t>, that (A) the portion of such Net Proceeds allocated to the Other Applicable Indebtedness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117</w:t>
      </w:r>
    </w:p>
    <w:p>
      <w:pPr>
        <w:sectPr>
          <w:pgSz w:w="11900" w:h="16838" w:orient="portrait"/>
          <w:cols w:equalWidth="0" w:num="1">
            <w:col w:w="10120"/>
          </w:cols>
          <w:pgMar w:left="1440" w:top="1440" w:right="339" w:bottom="1440" w:gutter="0" w:footer="0" w:header="0"/>
        </w:sectPr>
      </w:pPr>
    </w:p>
    <w:bookmarkStart w:id="165" w:name="page166"/>
    <w:bookmarkEnd w:id="165"/>
    <w:p>
      <w:pPr>
        <w:spacing w:after="0" w:line="200" w:lineRule="exact"/>
        <w:rPr>
          <w:sz w:val="20"/>
          <w:szCs w:val="20"/>
          <w:color w:val="auto"/>
        </w:rPr>
      </w:pPr>
    </w:p>
    <w:p>
      <w:pPr>
        <w:spacing w:after="0" w:line="348" w:lineRule="exact"/>
        <w:rPr>
          <w:sz w:val="20"/>
          <w:szCs w:val="20"/>
          <w:color w:val="auto"/>
        </w:rPr>
      </w:pPr>
    </w:p>
    <w:p>
      <w:pPr>
        <w:jc w:val="both"/>
        <w:ind w:firstLine="6"/>
        <w:spacing w:after="0" w:line="233" w:lineRule="auto"/>
        <w:rPr>
          <w:sz w:val="20"/>
          <w:szCs w:val="20"/>
          <w:color w:val="auto"/>
        </w:rPr>
      </w:pPr>
      <w:r>
        <w:rPr>
          <w:rFonts w:ascii="Arial" w:cs="Arial" w:eastAsia="Arial" w:hAnsi="Arial"/>
          <w:sz w:val="19"/>
          <w:szCs w:val="19"/>
          <w:color w:val="auto"/>
        </w:rPr>
        <w:t>not exceed the amount of such Net Proceeds required to be allocated to the Other Applicable Indebtedness pursuant to the terms thereof, and the remaining amount, if any, of such Net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Section 2.05(b)(iii) shall be reduced accordingly and (B) to the extent the holders of Other Applicable Indebtedness decline to have such indebtedness repurchased or prepaid, the declined amount shall promptly (and in any event within ten (10) Business Days after the date of such rejection) be applied to prepay the Term Loans in accordance with the terms hereof. If the Borrower or any other Loan Party incurs any Credit Agreement Refinancing Indebtedness, the Net Proceeds of such Credit Agreement Refinancing Indebtedness shall be used pursuant to clause (iv) of the definition thereof.</w:t>
      </w:r>
    </w:p>
    <w:p>
      <w:pPr>
        <w:spacing w:after="0" w:line="179" w:lineRule="exact"/>
        <w:rPr>
          <w:sz w:val="20"/>
          <w:szCs w:val="20"/>
          <w:color w:val="auto"/>
        </w:rPr>
      </w:pPr>
    </w:p>
    <w:p>
      <w:pPr>
        <w:jc w:val="both"/>
        <w:ind w:firstLine="621"/>
        <w:spacing w:after="0" w:line="230" w:lineRule="auto"/>
        <w:tabs>
          <w:tab w:leader="none" w:pos="123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If for any reason (x) the aggregate Revolving Credit Exposures at any time exceeds the aggregate Revolving Credit Commitments then in effect (including, for the avoidance of doubt, as a result of the termination of any Class of Revolving Credit Commitments on the Maturity Date with respect thereto), the Borrower shall promptly prepay or cause to be promptly prepaid Revolving Credit Loans and Swing Line Loans and/or Cash Collateralize the L/C Obligations in an aggregate amount equal to such excess;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Cash Collateralize the L/C Obligations pursuant to this Section 2.05(b)(iv) unless after the prepayment in full of the Revolving Credit Loans and Swing Line Loans such aggregate Outstanding Amount exceeds the aggregate Revolving Credit Commitments then in effect and (y) the sum of the aggregate Dollar Equivalent of all of the outstanding Revolving Credit Exposures denominated in Approved Foreign Currencies (the “</w:t>
      </w:r>
      <w:r>
        <w:rPr>
          <w:rFonts w:ascii="Arial" w:cs="Arial" w:eastAsia="Arial" w:hAnsi="Arial"/>
          <w:sz w:val="19"/>
          <w:szCs w:val="19"/>
          <w:b w:val="1"/>
          <w:bCs w:val="1"/>
          <w:color w:val="auto"/>
        </w:rPr>
        <w:t>Foreign Currency Exposure</w:t>
      </w:r>
      <w:r>
        <w:rPr>
          <w:rFonts w:ascii="Arial" w:cs="Arial" w:eastAsia="Arial" w:hAnsi="Arial"/>
          <w:sz w:val="19"/>
          <w:szCs w:val="19"/>
          <w:color w:val="auto"/>
        </w:rPr>
        <w:t xml:space="preserve">”) (so calculated), as of the most recent Revaluation Date with respect to each such Credit Extension, exceeds the Approved Foreign Currency Sublimit, the Borrower shall promptly prepay or cause to be promptly prepaid Revolving Credit Loans denominated in an Approved Foreign Currency and/or Cash Collateralize the L/C Obligations denominated in an Approved Foreign Currency in an aggregate amount equal to such excess;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Cash Collateralize the L/C Obligations pursuant to this Section 2.05(b)(iv) unless after the prepayment in full of the Revolving Credit Loans denominated in an Approved Foreign Currency the Foreign Currency Exposure exceeds the aggregate Approved Foreign Currency Sublimit.</w:t>
      </w:r>
    </w:p>
    <w:p>
      <w:pPr>
        <w:spacing w:after="0" w:line="159" w:lineRule="exact"/>
        <w:rPr>
          <w:rFonts w:ascii="Arial" w:cs="Arial" w:eastAsia="Arial" w:hAnsi="Arial"/>
          <w:sz w:val="19"/>
          <w:szCs w:val="19"/>
          <w:color w:val="auto"/>
        </w:rPr>
      </w:pPr>
    </w:p>
    <w:p>
      <w:pPr>
        <w:jc w:val="both"/>
        <w:ind w:firstLine="621"/>
        <w:spacing w:after="0" w:line="223" w:lineRule="auto"/>
        <w:tabs>
          <w:tab w:leader="none" w:pos="116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Except with respect to Loans incurred in connection with any Refinancing Amendment, Term Loan Extension Request, Revolver Extension Request or any Incremental Amendment (which may be prepaid on a less than pro rata basis in accordance with its terms), (A) each prepayment of Term Loans pursuant to this Section 2.05(b) shall be applied as between series, Classes or tranches of Term Loans as directed by the Borrower (provided that (i) any prepayment of Term Loans with the Net Proceeds of Credit Agreement Refinancing Indebtedness shall be applied solely to each applicable Class of Refinanced Debt, (ii) other than as set forth in clause (iii), any Class of Incremental Term Loans may specify that one or more other Classes of Term Loans and Incremental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118</w:t>
      </w:r>
    </w:p>
    <w:p>
      <w:pPr>
        <w:sectPr>
          <w:pgSz w:w="11900" w:h="16838" w:orient="portrait"/>
          <w:cols w:equalWidth="0" w:num="1">
            <w:col w:w="10620"/>
          </w:cols>
          <w:pgMar w:left="940" w:top="1440" w:right="339" w:bottom="1440" w:gutter="0" w:footer="0" w:header="0"/>
        </w:sectPr>
      </w:pPr>
    </w:p>
    <w:bookmarkStart w:id="166" w:name="page167"/>
    <w:bookmarkEnd w:id="166"/>
    <w:p>
      <w:pPr>
        <w:spacing w:after="0" w:line="316" w:lineRule="exact"/>
        <w:rPr>
          <w:sz w:val="20"/>
          <w:szCs w:val="20"/>
          <w:color w:val="auto"/>
        </w:rPr>
      </w:pPr>
    </w:p>
    <w:p>
      <w:pPr>
        <w:jc w:val="both"/>
        <w:ind w:firstLine="6"/>
        <w:spacing w:after="0" w:line="213" w:lineRule="auto"/>
        <w:rPr>
          <w:sz w:val="20"/>
          <w:szCs w:val="20"/>
          <w:color w:val="auto"/>
        </w:rPr>
      </w:pPr>
      <w:r>
        <w:rPr>
          <w:rFonts w:ascii="Arial" w:cs="Arial" w:eastAsia="Arial" w:hAnsi="Arial"/>
          <w:sz w:val="21"/>
          <w:szCs w:val="21"/>
          <w:color w:val="auto"/>
        </w:rPr>
        <w:t>Loans may be prepaid prior to such Class of Incremental Term Loans and (iii) the Borrower shall not direct prepayments to be applied to a series, Class or tranche of Term Loans without prepaying each other series, Class or tranche of Term Loans that matures earlier thereto on at least a pro rata basis); (B) with respect to each Class of Term Loans, each prepayment pursuant to clauses (i) through (iv) of this Section 2.05(b) shall be applied to the scheduled installments of principal thereof following the date of prepayment pursuant to Section 2.07(a) in direct order of maturity (without premium or penalty), unless otherwise directed by the Borrower; and (C) each such prepayment shall be paid to the Lenders in accordance with their respective Pro Rata Shares of such prepayment.</w:t>
      </w:r>
    </w:p>
    <w:p>
      <w:pPr>
        <w:spacing w:after="0" w:line="176" w:lineRule="exact"/>
        <w:rPr>
          <w:sz w:val="20"/>
          <w:szCs w:val="20"/>
          <w:color w:val="auto"/>
        </w:rPr>
      </w:pPr>
    </w:p>
    <w:p>
      <w:pPr>
        <w:jc w:val="both"/>
        <w:ind w:firstLine="621"/>
        <w:spacing w:after="0" w:line="214" w:lineRule="auto"/>
        <w:tabs>
          <w:tab w:leader="none" w:pos="1233"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Borrower shall notify the Administrative Agent in writing of any mandatory prepayment of Term Loans required to be made pursuant to clauses (i) through (iv) of this Section 2.05(b) at least three (3) Business Days prior to the date of such prepayment (or such shorter time as the Administrative Agent may agree). Each such notice shall specify the date of such prepayment and provide a reasonably detailed calculation of the amount of such prepayment. The Administrative Agent will promptly notify each Appropriate Lender of the contents of the Borrower’s prepayment notice and of such Appropriate Lender’s Pro Rata Share of the prepayment.</w:t>
      </w:r>
    </w:p>
    <w:p>
      <w:pPr>
        <w:spacing w:after="0" w:line="151" w:lineRule="exact"/>
        <w:rPr>
          <w:rFonts w:ascii="Arial" w:cs="Arial" w:eastAsia="Arial" w:hAnsi="Arial"/>
          <w:sz w:val="21"/>
          <w:szCs w:val="21"/>
          <w:color w:val="auto"/>
        </w:rPr>
      </w:pPr>
    </w:p>
    <w:p>
      <w:pPr>
        <w:jc w:val="both"/>
        <w:ind w:firstLine="621"/>
        <w:spacing w:after="0" w:line="231" w:lineRule="auto"/>
        <w:tabs>
          <w:tab w:leader="none" w:pos="1180" w:val="left"/>
        </w:tabs>
        <w:numPr>
          <w:ilvl w:val="0"/>
          <w:numId w:val="121"/>
        </w:numPr>
        <w:rPr>
          <w:rFonts w:ascii="Arial" w:cs="Arial" w:eastAsia="Arial" w:hAnsi="Arial"/>
          <w:sz w:val="19"/>
          <w:szCs w:val="19"/>
          <w:color w:val="auto"/>
        </w:rPr>
      </w:pPr>
      <w:r>
        <w:rPr>
          <w:rFonts w:ascii="Arial" w:cs="Arial" w:eastAsia="Arial" w:hAnsi="Arial"/>
          <w:sz w:val="19"/>
          <w:szCs w:val="19"/>
          <w:i w:val="1"/>
          <w:iCs w:val="1"/>
          <w:color w:val="auto"/>
        </w:rPr>
        <w:t>Funding Losses, Etc</w:t>
      </w:r>
      <w:r>
        <w:rPr>
          <w:rFonts w:ascii="Arial" w:cs="Arial" w:eastAsia="Arial" w:hAnsi="Arial"/>
          <w:sz w:val="19"/>
          <w:szCs w:val="19"/>
          <w:color w:val="auto"/>
        </w:rPr>
        <w:t>. All prepayments under this Section 2.05 shall be made together with, in the case of any such</w:t>
      </w:r>
      <w:r>
        <w:rPr>
          <w:rFonts w:ascii="Arial" w:cs="Arial" w:eastAsia="Arial" w:hAnsi="Arial"/>
          <w:sz w:val="19"/>
          <w:szCs w:val="19"/>
          <w:i w:val="1"/>
          <w:iCs w:val="1"/>
          <w:color w:val="auto"/>
        </w:rPr>
        <w:t xml:space="preserve"> </w:t>
      </w:r>
      <w:r>
        <w:rPr>
          <w:rFonts w:ascii="Arial" w:cs="Arial" w:eastAsia="Arial" w:hAnsi="Arial"/>
          <w:sz w:val="19"/>
          <w:szCs w:val="19"/>
          <w:color w:val="auto"/>
        </w:rPr>
        <w:t>prepayment of a Eurocurrency Rate Loan or a Term SOFR Loan on a date prior to the last day of an Interest Period therefor, any amounts owing in respect of such Eurocurrency Rate Loan or Term SOFR Loan pursuant to Section 3.05. Notwithstanding any of the other provisions of this Section 2.05, so long as no Event of Default shall have occurred and be continuing, if any prepayment of Eurocurrency Rate Loans or Term SOFR Loans is required to be made under this Section 2.05, prior to the last day of the Interest Period therefor, the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Section 2.05.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this Section 2.05.</w:t>
      </w:r>
    </w:p>
    <w:p>
      <w:pPr>
        <w:spacing w:after="0" w:line="157" w:lineRule="exact"/>
        <w:rPr>
          <w:rFonts w:ascii="Arial" w:cs="Arial" w:eastAsia="Arial" w:hAnsi="Arial"/>
          <w:sz w:val="19"/>
          <w:szCs w:val="19"/>
          <w:color w:val="auto"/>
        </w:rPr>
      </w:pPr>
    </w:p>
    <w:p>
      <w:pPr>
        <w:jc w:val="both"/>
        <w:ind w:firstLine="621"/>
        <w:spacing w:after="0" w:line="214" w:lineRule="auto"/>
        <w:tabs>
          <w:tab w:leader="none" w:pos="1353" w:val="left"/>
        </w:tabs>
        <w:numPr>
          <w:ilvl w:val="0"/>
          <w:numId w:val="121"/>
        </w:numPr>
        <w:rPr>
          <w:rFonts w:ascii="Arial" w:cs="Arial" w:eastAsia="Arial" w:hAnsi="Arial"/>
          <w:sz w:val="21"/>
          <w:szCs w:val="21"/>
          <w:color w:val="auto"/>
        </w:rPr>
      </w:pPr>
      <w:r>
        <w:rPr>
          <w:rFonts w:ascii="Arial" w:cs="Arial" w:eastAsia="Arial" w:hAnsi="Arial"/>
          <w:sz w:val="21"/>
          <w:szCs w:val="21"/>
          <w:i w:val="1"/>
          <w:iCs w:val="1"/>
          <w:color w:val="auto"/>
        </w:rPr>
        <w:t>Term Opt-out of Prepayment</w:t>
      </w:r>
      <w:r>
        <w:rPr>
          <w:rFonts w:ascii="Arial" w:cs="Arial" w:eastAsia="Arial" w:hAnsi="Arial"/>
          <w:sz w:val="21"/>
          <w:szCs w:val="21"/>
          <w:color w:val="auto"/>
        </w:rPr>
        <w:t>. With respect to each prepayment of Term Loans required pursuant to Section</w:t>
      </w:r>
      <w:r>
        <w:rPr>
          <w:rFonts w:ascii="Arial" w:cs="Arial" w:eastAsia="Arial" w:hAnsi="Arial"/>
          <w:sz w:val="21"/>
          <w:szCs w:val="21"/>
          <w:i w:val="1"/>
          <w:iCs w:val="1"/>
          <w:color w:val="auto"/>
        </w:rPr>
        <w:t xml:space="preserve"> </w:t>
      </w:r>
      <w:r>
        <w:rPr>
          <w:rFonts w:ascii="Arial" w:cs="Arial" w:eastAsia="Arial" w:hAnsi="Arial"/>
          <w:sz w:val="21"/>
          <w:szCs w:val="21"/>
          <w:color w:val="auto"/>
        </w:rPr>
        <w:t>2.05(b)(ii), (A) each Lender of Term Loans will have the right to refuse such offer of prepayment by giving written notice of such refusal to the Administrative Agent within one (1) Business Day after such Lender’s receipt of notice from the Administrative Agent of such offer of prepayment (“</w:t>
      </w:r>
      <w:r>
        <w:rPr>
          <w:rFonts w:ascii="Arial" w:cs="Arial" w:eastAsia="Arial" w:hAnsi="Arial"/>
          <w:sz w:val="21"/>
          <w:szCs w:val="21"/>
          <w:b w:val="1"/>
          <w:bCs w:val="1"/>
          <w:color w:val="auto"/>
        </w:rPr>
        <w:t>Declined Proceeds</w:t>
      </w:r>
      <w:r>
        <w:rPr>
          <w:rFonts w:ascii="Arial" w:cs="Arial" w:eastAsia="Arial" w:hAnsi="Arial"/>
          <w:sz w:val="21"/>
          <w:szCs w:val="21"/>
          <w:color w:val="auto"/>
        </w:rPr>
        <w:t>”) (in which case the Borrower shall not prepay any Term Loans of such Lender on the date that is specified in clause (B) below), (B) the Borrower will make all such prepayments not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60"/>
        <w:spacing w:after="0"/>
        <w:rPr>
          <w:sz w:val="20"/>
          <w:szCs w:val="20"/>
          <w:color w:val="auto"/>
        </w:rPr>
      </w:pPr>
      <w:r>
        <w:rPr>
          <w:rFonts w:ascii="Arial" w:cs="Arial" w:eastAsia="Arial" w:hAnsi="Arial"/>
          <w:sz w:val="21"/>
          <w:szCs w:val="21"/>
          <w:color w:val="auto"/>
        </w:rPr>
        <w:t>119</w:t>
      </w:r>
    </w:p>
    <w:p>
      <w:pPr>
        <w:sectPr>
          <w:pgSz w:w="11900" w:h="16838" w:orient="portrait"/>
          <w:cols w:equalWidth="0" w:num="1">
            <w:col w:w="10620"/>
          </w:cols>
          <w:pgMar w:left="940" w:top="1440" w:right="339" w:bottom="1440" w:gutter="0" w:footer="0" w:header="0"/>
        </w:sectPr>
      </w:pPr>
    </w:p>
    <w:bookmarkStart w:id="167" w:name="page168"/>
    <w:bookmarkEnd w:id="167"/>
    <w:p>
      <w:pPr>
        <w:spacing w:after="0" w:line="316" w:lineRule="exact"/>
        <w:rPr>
          <w:sz w:val="20"/>
          <w:szCs w:val="20"/>
          <w:color w:val="auto"/>
        </w:rPr>
      </w:pPr>
    </w:p>
    <w:p>
      <w:pPr>
        <w:ind w:left="620" w:firstLine="6"/>
        <w:spacing w:after="0" w:line="233" w:lineRule="auto"/>
        <w:rPr>
          <w:sz w:val="20"/>
          <w:szCs w:val="20"/>
          <w:color w:val="auto"/>
        </w:rPr>
      </w:pPr>
      <w:r>
        <w:rPr>
          <w:rFonts w:ascii="Arial" w:cs="Arial" w:eastAsia="Arial" w:hAnsi="Arial"/>
          <w:sz w:val="21"/>
          <w:szCs w:val="21"/>
          <w:color w:val="auto"/>
        </w:rPr>
        <w:t>refused upon the fourth Business Day after delivery of notice by the Borrower pursuant to Section 2.05(b)(vi) and (C) any Declined Proceeds may be retained by the Borrower.</w:t>
      </w:r>
    </w:p>
    <w:p>
      <w:pPr>
        <w:spacing w:after="0" w:line="176" w:lineRule="exact"/>
        <w:rPr>
          <w:sz w:val="20"/>
          <w:szCs w:val="20"/>
          <w:color w:val="auto"/>
        </w:rPr>
      </w:pPr>
    </w:p>
    <w:p>
      <w:pPr>
        <w:jc w:val="both"/>
        <w:ind w:left="620" w:firstLine="621"/>
        <w:spacing w:after="0" w:line="234" w:lineRule="auto"/>
        <w:tabs>
          <w:tab w:leader="none" w:pos="186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In connection with any mandatory prepayments by the Borrower of the Term Loans pursuant to this Section 2.05(b), such prepayments shall be applied on a pro rata basis to the then outstanding Term Loans of the applicable Class or Classes being prepaid irrespective of whether such outstanding Term Loans are Base Rate Loans, Term SOFR Loans or Eurocurrency Rate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no Lenders exercise the right to waive a given mandatory prepayment of the Term Loans pursuant to Section 2.05(b)(viii), then, with respect to such mandatory prepayment, the amount of such mandatory prepayment within any tranche of Term Loans shall be applied first to Term Loans of such tranche that are Base Rate Loans to the full extent thereof before application to Term Loans of such tranche that are Eurocurrency Rate Loans or Term SOFR Loans in a manner that minimizes the amount of any payments required to be made by the Borrower pursuant to Section 3.05.</w:t>
      </w:r>
    </w:p>
    <w:p>
      <w:pPr>
        <w:spacing w:after="0" w:line="152" w:lineRule="exact"/>
        <w:rPr>
          <w:rFonts w:ascii="Arial" w:cs="Arial" w:eastAsia="Arial" w:hAnsi="Arial"/>
          <w:sz w:val="19"/>
          <w:szCs w:val="19"/>
          <w:color w:val="auto"/>
        </w:rPr>
      </w:pPr>
    </w:p>
    <w:p>
      <w:pPr>
        <w:jc w:val="both"/>
        <w:ind w:left="620" w:firstLine="621"/>
        <w:spacing w:after="0" w:line="230" w:lineRule="auto"/>
        <w:tabs>
          <w:tab w:leader="none" w:pos="1711" w:val="left"/>
        </w:tabs>
        <w:numPr>
          <w:ilvl w:val="0"/>
          <w:numId w:val="122"/>
        </w:numPr>
        <w:rPr>
          <w:rFonts w:ascii="Arial" w:cs="Arial" w:eastAsia="Arial" w:hAnsi="Arial"/>
          <w:sz w:val="19"/>
          <w:szCs w:val="19"/>
          <w:color w:val="auto"/>
        </w:rPr>
      </w:pPr>
      <w:r>
        <w:rPr>
          <w:rFonts w:ascii="Arial" w:cs="Arial" w:eastAsia="Arial" w:hAnsi="Arial"/>
          <w:sz w:val="19"/>
          <w:szCs w:val="19"/>
          <w:i w:val="1"/>
          <w:iCs w:val="1"/>
          <w:color w:val="auto"/>
        </w:rPr>
        <w:t>Foreign Dispositions</w:t>
      </w:r>
      <w:r>
        <w:rPr>
          <w:rFonts w:ascii="Arial" w:cs="Arial" w:eastAsia="Arial" w:hAnsi="Arial"/>
          <w:sz w:val="19"/>
          <w:szCs w:val="19"/>
          <w:color w:val="auto"/>
        </w:rPr>
        <w:t>. Notwithstanding any other provisions of this Section 2.05, (i) to the extent that any or all of</w:t>
      </w:r>
      <w:r>
        <w:rPr>
          <w:rFonts w:ascii="Arial" w:cs="Arial" w:eastAsia="Arial" w:hAnsi="Arial"/>
          <w:sz w:val="19"/>
          <w:szCs w:val="19"/>
          <w:i w:val="1"/>
          <w:iCs w:val="1"/>
          <w:color w:val="auto"/>
        </w:rPr>
        <w:t xml:space="preserve"> </w:t>
      </w:r>
      <w:r>
        <w:rPr>
          <w:rFonts w:ascii="Arial" w:cs="Arial" w:eastAsia="Arial" w:hAnsi="Arial"/>
          <w:sz w:val="19"/>
          <w:szCs w:val="19"/>
          <w:color w:val="auto"/>
        </w:rPr>
        <w:t>the Net Proceeds of any Disposition by a Foreign Subsidiary (“</w:t>
      </w:r>
      <w:r>
        <w:rPr>
          <w:rFonts w:ascii="Arial" w:cs="Arial" w:eastAsia="Arial" w:hAnsi="Arial"/>
          <w:sz w:val="19"/>
          <w:szCs w:val="19"/>
          <w:b w:val="1"/>
          <w:bCs w:val="1"/>
          <w:color w:val="auto"/>
        </w:rPr>
        <w:t>Foreign Disposition</w:t>
      </w:r>
      <w:r>
        <w:rPr>
          <w:rFonts w:ascii="Arial" w:cs="Arial" w:eastAsia="Arial" w:hAnsi="Arial"/>
          <w:sz w:val="19"/>
          <w:szCs w:val="19"/>
          <w:color w:val="auto"/>
        </w:rPr>
        <w:t>”) are prohibited or delayed by applicable local law from being repatriated to the United States, an amount equal to the portion of such Net Proceeds so affected will not be required to be applied to repay Term Loans at the times provided in this Section 2.05 so long, but only so long, as the applicable local law will not permit repatriation to the United States (the Borrower hereby agreeing to cause the applicable Foreign Subsidiary to promptly take all actions reasonably required by the applicable local law to permit such repatriation), and once such repatriation of any of such affected Net Proceeds that would otherwise be required to be used to make an offer of prepayment pursuant to Sections 2.05(b)(ii), is permitted under the applicable local law, an amount equal to such Net Proceeds will be promptly applied (net of additional taxes that would be payable or reserved against as a result of repatriations such amount) to the repayment of the Term Loans pursuant to this Section 2.05 and (ii) to the extent that the Borrower has reasonably determined in good faith that repatriation of any of or all the Net Proceeds of any Foreign Disposition would have material adverse tax cost consequences to Holdings, the Borrower, any direct or indirect parent entity of the Borrower or any of the Borrower’s direct or indirect Subsidiaries with respect to such Net Proceeds, an amount equal to such Net Proceeds will be applied (net of additional taxes that would be payable or reserved against as a result of repatriations such amounts) to the repayment of the Term Loans pursuant to this Section 2.05.</w:t>
      </w:r>
    </w:p>
    <w:p>
      <w:pPr>
        <w:spacing w:after="0" w:line="160"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i w:val="1"/>
          <w:iCs w:val="1"/>
          <w:color w:val="auto"/>
        </w:rPr>
        <w:t>Termination or Reduction of Commitments</w:t>
      </w:r>
      <w:r>
        <w:rPr>
          <w:rFonts w:ascii="Arial" w:cs="Arial" w:eastAsia="Arial" w:hAnsi="Arial"/>
          <w:sz w:val="21"/>
          <w:szCs w:val="21"/>
          <w:color w:val="auto"/>
        </w:rPr>
        <w:t xml:space="preserve">. (a) </w:t>
      </w:r>
      <w:r>
        <w:rPr>
          <w:rFonts w:ascii="Arial" w:cs="Arial" w:eastAsia="Arial" w:hAnsi="Arial"/>
          <w:sz w:val="21"/>
          <w:szCs w:val="21"/>
          <w:i w:val="1"/>
          <w:iCs w:val="1"/>
          <w:color w:val="auto"/>
        </w:rPr>
        <w:t>Optional</w:t>
      </w:r>
      <w:r>
        <w:rPr>
          <w:rFonts w:ascii="Arial" w:cs="Arial" w:eastAsia="Arial" w:hAnsi="Arial"/>
          <w:sz w:val="21"/>
          <w:szCs w:val="21"/>
          <w:color w:val="auto"/>
        </w:rPr>
        <w:t xml:space="preserve">. The Borrower may, upon written notice to the Administrative Agent, terminate the unused Commitments of any Class, or from time to time permanently reduce the unused Commitments of any Class, in each case without premium or penalty;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any such notice shall be received by the Administrative Agent three Business Days prior to the date of termination or reduction (unless the Administrative Agent agrees to a shorter period in its discretion), (ii) any such partial reduction shall be in a minimum aggregate principal amount of $500,000, or any whole multiple of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316" w:lineRule="exact"/>
        <w:rPr>
          <w:sz w:val="20"/>
          <w:szCs w:val="20"/>
          <w:color w:val="auto"/>
        </w:rPr>
      </w:pPr>
    </w:p>
    <w:p>
      <w:pPr>
        <w:jc w:val="both"/>
        <w:ind w:firstLine="6"/>
        <w:spacing w:after="0" w:line="237" w:lineRule="auto"/>
        <w:rPr>
          <w:sz w:val="20"/>
          <w:szCs w:val="20"/>
          <w:color w:val="auto"/>
        </w:rPr>
      </w:pPr>
      <w:r>
        <w:rPr>
          <w:rFonts w:ascii="Arial" w:cs="Arial" w:eastAsia="Arial" w:hAnsi="Arial"/>
          <w:sz w:val="19"/>
          <w:szCs w:val="19"/>
          <w:color w:val="auto"/>
        </w:rPr>
        <w:t>in excess thereof or, if less, the entire amount thereof and (iii) if, after giving effect to any reduction of the Commitments, the Letter of Credit Sublimit or the Swing Line Sublimit exceeds the amount of the Revolving Credit Facility, such sublimit shall be automatically reduced by the amount of such excess. The amount of any such Commitment reduction shall not otherwise be applied to the Letter of Credit Sublimit or the Swing Line Sublimit unless otherwise specified by the Borrower. Notwithstanding the foregoing, the Borrower may rescind or postpone any notice of termination of the Commitments if such termination would have resulted from a refinancing of all of the applicable Facility, which refinancing shall not be consummated or otherwise shall be delayed.</w:t>
      </w:r>
    </w:p>
    <w:p>
      <w:pPr>
        <w:spacing w:after="0" w:line="175" w:lineRule="exact"/>
        <w:rPr>
          <w:sz w:val="20"/>
          <w:szCs w:val="20"/>
          <w:color w:val="auto"/>
        </w:rPr>
      </w:pPr>
    </w:p>
    <w:p>
      <w:pPr>
        <w:jc w:val="both"/>
        <w:ind w:firstLine="622"/>
        <w:spacing w:after="0" w:line="219" w:lineRule="auto"/>
        <w:tabs>
          <w:tab w:leader="none" w:pos="1194" w:val="left"/>
        </w:tabs>
        <w:numPr>
          <w:ilvl w:val="0"/>
          <w:numId w:val="123"/>
        </w:numPr>
        <w:rPr>
          <w:rFonts w:ascii="Arial" w:cs="Arial" w:eastAsia="Arial" w:hAnsi="Arial"/>
          <w:sz w:val="21"/>
          <w:szCs w:val="21"/>
          <w:color w:val="auto"/>
        </w:rPr>
      </w:pPr>
      <w:r>
        <w:rPr>
          <w:rFonts w:ascii="Arial" w:cs="Arial" w:eastAsia="Arial" w:hAnsi="Arial"/>
          <w:sz w:val="21"/>
          <w:szCs w:val="21"/>
          <w:i w:val="1"/>
          <w:iCs w:val="1"/>
          <w:color w:val="auto"/>
        </w:rPr>
        <w:t>Mandatory</w:t>
      </w:r>
      <w:r>
        <w:rPr>
          <w:rFonts w:ascii="Arial" w:cs="Arial" w:eastAsia="Arial" w:hAnsi="Arial"/>
          <w:sz w:val="21"/>
          <w:szCs w:val="21"/>
          <w:color w:val="auto"/>
        </w:rPr>
        <w:t>. The Restatement Date Term Commitment of each Term Lender shall be automatically and permanently</w:t>
      </w:r>
      <w:r>
        <w:rPr>
          <w:rFonts w:ascii="Arial" w:cs="Arial" w:eastAsia="Arial" w:hAnsi="Arial"/>
          <w:sz w:val="21"/>
          <w:szCs w:val="21"/>
          <w:i w:val="1"/>
          <w:iCs w:val="1"/>
          <w:color w:val="auto"/>
        </w:rPr>
        <w:t xml:space="preserve"> </w:t>
      </w:r>
      <w:r>
        <w:rPr>
          <w:rFonts w:ascii="Arial" w:cs="Arial" w:eastAsia="Arial" w:hAnsi="Arial"/>
          <w:sz w:val="21"/>
          <w:szCs w:val="21"/>
          <w:color w:val="auto"/>
        </w:rPr>
        <w:t>reduced to $0 upon the funding of Restatement Date Term Loans to be made by it on the Restatement Date. The Revolving Credit Commitment of each Class shall automatically and permanently terminate on the Maturity Date with respect to such Class of Revolving Credit Commitments.</w:t>
      </w:r>
    </w:p>
    <w:p>
      <w:pPr>
        <w:spacing w:after="0" w:line="149" w:lineRule="exact"/>
        <w:rPr>
          <w:rFonts w:ascii="Arial" w:cs="Arial" w:eastAsia="Arial" w:hAnsi="Arial"/>
          <w:sz w:val="21"/>
          <w:szCs w:val="21"/>
          <w:color w:val="auto"/>
        </w:rPr>
      </w:pPr>
    </w:p>
    <w:p>
      <w:pPr>
        <w:jc w:val="both"/>
        <w:ind w:firstLine="622"/>
        <w:spacing w:after="0" w:line="237" w:lineRule="auto"/>
        <w:tabs>
          <w:tab w:leader="none" w:pos="1067" w:val="left"/>
        </w:tabs>
        <w:numPr>
          <w:ilvl w:val="0"/>
          <w:numId w:val="123"/>
        </w:numPr>
        <w:rPr>
          <w:rFonts w:ascii="Arial" w:cs="Arial" w:eastAsia="Arial" w:hAnsi="Arial"/>
          <w:sz w:val="19"/>
          <w:szCs w:val="19"/>
          <w:color w:val="auto"/>
        </w:rPr>
      </w:pPr>
      <w:r>
        <w:rPr>
          <w:rFonts w:ascii="Arial" w:cs="Arial" w:eastAsia="Arial" w:hAnsi="Arial"/>
          <w:sz w:val="19"/>
          <w:szCs w:val="19"/>
          <w:i w:val="1"/>
          <w:iCs w:val="1"/>
          <w:color w:val="auto"/>
        </w:rPr>
        <w:t>Application of Commitment Reductions; Payment of Fees</w:t>
      </w:r>
      <w:r>
        <w:rPr>
          <w:rFonts w:ascii="Arial" w:cs="Arial" w:eastAsia="Arial" w:hAnsi="Arial"/>
          <w:sz w:val="19"/>
          <w:szCs w:val="19"/>
          <w:color w:val="auto"/>
        </w:rPr>
        <w:t>. The Administrative Agent will promptly notify the Appropriate</w:t>
      </w:r>
      <w:r>
        <w:rPr>
          <w:rFonts w:ascii="Arial" w:cs="Arial" w:eastAsia="Arial" w:hAnsi="Arial"/>
          <w:sz w:val="19"/>
          <w:szCs w:val="19"/>
          <w:i w:val="1"/>
          <w:iCs w:val="1"/>
          <w:color w:val="auto"/>
        </w:rPr>
        <w:t xml:space="preserve"> </w:t>
      </w:r>
      <w:r>
        <w:rPr>
          <w:rFonts w:ascii="Arial" w:cs="Arial" w:eastAsia="Arial" w:hAnsi="Arial"/>
          <w:sz w:val="19"/>
          <w:szCs w:val="19"/>
          <w:color w:val="auto"/>
        </w:rPr>
        <w:t>Lenders of any termination or reduction of unused portions of the Letter of Credit Sublimit or the Swing Line Sublimit or the unused Commitments of any Class under this Section 2.06. Upon any reduction of unused Commitments of any Class, the Commitment of each Lender of such Class shall be reduced by such Lender’s Pro Rata Share of the amount by which such Commitments are reduced (other than the termination of the Commitment of any Lender as provided in Section 3.07). All commitment fees accrued until the effective date of any termination of the Aggregate Commitments shall be paid on the effective date of such termination.</w:t>
      </w:r>
    </w:p>
    <w:p>
      <w:pPr>
        <w:spacing w:after="0" w:line="149"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i w:val="1"/>
          <w:iCs w:val="1"/>
          <w:color w:val="auto"/>
        </w:rPr>
        <w:t>Repayment of Loans.</w:t>
      </w:r>
      <w:r>
        <w:rPr>
          <w:rFonts w:ascii="Arial" w:cs="Arial" w:eastAsia="Arial" w:hAnsi="Arial"/>
          <w:sz w:val="19"/>
          <w:szCs w:val="19"/>
          <w:color w:val="auto"/>
        </w:rPr>
        <w:t xml:space="preserve"> (a) </w:t>
      </w:r>
      <w:r>
        <w:rPr>
          <w:rFonts w:ascii="Arial" w:cs="Arial" w:eastAsia="Arial" w:hAnsi="Arial"/>
          <w:sz w:val="19"/>
          <w:szCs w:val="19"/>
          <w:i w:val="1"/>
          <w:iCs w:val="1"/>
          <w:color w:val="auto"/>
        </w:rPr>
        <w:t>Term Loans.</w:t>
      </w:r>
      <w:r>
        <w:rPr>
          <w:rFonts w:ascii="Arial" w:cs="Arial" w:eastAsia="Arial" w:hAnsi="Arial"/>
          <w:sz w:val="19"/>
          <w:szCs w:val="19"/>
          <w:color w:val="auto"/>
        </w:rPr>
        <w:t xml:space="preserve"> The Borrower shall repay to the Administrative Agent for the ratable account of the Term Lenders (i) on the last Business Day of each March, June, September and December, commencing with December 31, 2022, an aggregate principal amount of Restatement Date Term Loans incurred on the Restatement Date equal to the percentage of the aggregate principal amount of the Restatement Date Term Loans outstanding on the Restatement Date (which payments shall be reduced (x) as a result of the application of prepayments in accordance with the order of priority set forth in Section 2.05 and (y) on a </w:t>
      </w:r>
      <w:r>
        <w:rPr>
          <w:rFonts w:ascii="Arial" w:cs="Arial" w:eastAsia="Arial" w:hAnsi="Arial"/>
          <w:sz w:val="19"/>
          <w:szCs w:val="19"/>
          <w:i w:val="1"/>
          <w:iCs w:val="1"/>
          <w:color w:val="auto"/>
        </w:rPr>
        <w:t xml:space="preserve">pro rata </w:t>
      </w:r>
      <w:r>
        <w:rPr>
          <w:rFonts w:ascii="Arial" w:cs="Arial" w:eastAsia="Arial" w:hAnsi="Arial"/>
          <w:sz w:val="19"/>
          <w:szCs w:val="19"/>
          <w:color w:val="auto"/>
        </w:rPr>
        <w:t>basis with respect to any amortization payment as a result of voluntary prepayments pursuant to Section 2.05(a)(v), any</w:t>
      </w:r>
      <w:r>
        <w:rPr>
          <w:rFonts w:ascii="Arial" w:cs="Arial" w:eastAsia="Arial" w:hAnsi="Arial"/>
          <w:sz w:val="19"/>
          <w:szCs w:val="19"/>
          <w:i w:val="1"/>
          <w:iCs w:val="1"/>
          <w:color w:val="auto"/>
        </w:rPr>
        <w:t xml:space="preserve"> </w:t>
      </w:r>
      <w:r>
        <w:rPr>
          <w:rFonts w:ascii="Arial" w:cs="Arial" w:eastAsia="Arial" w:hAnsi="Arial"/>
          <w:sz w:val="19"/>
          <w:szCs w:val="19"/>
          <w:color w:val="auto"/>
        </w:rPr>
        <w:t>repurchases pursuant to Section 10.07(l) or any prepayments pursuant to Section 3.07(a), based on the face amount of the Restatement Date Term Loans so prepaid or repurchased) as follows:</w:t>
      </w:r>
    </w:p>
    <w:p>
      <w:pPr>
        <w:spacing w:after="0" w:line="192" w:lineRule="exact"/>
        <w:rPr>
          <w:sz w:val="20"/>
          <w:szCs w:val="20"/>
          <w:color w:val="auto"/>
        </w:rPr>
      </w:pPr>
    </w:p>
    <w:tbl>
      <w:tblPr>
        <w:tblLayout w:type="fixed"/>
        <w:tblInd w:w="230" w:type="dxa"/>
        <w:tblCellMar>
          <w:top w:w="0" w:type="dxa"/>
          <w:left w:w="0" w:type="dxa"/>
          <w:bottom w:w="0" w:type="dxa"/>
          <w:right w:w="0" w:type="dxa"/>
        </w:tblCellMar>
      </w:tblPr>
      <w:tr>
        <w:trPr>
          <w:trHeight w:val="256"/>
        </w:trPr>
        <w:tc>
          <w:tcPr>
            <w:tcW w:w="70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Payment Date</w:t>
            </w:r>
          </w:p>
        </w:tc>
        <w:tc>
          <w:tcPr>
            <w:tcW w:w="34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9"/>
                <w:szCs w:val="19"/>
                <w:color w:val="auto"/>
              </w:rPr>
              <w:t>Quarterly Amortization</w:t>
            </w:r>
          </w:p>
        </w:tc>
      </w:tr>
      <w:tr>
        <w:trPr>
          <w:trHeight w:val="238"/>
        </w:trPr>
        <w:tc>
          <w:tcPr>
            <w:tcW w:w="7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December 31, 2022 through September 30, 2023</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0.25%</w:t>
            </w:r>
          </w:p>
        </w:tc>
      </w:tr>
      <w:tr>
        <w:trPr>
          <w:trHeight w:val="238"/>
        </w:trPr>
        <w:tc>
          <w:tcPr>
            <w:tcW w:w="7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December 31, 2023 through September 30, 2024</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0.625%</w:t>
            </w:r>
          </w:p>
        </w:tc>
      </w:tr>
      <w:tr>
        <w:trPr>
          <w:trHeight w:val="238"/>
        </w:trPr>
        <w:tc>
          <w:tcPr>
            <w:tcW w:w="7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December 31, 2024 through September 30, 2025</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1.25%</w:t>
            </w:r>
          </w:p>
        </w:tc>
      </w:tr>
      <w:tr>
        <w:trPr>
          <w:trHeight w:val="238"/>
        </w:trPr>
        <w:tc>
          <w:tcPr>
            <w:tcW w:w="7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December 31, 2025 through September 30, 2026</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1.875%</w:t>
            </w:r>
          </w:p>
        </w:tc>
      </w:tr>
      <w:tr>
        <w:trPr>
          <w:trHeight w:val="238"/>
        </w:trPr>
        <w:tc>
          <w:tcPr>
            <w:tcW w:w="7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w w:val="95"/>
              </w:rPr>
              <w:t>From December 31, 2026 until the Maturity Date of the Restatement Date Term Loans</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121</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16"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and (ii) on the Maturity Date for the Restatement Date Term Loans, the aggregate principal amount of all Restatement Date Term Loans outstanding on such date. In the event that any Incremental Term Loans, Refinancing Term Loans or Extended Term Loans are made, such other Incremental Term Loans, Refinancing Term Loans or Extended Term Loans, as applicable, shall be repaid by the Borrower in the amounts and on the dates set forth in the Incremental Amendment, Refinancing Amendment or Extension Amendment with respect thereto and on the applicable Maturity Date thereof. In connection with the incurrence of any Incremental Term Loans, the Borrower may re-establish or increase the scheduled amortization in Section 2.07(a)(i) so long as the new amortization is no less than the then remaining amortization applicable to the Restatement Date Term Loans pursuant to clause (E) of the third paragraph of Section 10.01.</w:t>
      </w:r>
    </w:p>
    <w:p>
      <w:pPr>
        <w:spacing w:after="0" w:line="180" w:lineRule="exact"/>
        <w:rPr>
          <w:sz w:val="20"/>
          <w:szCs w:val="20"/>
          <w:color w:val="auto"/>
        </w:rPr>
      </w:pPr>
    </w:p>
    <w:p>
      <w:pPr>
        <w:jc w:val="both"/>
        <w:ind w:firstLine="622"/>
        <w:spacing w:after="0" w:line="224" w:lineRule="auto"/>
        <w:tabs>
          <w:tab w:leader="none" w:pos="1091" w:val="left"/>
        </w:tabs>
        <w:numPr>
          <w:ilvl w:val="0"/>
          <w:numId w:val="124"/>
        </w:numPr>
        <w:rPr>
          <w:rFonts w:ascii="Arial" w:cs="Arial" w:eastAsia="Arial" w:hAnsi="Arial"/>
          <w:sz w:val="21"/>
          <w:szCs w:val="21"/>
          <w:color w:val="auto"/>
        </w:rPr>
      </w:pPr>
      <w:r>
        <w:rPr>
          <w:rFonts w:ascii="Arial" w:cs="Arial" w:eastAsia="Arial" w:hAnsi="Arial"/>
          <w:sz w:val="21"/>
          <w:szCs w:val="21"/>
          <w:i w:val="1"/>
          <w:iCs w:val="1"/>
          <w:color w:val="auto"/>
        </w:rPr>
        <w:t>Revolving Credit Loans</w:t>
      </w:r>
      <w:r>
        <w:rPr>
          <w:rFonts w:ascii="Arial" w:cs="Arial" w:eastAsia="Arial" w:hAnsi="Arial"/>
          <w:sz w:val="21"/>
          <w:szCs w:val="21"/>
          <w:color w:val="auto"/>
        </w:rPr>
        <w:t>. The Borrower shall repay to the Administrative Agent for the ratable account of the Appropriate</w:t>
      </w:r>
      <w:r>
        <w:rPr>
          <w:rFonts w:ascii="Arial" w:cs="Arial" w:eastAsia="Arial" w:hAnsi="Arial"/>
          <w:sz w:val="21"/>
          <w:szCs w:val="21"/>
          <w:i w:val="1"/>
          <w:iCs w:val="1"/>
          <w:color w:val="auto"/>
        </w:rPr>
        <w:t xml:space="preserve"> </w:t>
      </w:r>
      <w:r>
        <w:rPr>
          <w:rFonts w:ascii="Arial" w:cs="Arial" w:eastAsia="Arial" w:hAnsi="Arial"/>
          <w:sz w:val="21"/>
          <w:szCs w:val="21"/>
          <w:color w:val="auto"/>
        </w:rPr>
        <w:t>Lenders on the applicable Maturity Date for the Revolving Credit Facilities of a given Class the aggregate principal amount of all of its Revolving Credit Loans of such Class outstanding on such date.</w:t>
      </w:r>
    </w:p>
    <w:p>
      <w:pPr>
        <w:spacing w:after="0" w:line="148" w:lineRule="exact"/>
        <w:rPr>
          <w:rFonts w:ascii="Arial" w:cs="Arial" w:eastAsia="Arial" w:hAnsi="Arial"/>
          <w:sz w:val="21"/>
          <w:szCs w:val="21"/>
          <w:color w:val="auto"/>
        </w:rPr>
      </w:pPr>
    </w:p>
    <w:p>
      <w:pPr>
        <w:jc w:val="both"/>
        <w:ind w:firstLine="622"/>
        <w:spacing w:after="0" w:line="219" w:lineRule="auto"/>
        <w:tabs>
          <w:tab w:leader="none" w:pos="1097" w:val="left"/>
        </w:tabs>
        <w:numPr>
          <w:ilvl w:val="0"/>
          <w:numId w:val="124"/>
        </w:numPr>
        <w:rPr>
          <w:rFonts w:ascii="Arial" w:cs="Arial" w:eastAsia="Arial" w:hAnsi="Arial"/>
          <w:sz w:val="21"/>
          <w:szCs w:val="21"/>
          <w:color w:val="auto"/>
        </w:rPr>
      </w:pPr>
      <w:r>
        <w:rPr>
          <w:rFonts w:ascii="Arial" w:cs="Arial" w:eastAsia="Arial" w:hAnsi="Arial"/>
          <w:sz w:val="21"/>
          <w:szCs w:val="21"/>
          <w:i w:val="1"/>
          <w:iCs w:val="1"/>
          <w:color w:val="auto"/>
        </w:rPr>
        <w:t>Swing Line Loans</w:t>
      </w:r>
      <w:r>
        <w:rPr>
          <w:rFonts w:ascii="Arial" w:cs="Arial" w:eastAsia="Arial" w:hAnsi="Arial"/>
          <w:sz w:val="21"/>
          <w:szCs w:val="21"/>
          <w:color w:val="auto"/>
        </w:rPr>
        <w:t>. The Borrower shall repay each Swing Line Loan on the earlier to occur of (i) the date that is five (5)</w:t>
      </w:r>
      <w:r>
        <w:rPr>
          <w:rFonts w:ascii="Arial" w:cs="Arial" w:eastAsia="Arial" w:hAnsi="Arial"/>
          <w:sz w:val="21"/>
          <w:szCs w:val="21"/>
          <w:i w:val="1"/>
          <w:iCs w:val="1"/>
          <w:color w:val="auto"/>
        </w:rPr>
        <w:t xml:space="preserve"> </w:t>
      </w:r>
      <w:r>
        <w:rPr>
          <w:rFonts w:ascii="Arial" w:cs="Arial" w:eastAsia="Arial" w:hAnsi="Arial"/>
          <w:sz w:val="21"/>
          <w:szCs w:val="21"/>
          <w:color w:val="auto"/>
        </w:rPr>
        <w:t>Business Days after such Loan is made and (ii) the Maturity Date for the Revolving Credit Facility (although Swing Line Loans may thereafter be reborrowed, in accordance with the terms and conditions hereof, if there are one or more Classes of Revolving Credit Commitments which remain in effect).</w:t>
      </w:r>
    </w:p>
    <w:p>
      <w:pPr>
        <w:spacing w:after="0" w:line="150"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(a) Subject to the provisions of Section 2.08(b), (i) each Eurocurrency Rate Loan shall bear interest on the outstanding principal amount thereof for each Interest Period at a rate per annum equal to the Eurocurrency Rate for such Interest Period plus the Applicable Rate; (ii) each Base Rate Loan (other than a Swing Line Loan) shall bear interest on the outstanding principal amount thereof from the applicable borrowing date at a rate per annum equal to the Base Rate plus the Applicable Rate; (iii) each Term SOFR Loan shall bear interest on the outstanding principal amount thereof for each Interest Period at a rate per annum equal to the Adjusted Term SOFR Rate for such Interest Period plus the Applicable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Term SOFR shall be determined pursuant to clause (a)(ii) of the definition thereof, each such Loan shall be deemed to bear interest on the outstanding principal amount thereof from the applicable borrowing date at a rate per annum equal to Daily Simple SOFR for each day such Loan remains outstanding plus the Applicable Rate; and (iv) each Swing Line Loan shall bear interest on the outstanding principal amount thereof from the applicable borrowing date at a rate per annum equal to the Base Rate plus the Applicable Rate for Revolving Credit Loans.</w:t>
      </w:r>
    </w:p>
    <w:p>
      <w:pPr>
        <w:spacing w:after="0" w:line="147" w:lineRule="exact"/>
        <w:rPr>
          <w:sz w:val="20"/>
          <w:szCs w:val="20"/>
          <w:color w:val="auto"/>
        </w:rPr>
      </w:pPr>
    </w:p>
    <w:p>
      <w:pPr>
        <w:jc w:val="both"/>
        <w:ind w:firstLine="622"/>
        <w:spacing w:after="0" w:line="216" w:lineRule="auto"/>
        <w:tabs>
          <w:tab w:leader="none" w:pos="1092" w:val="left"/>
        </w:tabs>
        <w:numPr>
          <w:ilvl w:val="0"/>
          <w:numId w:val="125"/>
        </w:numPr>
        <w:rPr>
          <w:rFonts w:ascii="Arial" w:cs="Arial" w:eastAsia="Arial" w:hAnsi="Arial"/>
          <w:sz w:val="21"/>
          <w:szCs w:val="21"/>
          <w:color w:val="auto"/>
        </w:rPr>
      </w:pPr>
      <w:r>
        <w:rPr>
          <w:rFonts w:ascii="Arial" w:cs="Arial" w:eastAsia="Arial" w:hAnsi="Arial"/>
          <w:sz w:val="21"/>
          <w:szCs w:val="21"/>
          <w:color w:val="auto"/>
        </w:rPr>
        <w:t xml:space="preserve">During the continuance of a Default under Section 8.01(a), the Borrower shall pay interest on past due amounts owing by it hereunder at a fluctuating interest rate per annum at all times equal to the Default Rate to the fullest extent permitted by applicable Laws;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interest at the Default Rate shall accrue or be payable to a Defaulting Lender so long as such Lender shall be a Defaulting Lender. Accrued and unpaid interest on such amounts (including interest on past due interest) shall be due and payable upon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122</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00" w:lineRule="exact"/>
        <w:rPr>
          <w:sz w:val="20"/>
          <w:szCs w:val="20"/>
          <w:color w:val="auto"/>
        </w:rPr>
      </w:pPr>
    </w:p>
    <w:p>
      <w:pPr>
        <w:spacing w:after="0" w:line="348" w:lineRule="exact"/>
        <w:rPr>
          <w:sz w:val="20"/>
          <w:szCs w:val="20"/>
          <w:color w:val="auto"/>
        </w:rPr>
      </w:pPr>
    </w:p>
    <w:p>
      <w:pPr>
        <w:jc w:val="both"/>
        <w:ind w:firstLine="622"/>
        <w:spacing w:after="0" w:line="219" w:lineRule="auto"/>
        <w:tabs>
          <w:tab w:leader="none" w:pos="1125" w:val="left"/>
        </w:tabs>
        <w:numPr>
          <w:ilvl w:val="0"/>
          <w:numId w:val="126"/>
        </w:numPr>
        <w:rPr>
          <w:rFonts w:ascii="Arial" w:cs="Arial" w:eastAsia="Arial" w:hAnsi="Arial"/>
          <w:sz w:val="21"/>
          <w:szCs w:val="21"/>
          <w:color w:val="auto"/>
        </w:rPr>
      </w:pPr>
      <w:r>
        <w:rPr>
          <w:rFonts w:ascii="Arial" w:cs="Arial" w:eastAsia="Arial" w:hAnsi="Arial"/>
          <w:sz w:val="21"/>
          <w:szCs w:val="21"/>
          <w:color w:val="auto"/>
        </w:rPr>
        <w:t>Interest on each Loan shall be due and payable in arrears on each Interest Payment Date applicable thereto and at such other times as may be specified herein, in each case, in the Approved Currency in which the applicable Loan is denominated. Interest hereunder shall be due and payable in accordance with the terms hereof before and after judgment, and before and after the commencement of any proceeding under any Debtor Relief Law.</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2.09.</w:t>
      </w:r>
      <w:r>
        <w:rPr>
          <w:sz w:val="20"/>
          <w:szCs w:val="20"/>
          <w:color w:val="auto"/>
        </w:rPr>
        <w:tab/>
      </w:r>
      <w:r>
        <w:rPr>
          <w:rFonts w:ascii="Arial" w:cs="Arial" w:eastAsia="Arial" w:hAnsi="Arial"/>
          <w:sz w:val="18"/>
          <w:szCs w:val="18"/>
          <w:i w:val="1"/>
          <w:iCs w:val="1"/>
          <w:color w:val="auto"/>
        </w:rPr>
        <w:t>Fees</w:t>
      </w:r>
      <w:r>
        <w:rPr>
          <w:rFonts w:ascii="Arial" w:cs="Arial" w:eastAsia="Arial" w:hAnsi="Arial"/>
          <w:sz w:val="18"/>
          <w:szCs w:val="18"/>
          <w:color w:val="auto"/>
        </w:rPr>
        <w:t>. In addition to certain fees described in Sections 2.03(h) and (i):</w:t>
      </w:r>
    </w:p>
    <w:p>
      <w:pPr>
        <w:spacing w:after="0" w:line="171" w:lineRule="exact"/>
        <w:rPr>
          <w:sz w:val="20"/>
          <w:szCs w:val="20"/>
          <w:color w:val="auto"/>
        </w:rPr>
      </w:pPr>
    </w:p>
    <w:p>
      <w:pPr>
        <w:jc w:val="both"/>
        <w:ind w:firstLine="622"/>
        <w:spacing w:after="0" w:line="230" w:lineRule="auto"/>
        <w:tabs>
          <w:tab w:leader="none" w:pos="1157" w:val="left"/>
        </w:tabs>
        <w:numPr>
          <w:ilvl w:val="0"/>
          <w:numId w:val="127"/>
        </w:numPr>
        <w:rPr>
          <w:rFonts w:ascii="Arial" w:cs="Arial" w:eastAsia="Arial" w:hAnsi="Arial"/>
          <w:sz w:val="19"/>
          <w:szCs w:val="19"/>
          <w:color w:val="auto"/>
        </w:rPr>
      </w:pPr>
      <w:r>
        <w:rPr>
          <w:rFonts w:ascii="Arial" w:cs="Arial" w:eastAsia="Arial" w:hAnsi="Arial"/>
          <w:sz w:val="19"/>
          <w:szCs w:val="19"/>
          <w:i w:val="1"/>
          <w:iCs w:val="1"/>
          <w:color w:val="auto"/>
        </w:rPr>
        <w:t>Commitment Fee</w:t>
      </w:r>
      <w:r>
        <w:rPr>
          <w:rFonts w:ascii="Arial" w:cs="Arial" w:eastAsia="Arial" w:hAnsi="Arial"/>
          <w:sz w:val="19"/>
          <w:szCs w:val="19"/>
          <w:color w:val="auto"/>
        </w:rPr>
        <w:t>. The Borrower agrees to pay to the Administrative Agent for the account of each Revolving Credit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Lender under the applicable Revolving Credit Facility in accordance with its Pro Rata Share or other applicable share provided for under this Agreement, a commitment fee in Dollars equal to the Applicable Rate with respect to Revolving Credit Loan commitment fees, times the actual daily amount by which the aggregate Revolving Credit Commitments for the applicable Revolving Credit Facility exceeds the sum of (A) the Outstanding Amount of Revolving Credit Loans for such Facility, and (B) the Outstanding Amount of L/C Obligations for such Facility;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no commitment fee shall accrue on any of the Commitments of a Defaulting Lender so long as such Lender shall be a Defaulting Lender. For the avoidance of doubt, Swing Line Loans shall, for purposes of the commitment fees calculations only, not be deemed a utilization of the Revolving Credit Facility. The commitment fee on each Revolving Credit Facility shall accrue at all times from the Restatement Date until the Maturity Date for the Revolving Credit Commitments, including at any time during which one or more of the conditions in Article 4 is not met, and shall be due and payable quarterly in arrears fifteen days following the end of each fiscal quarter, commencing with the first such date during the first full fiscal quarter to occur after the Restatement Date and on the Maturity Date for the Revolving Credit Commitments. The commitment fee shall be calculated quarterly in arrears.</w:t>
      </w:r>
    </w:p>
    <w:p>
      <w:pPr>
        <w:spacing w:after="0" w:line="156" w:lineRule="exact"/>
        <w:rPr>
          <w:rFonts w:ascii="Arial" w:cs="Arial" w:eastAsia="Arial" w:hAnsi="Arial"/>
          <w:sz w:val="19"/>
          <w:szCs w:val="19"/>
          <w:color w:val="auto"/>
        </w:rPr>
      </w:pPr>
    </w:p>
    <w:p>
      <w:pPr>
        <w:jc w:val="both"/>
        <w:ind w:firstLine="622"/>
        <w:spacing w:after="0" w:line="219" w:lineRule="auto"/>
        <w:tabs>
          <w:tab w:leader="none" w:pos="1207" w:val="left"/>
        </w:tabs>
        <w:numPr>
          <w:ilvl w:val="0"/>
          <w:numId w:val="127"/>
        </w:numPr>
        <w:rPr>
          <w:rFonts w:ascii="Arial" w:cs="Arial" w:eastAsia="Arial" w:hAnsi="Arial"/>
          <w:sz w:val="21"/>
          <w:szCs w:val="21"/>
          <w:color w:val="auto"/>
        </w:rPr>
      </w:pPr>
      <w:r>
        <w:rPr>
          <w:rFonts w:ascii="Arial" w:cs="Arial" w:eastAsia="Arial" w:hAnsi="Arial"/>
          <w:sz w:val="21"/>
          <w:szCs w:val="21"/>
          <w:i w:val="1"/>
          <w:iCs w:val="1"/>
          <w:color w:val="auto"/>
        </w:rPr>
        <w:t>Other Fees</w:t>
      </w:r>
      <w:r>
        <w:rPr>
          <w:rFonts w:ascii="Arial" w:cs="Arial" w:eastAsia="Arial" w:hAnsi="Arial"/>
          <w:sz w:val="21"/>
          <w:szCs w:val="21"/>
          <w:color w:val="auto"/>
        </w:rPr>
        <w:t>. The Borrower shall pay to the Agents such fees as shall have been separately agreed upon in writing</w:t>
      </w:r>
      <w:r>
        <w:rPr>
          <w:rFonts w:ascii="Arial" w:cs="Arial" w:eastAsia="Arial" w:hAnsi="Arial"/>
          <w:sz w:val="21"/>
          <w:szCs w:val="21"/>
          <w:i w:val="1"/>
          <w:iCs w:val="1"/>
          <w:color w:val="auto"/>
        </w:rPr>
        <w:t xml:space="preserve"> </w:t>
      </w:r>
      <w:r>
        <w:rPr>
          <w:rFonts w:ascii="Arial" w:cs="Arial" w:eastAsia="Arial" w:hAnsi="Arial"/>
          <w:sz w:val="21"/>
          <w:szCs w:val="21"/>
          <w:color w:val="auto"/>
        </w:rPr>
        <w:t>(including, but not limited to, as set forth in the Engagement Letter) in the amounts and at the times so specified. Such fees shall be fully earned when paid and shall not be refundable for any reason whatsoever (except as expressly agreed between the Borrower and the applicable Agent).</w:t>
      </w:r>
    </w:p>
    <w:p>
      <w:pPr>
        <w:spacing w:after="0" w:line="150"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i w:val="1"/>
          <w:iCs w:val="1"/>
          <w:color w:val="auto"/>
        </w:rPr>
        <w:t>Computation of Interest and Fees</w:t>
      </w:r>
      <w:r>
        <w:rPr>
          <w:rFonts w:ascii="Arial" w:cs="Arial" w:eastAsia="Arial" w:hAnsi="Arial"/>
          <w:sz w:val="19"/>
          <w:szCs w:val="19"/>
          <w:color w:val="auto"/>
        </w:rPr>
        <w:t xml:space="preserve">. All computations of interest for Base Rate Loans shall be made on the basis of a year of three hundred sixty-five (365) days, or three hundred sixty-six (366) days, as applicable, and actual days elapsed. All other computations of fees and interest shall be made on the basis of a three hundred sixty (360) 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Loan that is repaid on the same day on which it is made shall, subject to Section 2.12(a), bear interest for one (1) day. Each determination by the Administrative Agent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16" w:lineRule="exact"/>
        <w:rPr>
          <w:sz w:val="20"/>
          <w:szCs w:val="20"/>
          <w:color w:val="auto"/>
        </w:rPr>
      </w:pPr>
    </w:p>
    <w:p>
      <w:pPr>
        <w:spacing w:after="0"/>
        <w:rPr>
          <w:sz w:val="20"/>
          <w:szCs w:val="20"/>
          <w:color w:val="auto"/>
        </w:rPr>
      </w:pPr>
      <w:r>
        <w:rPr>
          <w:rFonts w:ascii="Arial" w:cs="Arial" w:eastAsia="Arial" w:hAnsi="Arial"/>
          <w:sz w:val="21"/>
          <w:szCs w:val="21"/>
          <w:color w:val="auto"/>
        </w:rPr>
        <w:t>interest rate or fee hereunder shall be conclusive and binding for all purposes, absent manifest error.</w:t>
      </w:r>
    </w:p>
    <w:p>
      <w:pPr>
        <w:spacing w:after="0" w:line="197"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i w:val="1"/>
          <w:iCs w:val="1"/>
          <w:color w:val="auto"/>
        </w:rPr>
        <w:t>Evidence of Indebtedness</w:t>
      </w:r>
      <w:r>
        <w:rPr>
          <w:rFonts w:ascii="Arial" w:cs="Arial" w:eastAsia="Arial" w:hAnsi="Arial"/>
          <w:sz w:val="19"/>
          <w:szCs w:val="19"/>
          <w:color w:val="auto"/>
        </w:rPr>
        <w:t>. (a) 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agent for the Borrower, in each case in the ordinary course of business. The accounts or records maintained by the Administrative Agent and each Lender shall be prima facie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payable to such Lender and its registered assignees, which shall evidence such Lender’s Loans in addition to such accounts or records. Each Lender, may attach schedules to its Note and endorse thereon the date, Type (if applicable), amount, currency and maturity of its Loans and payments with respect thereto.</w:t>
      </w:r>
    </w:p>
    <w:p>
      <w:pPr>
        <w:spacing w:after="0" w:line="154" w:lineRule="exact"/>
        <w:rPr>
          <w:sz w:val="20"/>
          <w:szCs w:val="20"/>
          <w:color w:val="auto"/>
        </w:rPr>
      </w:pPr>
    </w:p>
    <w:p>
      <w:pPr>
        <w:jc w:val="both"/>
        <w:ind w:firstLine="622"/>
        <w:spacing w:after="0" w:line="239" w:lineRule="auto"/>
        <w:tabs>
          <w:tab w:leader="none" w:pos="115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In addition to the accounts and records referred to in Section 2.11(a), each Lender and the Administrative Agent shall maintain in accordance with its usual practice accounts or records and, in the case of the Administrative Agent, entries in the Register,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49" w:lineRule="exact"/>
        <w:rPr>
          <w:rFonts w:ascii="Arial" w:cs="Arial" w:eastAsia="Arial" w:hAnsi="Arial"/>
          <w:sz w:val="19"/>
          <w:szCs w:val="19"/>
          <w:color w:val="auto"/>
        </w:rPr>
      </w:pPr>
    </w:p>
    <w:p>
      <w:pPr>
        <w:jc w:val="both"/>
        <w:ind w:firstLine="622"/>
        <w:spacing w:after="0" w:line="213" w:lineRule="auto"/>
        <w:tabs>
          <w:tab w:leader="none" w:pos="1095"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Entries made in good faith by the Administrative Agent in the Register pursuant to Sections 2.11(a) and (b), and by each Lender in its account or accounts pursuant to Sections 2.11(a) and (b),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spacing w:after="0" w:line="150"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 xml:space="preserve">Section 2.12. </w:t>
      </w:r>
      <w:r>
        <w:rPr>
          <w:rFonts w:ascii="Arial" w:cs="Arial" w:eastAsia="Arial" w:hAnsi="Arial"/>
          <w:sz w:val="21"/>
          <w:szCs w:val="21"/>
          <w:i w:val="1"/>
          <w:iCs w:val="1"/>
          <w:color w:val="auto"/>
        </w:rPr>
        <w:t>Payments Generally</w:t>
      </w:r>
      <w:r>
        <w:rPr>
          <w:rFonts w:ascii="Arial" w:cs="Arial" w:eastAsia="Arial" w:hAnsi="Arial"/>
          <w:sz w:val="21"/>
          <w:szCs w:val="21"/>
          <w:color w:val="auto"/>
        </w:rPr>
        <w:t>. (a) All payments to be made by the Borrower shall be made without condition or deduction for any counterclaim, defense, recoupment or setoff. Except as otherwise expressly provided herein and except with respect to an Approved Foreign Currency, all payments by the Borrower hereunder shall be made to the Administrative Agent, for the account of the respective Lenders to which such payment is owed, at the applicable Administrative Agent’s Office for Dollar-denominated payments and in Same Day Funds not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124</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316" w:lineRule="exact"/>
        <w:rPr>
          <w:sz w:val="20"/>
          <w:szCs w:val="20"/>
          <w:color w:val="auto"/>
        </w:rPr>
      </w:pPr>
    </w:p>
    <w:p>
      <w:pPr>
        <w:jc w:val="both"/>
        <w:ind w:firstLine="6"/>
        <w:spacing w:after="0" w:line="232" w:lineRule="auto"/>
        <w:rPr>
          <w:sz w:val="20"/>
          <w:szCs w:val="20"/>
          <w:color w:val="auto"/>
        </w:rPr>
      </w:pPr>
      <w:r>
        <w:rPr>
          <w:rFonts w:ascii="Arial" w:cs="Arial" w:eastAsia="Arial" w:hAnsi="Arial"/>
          <w:sz w:val="19"/>
          <w:szCs w:val="19"/>
          <w:color w:val="auto"/>
        </w:rPr>
        <w:t>than 1:00 p.m. New York City time on the date specified herein. Except as otherwise expressly provided herein, all payments by the Borrower hereunder in an Approved Foreign Currency shall be made to the Administrative Agent, for the account of the respective Lenders to which such payment is owed, at the applicable Administrative Agent’s Office in such Approved Foreign Currency and in Same Day Funds not later than 2:00 p.m. (London time) (or, if earlier, 9:00 a.m. New York City time) on the dates specified herein. If, for any reason, the Borrower is prohibited by any Law from making any required payment hereunder in an Approved Foreign Currency, the Borrower shall make such payment in Dollars in an amount equal to the Dollar Equivalent of such Approved Foreign Currency payment amount. The Administrative Agent will promptly distribute to each Appropriate Lender its Pro Rata Share (or other applicable share as provided herein) of such payment in like funds as received by wire transfer to such Lender’s applicable Lending Office. All payments received by the Administrative Agent after the time specified above shall in each case be deemed received on the next succeeding Business Day and any applicable interest or fee shall continue to accrue.</w:t>
      </w:r>
    </w:p>
    <w:p>
      <w:pPr>
        <w:spacing w:after="0" w:line="183" w:lineRule="exact"/>
        <w:rPr>
          <w:sz w:val="20"/>
          <w:szCs w:val="20"/>
          <w:color w:val="auto"/>
        </w:rPr>
      </w:pPr>
    </w:p>
    <w:p>
      <w:pPr>
        <w:jc w:val="both"/>
        <w:ind w:firstLine="622"/>
        <w:spacing w:after="0" w:line="216" w:lineRule="auto"/>
        <w:tabs>
          <w:tab w:leader="none" w:pos="1127" w:val="left"/>
        </w:tabs>
        <w:numPr>
          <w:ilvl w:val="0"/>
          <w:numId w:val="129"/>
        </w:numPr>
        <w:rPr>
          <w:rFonts w:ascii="Arial" w:cs="Arial" w:eastAsia="Arial" w:hAnsi="Arial"/>
          <w:sz w:val="21"/>
          <w:szCs w:val="21"/>
          <w:color w:val="auto"/>
        </w:rPr>
      </w:pPr>
      <w:r>
        <w:rPr>
          <w:rFonts w:ascii="Arial" w:cs="Arial" w:eastAsia="Arial" w:hAnsi="Arial"/>
          <w:sz w:val="21"/>
          <w:szCs w:val="21"/>
          <w:color w:val="auto"/>
        </w:rPr>
        <w:t>Except as otherwise provided herein, if any payment to be made by the Borrower shall come due on a day other than a Business Day, payment shall be made on the next following Business Day, and such extension of time shall be reflected in computing interest or fees, as the case may be; provided that if such extension would cause payment of interest on or principal of Eurocurrency Rate Loans or Term SOFR Loans to be made in the next succeeding calendar month, such payment shall be made on the immediately preceding Business Day.</w:t>
      </w:r>
    </w:p>
    <w:p>
      <w:pPr>
        <w:spacing w:after="0" w:line="150" w:lineRule="exact"/>
        <w:rPr>
          <w:rFonts w:ascii="Arial" w:cs="Arial" w:eastAsia="Arial" w:hAnsi="Arial"/>
          <w:sz w:val="21"/>
          <w:szCs w:val="21"/>
          <w:color w:val="auto"/>
        </w:rPr>
      </w:pPr>
    </w:p>
    <w:p>
      <w:pPr>
        <w:jc w:val="both"/>
        <w:ind w:firstLine="622"/>
        <w:spacing w:after="0" w:line="239" w:lineRule="auto"/>
        <w:tabs>
          <w:tab w:leader="none" w:pos="108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w:t>
      </w:r>
    </w:p>
    <w:p>
      <w:pPr>
        <w:spacing w:after="0" w:line="149" w:lineRule="exact"/>
        <w:rPr>
          <w:rFonts w:ascii="Arial" w:cs="Arial" w:eastAsia="Arial" w:hAnsi="Arial"/>
          <w:sz w:val="19"/>
          <w:szCs w:val="19"/>
          <w:color w:val="auto"/>
        </w:rPr>
      </w:pPr>
    </w:p>
    <w:p>
      <w:pPr>
        <w:jc w:val="both"/>
        <w:ind w:left="620" w:firstLine="621"/>
        <w:spacing w:after="0" w:line="214" w:lineRule="auto"/>
        <w:tabs>
          <w:tab w:leader="none" w:pos="1686" w:val="left"/>
        </w:tabs>
        <w:numPr>
          <w:ilvl w:val="1"/>
          <w:numId w:val="129"/>
        </w:numPr>
        <w:rPr>
          <w:rFonts w:ascii="Arial" w:cs="Arial" w:eastAsia="Arial" w:hAnsi="Arial"/>
          <w:sz w:val="21"/>
          <w:szCs w:val="21"/>
          <w:color w:val="auto"/>
        </w:rPr>
      </w:pPr>
      <w:r>
        <w:rPr>
          <w:rFonts w:ascii="Arial" w:cs="Arial" w:eastAsia="Arial" w:hAnsi="Arial"/>
          <w:sz w:val="21"/>
          <w:szCs w:val="21"/>
          <w:color w:val="auto"/>
        </w:rPr>
        <w:t>if the Borrower failed to make such payment, each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Federal Funds Effective Rate, plus any reasonable administrative, processing or similar fees customarily charged by the Administrative Agent in connection with the foregoing; and</w:t>
      </w:r>
    </w:p>
    <w:p>
      <w:pPr>
        <w:spacing w:after="0" w:line="151" w:lineRule="exact"/>
        <w:rPr>
          <w:rFonts w:ascii="Arial" w:cs="Arial" w:eastAsia="Arial" w:hAnsi="Arial"/>
          <w:sz w:val="21"/>
          <w:szCs w:val="21"/>
          <w:color w:val="auto"/>
        </w:rPr>
      </w:pPr>
    </w:p>
    <w:p>
      <w:pPr>
        <w:jc w:val="both"/>
        <w:ind w:left="620" w:firstLine="621"/>
        <w:spacing w:after="0" w:line="216" w:lineRule="auto"/>
        <w:tabs>
          <w:tab w:leader="none" w:pos="1741" w:val="left"/>
        </w:tabs>
        <w:numPr>
          <w:ilvl w:val="1"/>
          <w:numId w:val="129"/>
        </w:numPr>
        <w:rPr>
          <w:rFonts w:ascii="Arial" w:cs="Arial" w:eastAsia="Arial" w:hAnsi="Arial"/>
          <w:sz w:val="21"/>
          <w:szCs w:val="21"/>
          <w:color w:val="auto"/>
        </w:rPr>
      </w:pPr>
      <w:r>
        <w:rPr>
          <w:rFonts w:ascii="Arial" w:cs="Arial" w:eastAsia="Arial" w:hAnsi="Arial"/>
          <w:sz w:val="21"/>
          <w:szCs w:val="21"/>
          <w:color w:val="auto"/>
        </w:rPr>
        <w:t>if any Lender failed to make such payment (including, without limitation, failure to fund participations in respect of any Letter of Credit or Swing Line Loan), such Lender shall forthwith on demand pay to the Administrative Agent the amount thereof in Same Day Funds, together with interest thereon for the period from the date such amount was made available by the Administrative Agent to the Borrower to the date such amount is recovered by the Administrative Agent (the “</w:t>
      </w:r>
      <w:r>
        <w:rPr>
          <w:rFonts w:ascii="Arial" w:cs="Arial" w:eastAsia="Arial" w:hAnsi="Arial"/>
          <w:sz w:val="21"/>
          <w:szCs w:val="21"/>
          <w:b w:val="1"/>
          <w:bCs w:val="1"/>
          <w:color w:val="auto"/>
        </w:rPr>
        <w:t>Compensation Period</w:t>
      </w:r>
      <w:r>
        <w:rPr>
          <w:rFonts w:ascii="Arial" w:cs="Arial" w:eastAsia="Arial" w:hAnsi="Arial"/>
          <w:sz w:val="21"/>
          <w:szCs w:val="21"/>
          <w:color w:val="auto"/>
        </w:rPr>
        <w:t>”) at a rate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125</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16" w:lineRule="exact"/>
        <w:rPr>
          <w:sz w:val="20"/>
          <w:szCs w:val="20"/>
          <w:color w:val="auto"/>
        </w:rPr>
      </w:pPr>
    </w:p>
    <w:p>
      <w:pPr>
        <w:jc w:val="both"/>
        <w:ind w:left="620" w:firstLine="6"/>
        <w:spacing w:after="0" w:line="232" w:lineRule="auto"/>
        <w:rPr>
          <w:sz w:val="20"/>
          <w:szCs w:val="20"/>
          <w:color w:val="auto"/>
        </w:rPr>
      </w:pPr>
      <w:r>
        <w:rPr>
          <w:rFonts w:ascii="Arial" w:cs="Arial" w:eastAsia="Arial" w:hAnsi="Arial"/>
          <w:sz w:val="19"/>
          <w:szCs w:val="19"/>
          <w:color w:val="auto"/>
        </w:rPr>
        <w:t>annum equal to the Federal Funds Effective Rate, plus any reasonable administrative, processing or similar fees customarily charged by the Administrative Agent in connection with the foregoing.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(including, without limitation, failure to fund participations in respect of any Letter of Credit or Swing Line Loan) forthwith upon the Administrative Agent’s demand therefor, the Administrative Agent may make a demand 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178" w:lineRule="exact"/>
        <w:rPr>
          <w:sz w:val="20"/>
          <w:szCs w:val="20"/>
          <w:color w:val="auto"/>
        </w:rPr>
      </w:pPr>
    </w:p>
    <w:p>
      <w:pPr>
        <w:ind w:firstLine="619"/>
        <w:spacing w:after="0" w:line="233" w:lineRule="auto"/>
        <w:rPr>
          <w:sz w:val="20"/>
          <w:szCs w:val="20"/>
          <w:color w:val="auto"/>
        </w:rPr>
      </w:pPr>
      <w:r>
        <w:rPr>
          <w:rFonts w:ascii="Arial" w:cs="Arial" w:eastAsia="Arial" w:hAnsi="Arial"/>
          <w:sz w:val="21"/>
          <w:szCs w:val="21"/>
          <w:color w:val="auto"/>
        </w:rPr>
        <w:t>A notice of the Administrative Agent to any Lender or the Borrower with respect to any amount owing under this Section 2.12(c) shall be conclusive, absent manifest error.</w:t>
      </w:r>
    </w:p>
    <w:p>
      <w:pPr>
        <w:spacing w:after="0" w:line="150" w:lineRule="exact"/>
        <w:rPr>
          <w:sz w:val="20"/>
          <w:szCs w:val="20"/>
          <w:color w:val="auto"/>
        </w:rPr>
      </w:pPr>
    </w:p>
    <w:p>
      <w:pPr>
        <w:jc w:val="both"/>
        <w:ind w:firstLine="622"/>
        <w:spacing w:after="0" w:line="239" w:lineRule="auto"/>
        <w:tabs>
          <w:tab w:leader="none" w:pos="109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any Lender makes available to the Administrative Agent funds for any Loan to be made by such Lender as provided in the foregoing provisions of this Article 2, and such funds are not made available to the Borrower by the Administrative Agent because the conditions to the applicable Credit Extension set forth in Article 4 or in the applicable Incremental Amendment, Extension Amendment or Refinancing Amendment are not satisfied or waived in accordance with the terms hereof, the Administrative Agent shall return such funds (in like funds as received from such Lender) to such Lender, without interest.</w:t>
      </w:r>
    </w:p>
    <w:p>
      <w:pPr>
        <w:spacing w:after="0" w:line="149" w:lineRule="exact"/>
        <w:rPr>
          <w:rFonts w:ascii="Arial" w:cs="Arial" w:eastAsia="Arial" w:hAnsi="Arial"/>
          <w:sz w:val="19"/>
          <w:szCs w:val="19"/>
          <w:color w:val="auto"/>
        </w:rPr>
      </w:pPr>
    </w:p>
    <w:p>
      <w:pPr>
        <w:jc w:val="both"/>
        <w:ind w:firstLine="622"/>
        <w:spacing w:after="0" w:line="219" w:lineRule="auto"/>
        <w:tabs>
          <w:tab w:leader="none" w:pos="1113"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06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8" w:lineRule="exact"/>
        <w:rPr>
          <w:rFonts w:ascii="Arial" w:cs="Arial" w:eastAsia="Arial" w:hAnsi="Arial"/>
          <w:sz w:val="21"/>
          <w:szCs w:val="21"/>
          <w:color w:val="auto"/>
        </w:rPr>
      </w:pPr>
    </w:p>
    <w:p>
      <w:pPr>
        <w:jc w:val="both"/>
        <w:ind w:firstLine="622"/>
        <w:spacing w:after="0" w:line="237" w:lineRule="auto"/>
        <w:tabs>
          <w:tab w:leader="none" w:pos="109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8.04. If the Administrative Agent receives funds for application to the Obligations of the Loan Parties under or in respect of the Loan Documents under circumstances for which the Loan Documents do not specify the manner in which such funds are to be applied,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126</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16" w:lineRule="exact"/>
        <w:rPr>
          <w:sz w:val="20"/>
          <w:szCs w:val="20"/>
          <w:color w:val="auto"/>
        </w:rPr>
      </w:pPr>
    </w:p>
    <w:p>
      <w:pPr>
        <w:jc w:val="both"/>
        <w:ind w:firstLine="6"/>
        <w:spacing w:after="0" w:line="230" w:lineRule="auto"/>
        <w:rPr>
          <w:sz w:val="20"/>
          <w:szCs w:val="20"/>
          <w:color w:val="auto"/>
        </w:rPr>
      </w:pPr>
      <w:r>
        <w:rPr>
          <w:rFonts w:ascii="Arial" w:cs="Arial" w:eastAsia="Arial" w:hAnsi="Arial"/>
          <w:sz w:val="20"/>
          <w:szCs w:val="20"/>
          <w:color w:val="auto"/>
        </w:rPr>
        <w:t>Administrative Agent may (to the fullest extent permitted by mandatory provisions of applicable Law),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50"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i w:val="1"/>
          <w:iCs w:val="1"/>
          <w:color w:val="auto"/>
        </w:rPr>
        <w:t>Sharing of Payments</w:t>
      </w:r>
      <w:r>
        <w:rPr>
          <w:rFonts w:ascii="Arial" w:cs="Arial" w:eastAsia="Arial" w:hAnsi="Arial"/>
          <w:sz w:val="19"/>
          <w:szCs w:val="19"/>
          <w:color w:val="auto"/>
        </w:rPr>
        <w:t xml:space="preserve">. (a) If, other than as expressly provided elsewhere herein, any Lender shall obtain on account of the Loans made by it, or the participations in L/C Obligations and Swing Line Loans held by it, any payment (whether voluntary, involuntary, through the exercise of any right of setoff, or otherwise) in excess of its ratable share (or other share contemplated hereunder) thereof, such Lender shall immediately (b) notify the Administrative Agent of such fact, and (c)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For the avoidance of doubt, the provisions of this paragraph shall not be construed to apply to (A) any payment made by the Borrower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The Borrower agrees that any Lender so purchasing a participation from another Lender may, to the fullest extent permitted by applicable Law, exercise all its rights of payment (including the right of setoff, but subject to Section 10.09)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clause (iv) of the definition of Indemnified Taxes, a Lender that acquires a participation pursuant to this Section 2.13 shall be treated as having acquired such participation on the earlier date on which it acquired the Loan or Commitment to which such participation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127</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i w:val="1"/>
          <w:iCs w:val="1"/>
          <w:color w:val="auto"/>
        </w:rPr>
        <w:t>Incremental Credit Extensions</w:t>
      </w:r>
      <w:r>
        <w:rPr>
          <w:rFonts w:ascii="Arial" w:cs="Arial" w:eastAsia="Arial" w:hAnsi="Arial"/>
          <w:sz w:val="20"/>
          <w:szCs w:val="20"/>
          <w:color w:val="auto"/>
        </w:rPr>
        <w:t xml:space="preserve">. (a) </w:t>
      </w:r>
      <w:r>
        <w:rPr>
          <w:rFonts w:ascii="Arial" w:cs="Arial" w:eastAsia="Arial" w:hAnsi="Arial"/>
          <w:sz w:val="20"/>
          <w:szCs w:val="20"/>
          <w:i w:val="1"/>
          <w:iCs w:val="1"/>
          <w:color w:val="auto"/>
        </w:rPr>
        <w:t>Incremental Commitments</w:t>
      </w:r>
      <w:r>
        <w:rPr>
          <w:rFonts w:ascii="Arial" w:cs="Arial" w:eastAsia="Arial" w:hAnsi="Arial"/>
          <w:sz w:val="20"/>
          <w:szCs w:val="20"/>
          <w:color w:val="auto"/>
        </w:rPr>
        <w:t>. The Borrower may, at any time or from time to time after the Restatement Date, by notice to the Administrative Agent (an “</w:t>
      </w:r>
      <w:r>
        <w:rPr>
          <w:rFonts w:ascii="Arial" w:cs="Arial" w:eastAsia="Arial" w:hAnsi="Arial"/>
          <w:sz w:val="20"/>
          <w:szCs w:val="20"/>
          <w:b w:val="1"/>
          <w:bCs w:val="1"/>
          <w:color w:val="auto"/>
        </w:rPr>
        <w:t>Incremental Loan Request</w:t>
      </w:r>
      <w:r>
        <w:rPr>
          <w:rFonts w:ascii="Arial" w:cs="Arial" w:eastAsia="Arial" w:hAnsi="Arial"/>
          <w:sz w:val="20"/>
          <w:szCs w:val="20"/>
          <w:color w:val="auto"/>
        </w:rPr>
        <w:t>”), request (A) one or more new commitments which may be in the same Facility as any outstanding Term Loans of an existing Class (a “</w:t>
      </w:r>
      <w:r>
        <w:rPr>
          <w:rFonts w:ascii="Arial" w:cs="Arial" w:eastAsia="Arial" w:hAnsi="Arial"/>
          <w:sz w:val="20"/>
          <w:szCs w:val="20"/>
          <w:b w:val="1"/>
          <w:bCs w:val="1"/>
          <w:color w:val="auto"/>
        </w:rPr>
        <w:t>Term Loan Increase</w:t>
      </w:r>
      <w:r>
        <w:rPr>
          <w:rFonts w:ascii="Arial" w:cs="Arial" w:eastAsia="Arial" w:hAnsi="Arial"/>
          <w:sz w:val="20"/>
          <w:szCs w:val="20"/>
          <w:color w:val="auto"/>
        </w:rPr>
        <w:t>”) or a new Class of Term Loans (each, an “</w:t>
      </w:r>
      <w:r>
        <w:rPr>
          <w:rFonts w:ascii="Arial" w:cs="Arial" w:eastAsia="Arial" w:hAnsi="Arial"/>
          <w:sz w:val="20"/>
          <w:szCs w:val="20"/>
          <w:b w:val="1"/>
          <w:bCs w:val="1"/>
          <w:color w:val="auto"/>
        </w:rPr>
        <w:t>Incremental Term Facility</w:t>
      </w:r>
      <w:r>
        <w:rPr>
          <w:rFonts w:ascii="Arial" w:cs="Arial" w:eastAsia="Arial" w:hAnsi="Arial"/>
          <w:sz w:val="20"/>
          <w:szCs w:val="20"/>
          <w:color w:val="auto"/>
        </w:rPr>
        <w:t>”, collectively with any Term Loan Increase, the “</w:t>
      </w:r>
      <w:r>
        <w:rPr>
          <w:rFonts w:ascii="Arial" w:cs="Arial" w:eastAsia="Arial" w:hAnsi="Arial"/>
          <w:sz w:val="20"/>
          <w:szCs w:val="20"/>
          <w:b w:val="1"/>
          <w:bCs w:val="1"/>
          <w:color w:val="auto"/>
        </w:rPr>
        <w:t>Incremental Term</w:t>
      </w:r>
      <w:r>
        <w:rPr>
          <w:rFonts w:ascii="Arial" w:cs="Arial" w:eastAsia="Arial" w:hAnsi="Arial"/>
          <w:sz w:val="20"/>
          <w:szCs w:val="20"/>
          <w:color w:val="auto"/>
        </w:rPr>
        <w:t xml:space="preserve"> </w:t>
      </w:r>
      <w:r>
        <w:rPr>
          <w:rFonts w:ascii="Arial" w:cs="Arial" w:eastAsia="Arial" w:hAnsi="Arial"/>
          <w:sz w:val="20"/>
          <w:szCs w:val="20"/>
          <w:b w:val="1"/>
          <w:bCs w:val="1"/>
          <w:color w:val="auto"/>
        </w:rPr>
        <w:t>Commitments</w:t>
      </w:r>
      <w:r>
        <w:rPr>
          <w:rFonts w:ascii="Arial" w:cs="Arial" w:eastAsia="Arial" w:hAnsi="Arial"/>
          <w:sz w:val="20"/>
          <w:szCs w:val="20"/>
          <w:color w:val="auto"/>
        </w:rPr>
        <w:t>”) and/or (B) one or more increases in the amount of the Revolving Credit Commitments or any Incremental 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Facility (a “</w:t>
      </w:r>
      <w:r>
        <w:rPr>
          <w:rFonts w:ascii="Arial" w:cs="Arial" w:eastAsia="Arial" w:hAnsi="Arial"/>
          <w:sz w:val="20"/>
          <w:szCs w:val="20"/>
          <w:b w:val="1"/>
          <w:bCs w:val="1"/>
          <w:color w:val="auto"/>
        </w:rPr>
        <w:t>Revolving Commitment Increase</w:t>
      </w:r>
      <w:r>
        <w:rPr>
          <w:rFonts w:ascii="Arial" w:cs="Arial" w:eastAsia="Arial" w:hAnsi="Arial"/>
          <w:sz w:val="20"/>
          <w:szCs w:val="20"/>
          <w:color w:val="auto"/>
        </w:rPr>
        <w:t>”) or the establishment of one or more new revolving credit commitments (each, an “</w:t>
      </w:r>
      <w:r>
        <w:rPr>
          <w:rFonts w:ascii="Arial" w:cs="Arial" w:eastAsia="Arial" w:hAnsi="Arial"/>
          <w:sz w:val="20"/>
          <w:szCs w:val="20"/>
          <w:b w:val="1"/>
          <w:bCs w:val="1"/>
          <w:color w:val="auto"/>
        </w:rPr>
        <w:t>Incremental Revolving Facility</w:t>
      </w:r>
      <w:r>
        <w:rPr>
          <w:rFonts w:ascii="Arial" w:cs="Arial" w:eastAsia="Arial" w:hAnsi="Arial"/>
          <w:sz w:val="20"/>
          <w:szCs w:val="20"/>
          <w:color w:val="auto"/>
        </w:rPr>
        <w:t>” and collectively with any Incremental Term Facility, an “</w:t>
      </w:r>
      <w:r>
        <w:rPr>
          <w:rFonts w:ascii="Arial" w:cs="Arial" w:eastAsia="Arial" w:hAnsi="Arial"/>
          <w:sz w:val="20"/>
          <w:szCs w:val="20"/>
          <w:b w:val="1"/>
          <w:bCs w:val="1"/>
          <w:color w:val="auto"/>
        </w:rPr>
        <w:t>Incremental Facility</w:t>
      </w:r>
      <w:r>
        <w:rPr>
          <w:rFonts w:ascii="Arial" w:cs="Arial" w:eastAsia="Arial" w:hAnsi="Arial"/>
          <w:sz w:val="20"/>
          <w:szCs w:val="20"/>
          <w:color w:val="auto"/>
        </w:rPr>
        <w:t>” and any such new commitments, collectively with any Revolving Commitment Increases, the “</w:t>
      </w:r>
      <w:r>
        <w:rPr>
          <w:rFonts w:ascii="Arial" w:cs="Arial" w:eastAsia="Arial" w:hAnsi="Arial"/>
          <w:sz w:val="20"/>
          <w:szCs w:val="20"/>
          <w:b w:val="1"/>
          <w:bCs w:val="1"/>
          <w:color w:val="auto"/>
        </w:rPr>
        <w:t>Incremental Revolving Credit Commitments</w:t>
      </w:r>
      <w:r>
        <w:rPr>
          <w:rFonts w:ascii="Arial" w:cs="Arial" w:eastAsia="Arial" w:hAnsi="Arial"/>
          <w:sz w:val="20"/>
          <w:szCs w:val="20"/>
          <w:color w:val="auto"/>
        </w:rPr>
        <w:t>” and the Incremental Revolving Credit Commitments, collectively with any Incremental Term Commitments, the “</w:t>
      </w:r>
      <w:r>
        <w:rPr>
          <w:rFonts w:ascii="Arial" w:cs="Arial" w:eastAsia="Arial" w:hAnsi="Arial"/>
          <w:sz w:val="20"/>
          <w:szCs w:val="20"/>
          <w:b w:val="1"/>
          <w:bCs w:val="1"/>
          <w:color w:val="auto"/>
        </w:rPr>
        <w:t>Incremental</w:t>
      </w:r>
      <w:r>
        <w:rPr>
          <w:rFonts w:ascii="Arial" w:cs="Arial" w:eastAsia="Arial" w:hAnsi="Arial"/>
          <w:sz w:val="20"/>
          <w:szCs w:val="20"/>
          <w:color w:val="auto"/>
        </w:rPr>
        <w:t xml:space="preserve"> </w:t>
      </w:r>
      <w:r>
        <w:rPr>
          <w:rFonts w:ascii="Arial" w:cs="Arial" w:eastAsia="Arial" w:hAnsi="Arial"/>
          <w:sz w:val="20"/>
          <w:szCs w:val="20"/>
          <w:b w:val="1"/>
          <w:bCs w:val="1"/>
          <w:color w:val="auto"/>
        </w:rPr>
        <w:t>Commitments</w:t>
      </w:r>
      <w:r>
        <w:rPr>
          <w:rFonts w:ascii="Arial" w:cs="Arial" w:eastAsia="Arial" w:hAnsi="Arial"/>
          <w:sz w:val="20"/>
          <w:szCs w:val="20"/>
          <w:color w:val="auto"/>
        </w:rPr>
        <w:t>”), whereupon the Administrative Agent shall promptly deliver a copy to each of the Lenders. Incremental Commitments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Incremental Loans shall be secured by the Collateral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with the Liens securing the Restatement Date Term Loans.</w:t>
      </w:r>
    </w:p>
    <w:p>
      <w:pPr>
        <w:spacing w:after="0" w:line="152" w:lineRule="exact"/>
        <w:rPr>
          <w:sz w:val="20"/>
          <w:szCs w:val="20"/>
          <w:color w:val="auto"/>
        </w:rPr>
      </w:pPr>
    </w:p>
    <w:p>
      <w:pPr>
        <w:jc w:val="both"/>
        <w:ind w:firstLine="622"/>
        <w:spacing w:after="0" w:line="242" w:lineRule="auto"/>
        <w:tabs>
          <w:tab w:leader="none" w:pos="1169"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Incremental Loans</w:t>
      </w:r>
      <w:r>
        <w:rPr>
          <w:rFonts w:ascii="Arial" w:cs="Arial" w:eastAsia="Arial" w:hAnsi="Arial"/>
          <w:sz w:val="18"/>
          <w:szCs w:val="18"/>
          <w:color w:val="auto"/>
        </w:rPr>
        <w:t>. Any Incremental Commitments effected through the establishment of one or more new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commitments or new Term Loans not in the same Facility of any existing Class of Term Loans made on an Incremental Facility Closing Date shall be designated a separate Class of Incremental Commitments for all purposes of this Agreement. On any Incremental Facility Closing Date on which any Incremental Term Commitments of any Class are effected (including through any Term Loan Increase), subject to the satisfaction of the terms and conditions in this Section 2.14, (i) each Incremental Term Lender of such Class shall make a Loan to the Borrower (or, other than with respect to any Term Loan Increase in respect of any Facility for which such Subsidiary Guarantor is not already a borrower at such time, any Subsidiary Guarantor organized under the laws of the United States, any state thereof, the District of Columbia or any territory thereof, may be designated as a borrower in respect thereof so long as all obligors under such Incremental Facility are the same as with respect to the Loans hereunder) (an “</w:t>
      </w:r>
      <w:r>
        <w:rPr>
          <w:rFonts w:ascii="Arial" w:cs="Arial" w:eastAsia="Arial" w:hAnsi="Arial"/>
          <w:sz w:val="18"/>
          <w:szCs w:val="18"/>
          <w:b w:val="1"/>
          <w:bCs w:val="1"/>
          <w:color w:val="auto"/>
        </w:rPr>
        <w:t>Incremental Term Loan</w:t>
      </w:r>
      <w:r>
        <w:rPr>
          <w:rFonts w:ascii="Arial" w:cs="Arial" w:eastAsia="Arial" w:hAnsi="Arial"/>
          <w:sz w:val="18"/>
          <w:szCs w:val="18"/>
          <w:color w:val="auto"/>
        </w:rPr>
        <w:t>”) in an amount equal to its Incremental Term Commitment of such Class and (ii) each Incremental Term Lender of such Class shall become a Lender hereunder with respect to the Incremental Term Commitment of such Class and the Incremental Term Loans of such Class made pursuant thereto. On any Incremental Facility Closing Date on which any Incremental Revolving Credit Commitments of any Class are effected through the establishment of one or more new revolving credit commitments (including through any Revolving Commitment Increase), subject to the satisfaction of the terms and conditions in this Section 2.14, (x) each Incremental Revolving Credit Lender of such Class shall make its Commitment available to the Borrower (or, other than with respect to any Revolving Commitment Increase in respect of any Facility for which such Subsidiary Guarantor is not already a borrower at such time, any Subsidiary Guarantor organized under the laws of the United States, any state thereof, the District of Columbia or any territory thereof, may be designated as a borrower in respect thereof so long as all obligors under such Incremental Facility are the same as with respect to the Loans hereunder) (when borrowed, “</w:t>
      </w:r>
      <w:r>
        <w:rPr>
          <w:rFonts w:ascii="Arial" w:cs="Arial" w:eastAsia="Arial" w:hAnsi="Arial"/>
          <w:sz w:val="18"/>
          <w:szCs w:val="18"/>
          <w:b w:val="1"/>
          <w:bCs w:val="1"/>
          <w:color w:val="auto"/>
        </w:rPr>
        <w:t>Incremental Revolving Credit Loans</w:t>
      </w:r>
      <w:r>
        <w:rPr>
          <w:rFonts w:ascii="Arial" w:cs="Arial" w:eastAsia="Arial" w:hAnsi="Arial"/>
          <w:sz w:val="18"/>
          <w:szCs w:val="18"/>
          <w:color w:val="auto"/>
        </w:rPr>
        <w:t>” and collectively with Incremental Term Loans, an “</w:t>
      </w:r>
      <w:r>
        <w:rPr>
          <w:rFonts w:ascii="Arial" w:cs="Arial" w:eastAsia="Arial" w:hAnsi="Arial"/>
          <w:sz w:val="18"/>
          <w:szCs w:val="18"/>
          <w:b w:val="1"/>
          <w:bCs w:val="1"/>
          <w:color w:val="auto"/>
        </w:rPr>
        <w:t>Incremental Loans</w:t>
      </w:r>
      <w:r>
        <w:rPr>
          <w:rFonts w:ascii="Arial" w:cs="Arial" w:eastAsia="Arial" w:hAnsi="Arial"/>
          <w:sz w:val="18"/>
          <w:szCs w:val="18"/>
          <w:color w:val="auto"/>
        </w:rPr>
        <w:t>”) in an amount equal to its Incremental Revolving Credit Commitment of such Class and (y) each Incremental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128</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316" w:lineRule="exact"/>
        <w:rPr>
          <w:sz w:val="20"/>
          <w:szCs w:val="20"/>
          <w:color w:val="auto"/>
        </w:rPr>
      </w:pPr>
    </w:p>
    <w:p>
      <w:pPr>
        <w:jc w:val="both"/>
        <w:ind w:firstLine="6"/>
        <w:spacing w:after="0" w:line="251" w:lineRule="auto"/>
        <w:rPr>
          <w:sz w:val="20"/>
          <w:szCs w:val="20"/>
          <w:color w:val="auto"/>
        </w:rPr>
      </w:pPr>
      <w:r>
        <w:rPr>
          <w:rFonts w:ascii="Arial" w:cs="Arial" w:eastAsia="Arial" w:hAnsi="Arial"/>
          <w:sz w:val="19"/>
          <w:szCs w:val="19"/>
          <w:color w:val="auto"/>
        </w:rPr>
        <w:t>Credit Lender of such Class shall become a Lender hereunder with respect to the Incremental Revolving Credit Commitment of such Class and the Incremental Revolving Credit Loans of such Class made pursuant thereto. For the avoidance of doubt, Incremental Term Loans may have identical terms to any of the Term Loans and be treated as the same Class as any of such Term Loans.</w:t>
      </w:r>
    </w:p>
    <w:p>
      <w:pPr>
        <w:spacing w:after="0" w:line="165" w:lineRule="exact"/>
        <w:rPr>
          <w:sz w:val="20"/>
          <w:szCs w:val="20"/>
          <w:color w:val="auto"/>
        </w:rPr>
      </w:pPr>
    </w:p>
    <w:p>
      <w:pPr>
        <w:jc w:val="both"/>
        <w:ind w:firstLine="622"/>
        <w:spacing w:after="0" w:line="230" w:lineRule="auto"/>
        <w:tabs>
          <w:tab w:leader="none" w:pos="1067" w:val="left"/>
        </w:tabs>
        <w:numPr>
          <w:ilvl w:val="0"/>
          <w:numId w:val="132"/>
        </w:numPr>
        <w:rPr>
          <w:rFonts w:ascii="Arial" w:cs="Arial" w:eastAsia="Arial" w:hAnsi="Arial"/>
          <w:sz w:val="19"/>
          <w:szCs w:val="19"/>
          <w:color w:val="auto"/>
        </w:rPr>
      </w:pPr>
      <w:r>
        <w:rPr>
          <w:rFonts w:ascii="Arial" w:cs="Arial" w:eastAsia="Arial" w:hAnsi="Arial"/>
          <w:sz w:val="19"/>
          <w:szCs w:val="19"/>
          <w:i w:val="1"/>
          <w:iCs w:val="1"/>
          <w:color w:val="auto"/>
        </w:rPr>
        <w:t>Incremental Loan Request</w:t>
      </w:r>
      <w:r>
        <w:rPr>
          <w:rFonts w:ascii="Arial" w:cs="Arial" w:eastAsia="Arial" w:hAnsi="Arial"/>
          <w:sz w:val="19"/>
          <w:szCs w:val="19"/>
          <w:color w:val="auto"/>
        </w:rPr>
        <w:t>. Each Incremental Loan Request from the Borrower pursuant to this Section 2.14 shall set forth</w:t>
      </w:r>
      <w:r>
        <w:rPr>
          <w:rFonts w:ascii="Arial" w:cs="Arial" w:eastAsia="Arial" w:hAnsi="Arial"/>
          <w:sz w:val="19"/>
          <w:szCs w:val="19"/>
          <w:i w:val="1"/>
          <w:iCs w:val="1"/>
          <w:color w:val="auto"/>
        </w:rPr>
        <w:t xml:space="preserve"> </w:t>
      </w:r>
      <w:r>
        <w:rPr>
          <w:rFonts w:ascii="Arial" w:cs="Arial" w:eastAsia="Arial" w:hAnsi="Arial"/>
          <w:sz w:val="19"/>
          <w:szCs w:val="19"/>
          <w:color w:val="auto"/>
        </w:rPr>
        <w:t>the requested amount, the Approved Currency and proposed terms of the relevant Incremental Term Loans or Incremental Revolving Credit Commitments. Incremental Term Loans may be made, and Incremental Revolving Credit Commitments may be provided, by any existing Lender (but each existing Lender will not have an obligation to make any Incremental Commitment, nor will the Borrower have any obligation to approach any existing lenders to provide any Incremental Commitment) or by any other bank or other financial institution or other institutional lender (any such other bank or other financial institution or other institutional lender being called an “</w:t>
      </w:r>
      <w:r>
        <w:rPr>
          <w:rFonts w:ascii="Arial" w:cs="Arial" w:eastAsia="Arial" w:hAnsi="Arial"/>
          <w:sz w:val="19"/>
          <w:szCs w:val="19"/>
          <w:b w:val="1"/>
          <w:bCs w:val="1"/>
          <w:color w:val="auto"/>
        </w:rPr>
        <w:t>Additional Lender</w:t>
      </w:r>
      <w:r>
        <w:rPr>
          <w:rFonts w:ascii="Arial" w:cs="Arial" w:eastAsia="Arial" w:hAnsi="Arial"/>
          <w:sz w:val="19"/>
          <w:szCs w:val="19"/>
          <w:color w:val="auto"/>
        </w:rPr>
        <w:t>”) (each such existing Lender or Additional Lender providing such, an “</w:t>
      </w:r>
      <w:r>
        <w:rPr>
          <w:rFonts w:ascii="Arial" w:cs="Arial" w:eastAsia="Arial" w:hAnsi="Arial"/>
          <w:sz w:val="19"/>
          <w:szCs w:val="19"/>
          <w:b w:val="1"/>
          <w:bCs w:val="1"/>
          <w:color w:val="auto"/>
        </w:rPr>
        <w:t>Incremental Revolving Credit Lender</w:t>
      </w:r>
      <w:r>
        <w:rPr>
          <w:rFonts w:ascii="Arial" w:cs="Arial" w:eastAsia="Arial" w:hAnsi="Arial"/>
          <w:sz w:val="19"/>
          <w:szCs w:val="19"/>
          <w:color w:val="auto"/>
        </w:rPr>
        <w:t>” or “</w:t>
      </w:r>
      <w:r>
        <w:rPr>
          <w:rFonts w:ascii="Arial" w:cs="Arial" w:eastAsia="Arial" w:hAnsi="Arial"/>
          <w:sz w:val="19"/>
          <w:szCs w:val="19"/>
          <w:b w:val="1"/>
          <w:bCs w:val="1"/>
          <w:color w:val="auto"/>
        </w:rPr>
        <w:t>Incremental Term Lender,</w:t>
      </w:r>
      <w:r>
        <w:rPr>
          <w:rFonts w:ascii="Arial" w:cs="Arial" w:eastAsia="Arial" w:hAnsi="Arial"/>
          <w:sz w:val="19"/>
          <w:szCs w:val="19"/>
          <w:color w:val="auto"/>
        </w:rPr>
        <w:t>” as applicable, and, collectively, the “</w:t>
      </w:r>
      <w:r>
        <w:rPr>
          <w:rFonts w:ascii="Arial" w:cs="Arial" w:eastAsia="Arial" w:hAnsi="Arial"/>
          <w:sz w:val="19"/>
          <w:szCs w:val="19"/>
          <w:b w:val="1"/>
          <w:bCs w:val="1"/>
          <w:color w:val="auto"/>
        </w:rPr>
        <w:t>Incremental Lenders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Administrative Agent and, in the case of an Incremental Revolving Credit Commitment, each Swing Line Lender and each L/C Issuer shall have consented (not to be unreasonably withheld, conditioned or delayed) to such Lender’s or Additional Lender’s making such Incremental Term Loans or providing such Incremental Revolving Credit Commitments to the extent such consent, if any, would be required under Section 10.07(b) for an assignment of Loans or Revolving Credit Commitments, as applicable, to such Lender or Additional Lender, (ii) with respect to Incremental Term Commitments, any Affiliated Lender providing an Incremental Term Commitment shall be subject to the same restrictions set forth in Section 10.07(l) as they would otherwise be subject to with respect to any purchase by or assignment to such Affiliated Lender of Term Loans and (iii) Affiliated Lenders may not provide Incremental Revolving Credit Commitments, unless subsequently purchased from a Defaulting Lender pursuant to Section 10.07(l).</w:t>
      </w:r>
    </w:p>
    <w:p>
      <w:pPr>
        <w:spacing w:after="0" w:line="156" w:lineRule="exact"/>
        <w:rPr>
          <w:rFonts w:ascii="Arial" w:cs="Arial" w:eastAsia="Arial" w:hAnsi="Arial"/>
          <w:sz w:val="19"/>
          <w:szCs w:val="19"/>
          <w:color w:val="auto"/>
        </w:rPr>
      </w:pPr>
    </w:p>
    <w:p>
      <w:pPr>
        <w:jc w:val="both"/>
        <w:ind w:firstLine="622"/>
        <w:spacing w:after="0" w:line="224" w:lineRule="auto"/>
        <w:tabs>
          <w:tab w:leader="none" w:pos="1272" w:val="left"/>
        </w:tabs>
        <w:numPr>
          <w:ilvl w:val="0"/>
          <w:numId w:val="132"/>
        </w:numPr>
        <w:rPr>
          <w:rFonts w:ascii="Arial" w:cs="Arial" w:eastAsia="Arial" w:hAnsi="Arial"/>
          <w:sz w:val="21"/>
          <w:szCs w:val="21"/>
          <w:color w:val="auto"/>
        </w:rPr>
      </w:pPr>
      <w:r>
        <w:rPr>
          <w:rFonts w:ascii="Arial" w:cs="Arial" w:eastAsia="Arial" w:hAnsi="Arial"/>
          <w:sz w:val="21"/>
          <w:szCs w:val="21"/>
          <w:i w:val="1"/>
          <w:iCs w:val="1"/>
          <w:color w:val="auto"/>
        </w:rPr>
        <w:t>Effectiveness of Incremental Amendment</w:t>
      </w:r>
      <w:r>
        <w:rPr>
          <w:rFonts w:ascii="Arial" w:cs="Arial" w:eastAsia="Arial" w:hAnsi="Arial"/>
          <w:sz w:val="21"/>
          <w:szCs w:val="21"/>
          <w:color w:val="auto"/>
        </w:rPr>
        <w:t>. The effectiveness of any Incremental Amendment, and the Incremental</w:t>
      </w:r>
      <w:r>
        <w:rPr>
          <w:rFonts w:ascii="Arial" w:cs="Arial" w:eastAsia="Arial" w:hAnsi="Arial"/>
          <w:sz w:val="21"/>
          <w:szCs w:val="21"/>
          <w:i w:val="1"/>
          <w:iCs w:val="1"/>
          <w:color w:val="auto"/>
        </w:rPr>
        <w:t xml:space="preserve"> </w:t>
      </w:r>
      <w:r>
        <w:rPr>
          <w:rFonts w:ascii="Arial" w:cs="Arial" w:eastAsia="Arial" w:hAnsi="Arial"/>
          <w:sz w:val="21"/>
          <w:szCs w:val="21"/>
          <w:color w:val="auto"/>
        </w:rPr>
        <w:t>Commitments thereunder, shall be subject to the satisfaction on the date thereof (the “</w:t>
      </w:r>
      <w:r>
        <w:rPr>
          <w:rFonts w:ascii="Arial" w:cs="Arial" w:eastAsia="Arial" w:hAnsi="Arial"/>
          <w:sz w:val="21"/>
          <w:szCs w:val="21"/>
          <w:b w:val="1"/>
          <w:bCs w:val="1"/>
          <w:color w:val="auto"/>
        </w:rPr>
        <w:t>Incremental Facility Closing Date</w:t>
      </w:r>
      <w:r>
        <w:rPr>
          <w:rFonts w:ascii="Arial" w:cs="Arial" w:eastAsia="Arial" w:hAnsi="Arial"/>
          <w:sz w:val="21"/>
          <w:szCs w:val="21"/>
          <w:color w:val="auto"/>
        </w:rPr>
        <w:t>”) of each of the following conditions:</w:t>
      </w:r>
    </w:p>
    <w:p>
      <w:pPr>
        <w:spacing w:after="0" w:line="148" w:lineRule="exact"/>
        <w:rPr>
          <w:rFonts w:ascii="Arial" w:cs="Arial" w:eastAsia="Arial" w:hAnsi="Arial"/>
          <w:sz w:val="21"/>
          <w:szCs w:val="21"/>
          <w:color w:val="auto"/>
        </w:rPr>
      </w:pPr>
    </w:p>
    <w:p>
      <w:pPr>
        <w:jc w:val="both"/>
        <w:ind w:left="620" w:firstLine="621"/>
        <w:spacing w:after="0" w:line="216" w:lineRule="auto"/>
        <w:tabs>
          <w:tab w:leader="none" w:pos="1851" w:val="left"/>
        </w:tabs>
        <w:numPr>
          <w:ilvl w:val="1"/>
          <w:numId w:val="132"/>
        </w:numPr>
        <w:rPr>
          <w:rFonts w:ascii="Arial" w:cs="Arial" w:eastAsia="Arial" w:hAnsi="Arial"/>
          <w:sz w:val="21"/>
          <w:szCs w:val="21"/>
          <w:color w:val="auto"/>
        </w:rPr>
      </w:pPr>
      <w:r>
        <w:rPr>
          <w:rFonts w:ascii="Arial" w:cs="Arial" w:eastAsia="Arial" w:hAnsi="Arial"/>
          <w:sz w:val="21"/>
          <w:szCs w:val="21"/>
          <w:color w:val="auto"/>
        </w:rPr>
        <w:t>(x) if the proceeds of such Incremental Commitments are being used to finance a Permitted Acquisition, Investment, or irrevocable repayment, repurchase or redemption of any Indebtedness, no Event of Default under Sections 8.01(a) or, solely with respect to the Borrower, Section 8.01(f) shall have occurred and be continuing or would exist after giving effect to such Incremental Commitments, or (y) if otherwise, no Event of Default shall have occurred and be continuing or would exist after giving effect to such Incremental Commitments;</w:t>
      </w:r>
    </w:p>
    <w:p>
      <w:pPr>
        <w:spacing w:after="0" w:line="150" w:lineRule="exact"/>
        <w:rPr>
          <w:rFonts w:ascii="Arial" w:cs="Arial" w:eastAsia="Arial" w:hAnsi="Arial"/>
          <w:sz w:val="21"/>
          <w:szCs w:val="21"/>
          <w:color w:val="auto"/>
        </w:rPr>
      </w:pPr>
    </w:p>
    <w:p>
      <w:pPr>
        <w:jc w:val="both"/>
        <w:ind w:left="620" w:firstLine="621"/>
        <w:spacing w:after="0" w:line="224" w:lineRule="auto"/>
        <w:tabs>
          <w:tab w:leader="none" w:pos="1714" w:val="left"/>
        </w:tabs>
        <w:numPr>
          <w:ilvl w:val="1"/>
          <w:numId w:val="132"/>
        </w:numPr>
        <w:rPr>
          <w:rFonts w:ascii="Arial" w:cs="Arial" w:eastAsia="Arial" w:hAnsi="Arial"/>
          <w:sz w:val="21"/>
          <w:szCs w:val="21"/>
          <w:color w:val="auto"/>
        </w:rPr>
      </w:pPr>
      <w:r>
        <w:rPr>
          <w:rFonts w:ascii="Arial" w:cs="Arial" w:eastAsia="Arial" w:hAnsi="Arial"/>
          <w:sz w:val="21"/>
          <w:szCs w:val="21"/>
          <w:color w:val="auto"/>
        </w:rPr>
        <w:t>after giving effect to such Incremental Commitments, the conditions of Section 4.02(i) and (ii) shall be satisfied (it being understood that all references to “</w:t>
      </w:r>
      <w:r>
        <w:rPr>
          <w:rFonts w:ascii="Arial" w:cs="Arial" w:eastAsia="Arial" w:hAnsi="Arial"/>
          <w:sz w:val="21"/>
          <w:szCs w:val="21"/>
          <w:b w:val="1"/>
          <w:bCs w:val="1"/>
          <w:color w:val="auto"/>
        </w:rPr>
        <w:t>the date of such Credit Extension</w:t>
      </w:r>
      <w:r>
        <w:rPr>
          <w:rFonts w:ascii="Arial" w:cs="Arial" w:eastAsia="Arial" w:hAnsi="Arial"/>
          <w:sz w:val="21"/>
          <w:szCs w:val="21"/>
          <w:color w:val="auto"/>
        </w:rPr>
        <w:t>” or similar language in such Section 4.02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129</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316" w:lineRule="exact"/>
        <w:rPr>
          <w:sz w:val="20"/>
          <w:szCs w:val="20"/>
          <w:color w:val="auto"/>
        </w:rPr>
      </w:pPr>
    </w:p>
    <w:p>
      <w:pPr>
        <w:jc w:val="both"/>
        <w:ind w:firstLine="6"/>
        <w:spacing w:after="0" w:line="223" w:lineRule="auto"/>
        <w:rPr>
          <w:sz w:val="20"/>
          <w:szCs w:val="20"/>
          <w:color w:val="auto"/>
        </w:rPr>
      </w:pPr>
      <w:r>
        <w:rPr>
          <w:rFonts w:ascii="Arial" w:cs="Arial" w:eastAsia="Arial" w:hAnsi="Arial"/>
          <w:sz w:val="20"/>
          <w:szCs w:val="20"/>
          <w:color w:val="auto"/>
        </w:rPr>
        <w:t xml:space="preserve">to refer to the effective date of such Incremental Amendment);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proceeds of such Incremental Commitments are being used to finance a Permitted Acquisition, Investment, or irrevocable repayment, repurchase or redemption of any Indebtedness, there shall be no requirement to satisfy any or all conditions of Section 4.02(i), instead, the accuracy of the representations and warranties shall refer to the accuracy of the representations and warranties that would constitute Specified Representations, in each case, subject to the provisions set forth herein in connection with Limited Condition Transactions;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further</w:t>
      </w:r>
      <w:r>
        <w:rPr>
          <w:rFonts w:ascii="Arial" w:cs="Arial" w:eastAsia="Arial" w:hAnsi="Arial"/>
          <w:sz w:val="20"/>
          <w:szCs w:val="20"/>
          <w:color w:val="auto"/>
        </w:rPr>
        <w:t>, that the Incremental Lenders providing such Incremental Commitments may waive the requirement regarding</w:t>
      </w:r>
      <w:r>
        <w:rPr>
          <w:rFonts w:ascii="Arial" w:cs="Arial" w:eastAsia="Arial" w:hAnsi="Arial"/>
          <w:sz w:val="20"/>
          <w:szCs w:val="20"/>
          <w:i w:val="1"/>
          <w:iCs w:val="1"/>
          <w:color w:val="auto"/>
        </w:rPr>
        <w:t xml:space="preserve"> </w:t>
      </w:r>
      <w:r>
        <w:rPr>
          <w:rFonts w:ascii="Arial" w:cs="Arial" w:eastAsia="Arial" w:hAnsi="Arial"/>
          <w:sz w:val="20"/>
          <w:szCs w:val="20"/>
          <w:color w:val="auto"/>
        </w:rPr>
        <w:t>the accuracy of Specified Representations;</w:t>
      </w:r>
    </w:p>
    <w:p>
      <w:pPr>
        <w:spacing w:after="0" w:line="180" w:lineRule="exact"/>
        <w:rPr>
          <w:sz w:val="20"/>
          <w:szCs w:val="20"/>
          <w:color w:val="auto"/>
        </w:rPr>
      </w:pPr>
    </w:p>
    <w:p>
      <w:pPr>
        <w:ind w:left="1140" w:hanging="519"/>
        <w:spacing w:after="0"/>
        <w:tabs>
          <w:tab w:leader="none" w:pos="114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[reserved];</w:t>
      </w:r>
    </w:p>
    <w:p>
      <w:pPr>
        <w:spacing w:after="0" w:line="171" w:lineRule="exact"/>
        <w:rPr>
          <w:rFonts w:ascii="Arial" w:cs="Arial" w:eastAsia="Arial" w:hAnsi="Arial"/>
          <w:sz w:val="21"/>
          <w:szCs w:val="21"/>
          <w:color w:val="auto"/>
        </w:rPr>
      </w:pPr>
    </w:p>
    <w:p>
      <w:pPr>
        <w:jc w:val="both"/>
        <w:ind w:firstLine="621"/>
        <w:spacing w:after="0" w:line="214" w:lineRule="auto"/>
        <w:tabs>
          <w:tab w:leader="none" w:pos="113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each Incremental Term Commitment shall be in an aggregate principal amount that is not less than $5,000,000 and shall be in increments of $1,000,000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amount may be less than $5,000,000 if such amount represents all remaining availability under the limit set forth in Section 2.14(d)(v)) and each Incremental Revolving Credit Commitment shall be in an aggregate principal amount that is not less than $3,000,000 and shall be in increments of $1,000,000 (provided that such amount may be less than $3,000,000 if such amount represents all remaining availability under the limit set forth in Section 2.14(d)(v));</w:t>
      </w:r>
    </w:p>
    <w:p>
      <w:pPr>
        <w:spacing w:after="0" w:line="151" w:lineRule="exact"/>
        <w:rPr>
          <w:rFonts w:ascii="Arial" w:cs="Arial" w:eastAsia="Arial" w:hAnsi="Arial"/>
          <w:sz w:val="21"/>
          <w:szCs w:val="21"/>
          <w:color w:val="auto"/>
        </w:rPr>
      </w:pPr>
    </w:p>
    <w:p>
      <w:pPr>
        <w:jc w:val="both"/>
        <w:ind w:firstLine="621"/>
        <w:spacing w:after="0" w:line="242" w:lineRule="auto"/>
        <w:tabs>
          <w:tab w:leader="none" w:pos="106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the Incremental Term Loans and the Incremental Revolving Credit Commitments shall not exceed the sum of (A) the Incremental Base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(B) all voluntary prepayments, repurchases, redemptions and other retirements of Term Loans, Incremental Equivalent First Lien Debt, all voluntary prepayments of Revolving Credit Loans accompanied by corresponding voluntary permanent reductions of Commitments in respect of such Revolving Credit Loans prior to or simultaneous with the Incremental Facility Closing Date (including through (x) “Dutch Auctions” open to all Lenders of the applicable Class on a pro rata basis in accordance with procedures of the type described in Section 2.05(a)(v) or</w:t>
      </w:r>
    </w:p>
    <w:p>
      <w:pPr>
        <w:spacing w:after="0" w:line="3" w:lineRule="exact"/>
        <w:rPr>
          <w:rFonts w:ascii="Arial" w:cs="Arial" w:eastAsia="Arial" w:hAnsi="Arial"/>
          <w:sz w:val="18"/>
          <w:szCs w:val="18"/>
          <w:color w:val="auto"/>
        </w:rPr>
      </w:pPr>
    </w:p>
    <w:p>
      <w:pPr>
        <w:jc w:val="both"/>
        <w:ind w:firstLine="2"/>
        <w:spacing w:after="0" w:line="219" w:lineRule="auto"/>
        <w:tabs>
          <w:tab w:leader="none" w:pos="29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open-market purchases pursuant to Section 10.07(l), which shall be credited to the extent of the actual purchase price paid in cash for such Loans purchased or retired in connection with such “Dutch Auction” or open-market purchase) (excluding voluntary prepayments, repurchases, redemptions and other retirements of Incremental Term Loans and all voluntary prepayments of Revolving Credit Loans accompanied by corresponding voluntary permanent reductions of Incremental Revolving Credit Commitments, to the extent such Incremental Term Loans and Incremental Revolving Credit Commitments were obtained pursuant to clause (C) below or to the extent funded with a contemporaneous incurrence of long-term funded Indebtedness (other than revolving loans)) plus (C) additional amounts (including at any time prior to the utilization of amounts under clauses (A) and (B) above) so long as, the Consolidated Total Net Leverage Ratio, determined on a Pro Forma Basis as of the last day of the most recently ended period of four consecutive fiscal quarters for which financial statements are internally available, does not exceed (x) 2.50 to 1.00 or (y) in the case of any such Indebtedness being applied to finance a Permitted Acquisition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130</w:t>
      </w:r>
    </w:p>
    <w:p>
      <w:pPr>
        <w:sectPr>
          <w:pgSz w:w="11900" w:h="16838" w:orient="portrait"/>
          <w:cols w:equalWidth="0" w:num="1">
            <w:col w:w="10620"/>
          </w:cols>
          <w:pgMar w:left="940" w:top="1440" w:right="339" w:bottom="1440" w:gutter="0" w:footer="0" w:header="0"/>
        </w:sectPr>
      </w:pPr>
    </w:p>
    <w:bookmarkStart w:id="178" w:name="page179"/>
    <w:bookmarkEnd w:id="178"/>
    <w:p>
      <w:pPr>
        <w:spacing w:after="0" w:line="316" w:lineRule="exact"/>
        <w:rPr>
          <w:sz w:val="20"/>
          <w:szCs w:val="20"/>
          <w:color w:val="auto"/>
        </w:rPr>
      </w:pPr>
    </w:p>
    <w:p>
      <w:pPr>
        <w:jc w:val="both"/>
        <w:ind w:left="620" w:firstLine="6"/>
        <w:spacing w:after="0" w:line="213" w:lineRule="auto"/>
        <w:rPr>
          <w:sz w:val="20"/>
          <w:szCs w:val="20"/>
          <w:color w:val="auto"/>
        </w:rPr>
      </w:pPr>
      <w:r>
        <w:rPr>
          <w:rFonts w:ascii="Arial" w:cs="Arial" w:eastAsia="Arial" w:hAnsi="Arial"/>
          <w:sz w:val="21"/>
          <w:szCs w:val="21"/>
          <w:color w:val="auto"/>
        </w:rPr>
        <w:t>other similar Investment not prohibited hereunder, the Consolidated Total Net Leverage Ratio immediately prior to the incurrence of such Indebtedness and consummation of such Permitted Acquisition or other Investment (the amounts under the foregoing clauses (A) and (B) are herein referred to as the “</w:t>
      </w:r>
      <w:r>
        <w:rPr>
          <w:rFonts w:ascii="Arial" w:cs="Arial" w:eastAsia="Arial" w:hAnsi="Arial"/>
          <w:sz w:val="21"/>
          <w:szCs w:val="21"/>
          <w:b w:val="1"/>
          <w:bCs w:val="1"/>
          <w:color w:val="auto"/>
        </w:rPr>
        <w:t>Free and Clear Incremental Amount</w:t>
      </w:r>
      <w:r>
        <w:rPr>
          <w:rFonts w:ascii="Arial" w:cs="Arial" w:eastAsia="Arial" w:hAnsi="Arial"/>
          <w:sz w:val="21"/>
          <w:szCs w:val="21"/>
          <w:color w:val="auto"/>
        </w:rPr>
        <w:t>,” and the amounts under the foregoing clause (C) are herein referred to as the “</w:t>
      </w:r>
      <w:r>
        <w:rPr>
          <w:rFonts w:ascii="Arial" w:cs="Arial" w:eastAsia="Arial" w:hAnsi="Arial"/>
          <w:sz w:val="21"/>
          <w:szCs w:val="21"/>
          <w:b w:val="1"/>
          <w:bCs w:val="1"/>
          <w:color w:val="auto"/>
        </w:rPr>
        <w:t>Incurrence-Based Incremental Amount</w:t>
      </w:r>
      <w:r>
        <w:rPr>
          <w:rFonts w:ascii="Arial" w:cs="Arial" w:eastAsia="Arial" w:hAnsi="Arial"/>
          <w:sz w:val="21"/>
          <w:szCs w:val="21"/>
          <w:color w:val="auto"/>
        </w:rPr>
        <w:t>” (the Free and Clear Incremental Amount, together with the Incurrence-Based Incremental Amount, less the aggregate principal amount of Indebtedness incurred pursuant to Section 7.03(q) and Section 7.03(w) at or prior to such time, is herein referred to as the “</w:t>
      </w:r>
      <w:r>
        <w:rPr>
          <w:rFonts w:ascii="Arial" w:cs="Arial" w:eastAsia="Arial" w:hAnsi="Arial"/>
          <w:sz w:val="21"/>
          <w:szCs w:val="21"/>
          <w:b w:val="1"/>
          <w:bCs w:val="1"/>
          <w:color w:val="auto"/>
        </w:rPr>
        <w:t>Available Incremental</w:t>
      </w:r>
      <w:r>
        <w:rPr>
          <w:rFonts w:ascii="Arial" w:cs="Arial" w:eastAsia="Arial" w:hAnsi="Arial"/>
          <w:sz w:val="21"/>
          <w:szCs w:val="21"/>
          <w:color w:val="auto"/>
        </w:rPr>
        <w:t xml:space="preserve"> </w:t>
      </w:r>
      <w:r>
        <w:rPr>
          <w:rFonts w:ascii="Arial" w:cs="Arial" w:eastAsia="Arial" w:hAnsi="Arial"/>
          <w:sz w:val="21"/>
          <w:szCs w:val="21"/>
          <w:b w:val="1"/>
          <w:bCs w:val="1"/>
          <w:color w:val="auto"/>
        </w:rPr>
        <w:t>Amount</w:t>
      </w:r>
      <w:r>
        <w:rPr>
          <w:rFonts w:ascii="Arial" w:cs="Arial" w:eastAsia="Arial" w:hAnsi="Arial"/>
          <w:sz w:val="21"/>
          <w:szCs w:val="21"/>
          <w:color w:val="auto"/>
        </w:rPr>
        <w:t>”)); and</w:t>
      </w:r>
    </w:p>
    <w:p>
      <w:pPr>
        <w:spacing w:after="0" w:line="176" w:lineRule="exact"/>
        <w:rPr>
          <w:sz w:val="20"/>
          <w:szCs w:val="20"/>
          <w:color w:val="auto"/>
        </w:rPr>
      </w:pPr>
    </w:p>
    <w:p>
      <w:pPr>
        <w:ind w:left="620" w:firstLine="621"/>
        <w:spacing w:after="0" w:line="233" w:lineRule="auto"/>
        <w:tabs>
          <w:tab w:leader="none" w:pos="1749" w:val="left"/>
        </w:tabs>
        <w:numPr>
          <w:ilvl w:val="0"/>
          <w:numId w:val="135"/>
        </w:numPr>
        <w:rPr>
          <w:rFonts w:ascii="Arial" w:cs="Arial" w:eastAsia="Arial" w:hAnsi="Arial"/>
          <w:sz w:val="21"/>
          <w:szCs w:val="21"/>
          <w:color w:val="auto"/>
        </w:rPr>
      </w:pPr>
      <w:r>
        <w:rPr>
          <w:rFonts w:ascii="Arial" w:cs="Arial" w:eastAsia="Arial" w:hAnsi="Arial"/>
          <w:sz w:val="21"/>
          <w:szCs w:val="21"/>
          <w:color w:val="auto"/>
        </w:rPr>
        <w:t>such other conditions as the Borrower, each Incremental Lender providing such Incremental Commitments and the Administrative Agent shall agree.</w:t>
      </w:r>
    </w:p>
    <w:p>
      <w:pPr>
        <w:spacing w:after="0" w:line="150"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The Borrower may elect to use the Incurrence-Based Incremental Amount prior to the Free and Clear Incremental Amount or any combination thereof, and any portion of any Incremental Facility incurred in reliance on the Free and Clear Incremental Amount shall be reclassified, as the Borrower may elect from time to time, as incurred under the Incurrence-Based Incremental Amount if the Borrower meets the applicable ratio for the Incurrence-Based Incremental Amount at such time on a Pro Forma Basis, and if any applicable ratio for the Incurrence-Based Incremental Amount would be satisfied on a Pro Forma Basis as of the end of any subsequent fiscal quarter after the initial incurrence of such Incremental Facility, such reclassification shall be deemed to have automatically occurred whether or not elected by the Borrower.</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of determining Pro Forma Compliance and any testing of any ratios in the Incurrence-Based Incremental Amount,</w:t>
      </w:r>
    </w:p>
    <w:p>
      <w:pPr>
        <w:spacing w:after="0" w:line="17" w:lineRule="exact"/>
        <w:rPr>
          <w:sz w:val="20"/>
          <w:szCs w:val="20"/>
          <w:color w:val="auto"/>
        </w:rPr>
      </w:pPr>
    </w:p>
    <w:p>
      <w:pPr>
        <w:jc w:val="both"/>
        <w:ind w:firstLine="3"/>
        <w:spacing w:after="0" w:line="245" w:lineRule="auto"/>
        <w:tabs>
          <w:tab w:leader="none" w:pos="2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 shall be assumed that all commitments under any Incremental Revolving Facility then being established are fully drawn, (b) the cash proceeds of any Incremental Facility shall be excluded from any calculation of “net” Indebtedness in determining whether such Incremental Facility can be incurred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use of proceeds thereof and any other Pro Forma Adjustments shall be included) and (c) the incurrence (including by assumption or guarantee) or repayment of any Indebtedness in respect of the Revolving Credit Facility (and/or any Incremental Revolving Facility and any other revolving facilities included in such calculation) prior to, or simultaneously with, the event for which the Pro Forma Compliance determination of such ratio or other test is being made, and/or any incurrence of Indebtedness under the Revolving Credit Facility or any other revolving facility that is used to finance working capital needs of the Borrower and its Restricted Subsidiaries (as reasonably determined by the Borrower) shall, in each case, be disregarded.</w:t>
      </w:r>
    </w:p>
    <w:p>
      <w:pPr>
        <w:spacing w:after="0" w:line="148" w:lineRule="exact"/>
        <w:rPr>
          <w:rFonts w:ascii="Arial" w:cs="Arial" w:eastAsia="Arial" w:hAnsi="Arial"/>
          <w:sz w:val="18"/>
          <w:szCs w:val="18"/>
          <w:color w:val="auto"/>
        </w:rPr>
      </w:pPr>
    </w:p>
    <w:p>
      <w:pPr>
        <w:jc w:val="both"/>
        <w:ind w:firstLine="622"/>
        <w:spacing w:after="0" w:line="237" w:lineRule="auto"/>
        <w:tabs>
          <w:tab w:leader="none" w:pos="1247" w:val="left"/>
        </w:tabs>
        <w:numPr>
          <w:ilvl w:val="1"/>
          <w:numId w:val="136"/>
        </w:numPr>
        <w:rPr>
          <w:rFonts w:ascii="Arial" w:cs="Arial" w:eastAsia="Arial" w:hAnsi="Arial"/>
          <w:sz w:val="19"/>
          <w:szCs w:val="19"/>
          <w:color w:val="auto"/>
        </w:rPr>
      </w:pPr>
      <w:r>
        <w:rPr>
          <w:rFonts w:ascii="Arial" w:cs="Arial" w:eastAsia="Arial" w:hAnsi="Arial"/>
          <w:sz w:val="19"/>
          <w:szCs w:val="19"/>
          <w:i w:val="1"/>
          <w:iCs w:val="1"/>
          <w:color w:val="auto"/>
        </w:rPr>
        <w:t>Required Terms</w:t>
      </w:r>
      <w:r>
        <w:rPr>
          <w:rFonts w:ascii="Arial" w:cs="Arial" w:eastAsia="Arial" w:hAnsi="Arial"/>
          <w:sz w:val="19"/>
          <w:szCs w:val="19"/>
          <w:color w:val="auto"/>
        </w:rPr>
        <w:t>. The terms, provisions and documentation of the Incremental Term Loans and Incremental Term</w:t>
      </w:r>
      <w:r>
        <w:rPr>
          <w:rFonts w:ascii="Arial" w:cs="Arial" w:eastAsia="Arial" w:hAnsi="Arial"/>
          <w:sz w:val="19"/>
          <w:szCs w:val="19"/>
          <w:i w:val="1"/>
          <w:iCs w:val="1"/>
          <w:color w:val="auto"/>
        </w:rPr>
        <w:t xml:space="preserve"> </w:t>
      </w:r>
      <w:r>
        <w:rPr>
          <w:rFonts w:ascii="Arial" w:cs="Arial" w:eastAsia="Arial" w:hAnsi="Arial"/>
          <w:sz w:val="19"/>
          <w:szCs w:val="19"/>
          <w:color w:val="auto"/>
        </w:rPr>
        <w:t>Commitments or the Incremental Revolving Credit Loans and Incremental Revolving Credit Commitments, as the case may be, of any Class shall be as agreed between the Borrower and the applicable Incremental Lenders providing such Incremental Commitments, and except as otherwise set forth herein (or as they otherwise relate to fees, premiums, pricing, rate floors, call protection or optional prepayment or redemption terms, to the extent not consistent with the Restatement Date Term Loans or Revolving Credit Commitments, as applicable, each existing on the Incremental Facility Closing Date, shall either (x) be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131</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316" w:lineRule="exact"/>
        <w:rPr>
          <w:sz w:val="20"/>
          <w:szCs w:val="20"/>
          <w:color w:val="auto"/>
        </w:rPr>
      </w:pPr>
    </w:p>
    <w:p>
      <w:pPr>
        <w:jc w:val="both"/>
        <w:ind w:firstLine="6"/>
        <w:spacing w:after="0" w:line="221" w:lineRule="auto"/>
        <w:rPr>
          <w:sz w:val="20"/>
          <w:szCs w:val="20"/>
          <w:color w:val="auto"/>
        </w:rPr>
      </w:pPr>
      <w:r>
        <w:rPr>
          <w:rFonts w:ascii="Arial" w:cs="Arial" w:eastAsia="Arial" w:hAnsi="Arial"/>
          <w:sz w:val="20"/>
          <w:szCs w:val="20"/>
          <w:color w:val="auto"/>
        </w:rPr>
        <w:t>satisfactory to Administrative Agent (except for covenants and terms that apply solely to any period after the Latest Maturity Date that is in effect on the effective date of such Incremental Amendment) (it being understood that to the extent any more restrictive financial maintenance covenant is added for the benefit of any Incremental Facility prior to the Latest Maturity Date that is in effect on the effective date of such Incremental Amendment, no consent shall be required from the Administrative Agent or any of the Lenders to the extent that such more restrictive financial maintenance covenant is also added for the benefit of the Facilities that then benefit from a financial maintenance covenant and are remaining outstanding after the effectiveness of such Incremental Amendment) or (y) the terms, provisions and documentation of the Incremental Term Loans and Incremental Term Commitments, as the case may be, may reflect market terms and conditions (taken as a whole) at the time of incurrence of such Incremental Facility (as determined by the Borrower). In any event:</w:t>
      </w:r>
    </w:p>
    <w:p>
      <w:pPr>
        <w:spacing w:after="0" w:line="183" w:lineRule="exact"/>
        <w:rPr>
          <w:sz w:val="20"/>
          <w:szCs w:val="20"/>
          <w:color w:val="auto"/>
        </w:rPr>
      </w:pPr>
    </w:p>
    <w:p>
      <w:pPr>
        <w:ind w:left="1640" w:hanging="399"/>
        <w:spacing w:after="0"/>
        <w:tabs>
          <w:tab w:leader="none" w:pos="164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Incremental Term Loans:</w:t>
      </w:r>
    </w:p>
    <w:p>
      <w:pPr>
        <w:spacing w:after="0" w:line="171" w:lineRule="exact"/>
        <w:rPr>
          <w:rFonts w:ascii="Arial" w:cs="Arial" w:eastAsia="Arial" w:hAnsi="Arial"/>
          <w:sz w:val="21"/>
          <w:szCs w:val="21"/>
          <w:color w:val="auto"/>
        </w:rPr>
      </w:pPr>
    </w:p>
    <w:p>
      <w:pPr>
        <w:jc w:val="both"/>
        <w:ind w:left="1240" w:firstLine="620"/>
        <w:spacing w:after="0" w:line="216" w:lineRule="auto"/>
        <w:tabs>
          <w:tab w:leader="none" w:pos="2515" w:val="left"/>
        </w:tabs>
        <w:numPr>
          <w:ilvl w:val="1"/>
          <w:numId w:val="137"/>
        </w:numPr>
        <w:rPr>
          <w:rFonts w:ascii="Arial" w:cs="Arial" w:eastAsia="Arial" w:hAnsi="Arial"/>
          <w:sz w:val="21"/>
          <w:szCs w:val="21"/>
          <w:color w:val="auto"/>
        </w:rPr>
      </w:pPr>
      <w:r>
        <w:rPr>
          <w:rFonts w:ascii="Arial" w:cs="Arial" w:eastAsia="Arial" w:hAnsi="Arial"/>
          <w:sz w:val="21"/>
          <w:szCs w:val="21"/>
          <w:color w:val="auto"/>
        </w:rPr>
        <w:t xml:space="preserve">shall not mature earlier than the Maturity Date of the Restatement Date Term Loans;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Incremental Term Loans constituting customary bridge facilities shall not be required to meet such requirement if the long-term Indebtedness into which such customary bridge facilities are to be converted or exchanged matures no earlier than the Maturity Date of the Restatement Date Term Loans and such conversion or exchange is subject only to conditions customary for similar conversions or exchanges,</w:t>
      </w:r>
    </w:p>
    <w:p>
      <w:pPr>
        <w:spacing w:after="0" w:line="150" w:lineRule="exact"/>
        <w:rPr>
          <w:rFonts w:ascii="Arial" w:cs="Arial" w:eastAsia="Arial" w:hAnsi="Arial"/>
          <w:sz w:val="21"/>
          <w:szCs w:val="21"/>
          <w:color w:val="auto"/>
        </w:rPr>
      </w:pPr>
    </w:p>
    <w:p>
      <w:pPr>
        <w:jc w:val="both"/>
        <w:ind w:left="1240" w:firstLine="620"/>
        <w:spacing w:after="0" w:line="225" w:lineRule="auto"/>
        <w:tabs>
          <w:tab w:leader="none" w:pos="2392" w:val="left"/>
        </w:tabs>
        <w:numPr>
          <w:ilvl w:val="1"/>
          <w:numId w:val="137"/>
        </w:numPr>
        <w:rPr>
          <w:rFonts w:ascii="Arial" w:cs="Arial" w:eastAsia="Arial" w:hAnsi="Arial"/>
          <w:sz w:val="20"/>
          <w:szCs w:val="20"/>
          <w:color w:val="auto"/>
        </w:rPr>
      </w:pPr>
      <w:r>
        <w:rPr>
          <w:rFonts w:ascii="Arial" w:cs="Arial" w:eastAsia="Arial" w:hAnsi="Arial"/>
          <w:sz w:val="20"/>
          <w:szCs w:val="20"/>
          <w:color w:val="auto"/>
        </w:rPr>
        <w:t xml:space="preserve">shall have a Weighted Average Life to Maturity not shorter than the remaining Weighted Average Life to Maturity of the Restatement Date Term Loans;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Incremental Term Loans constituting customary bridge facilities shall not be required to meet such requirement if the long-term Indebtedness into which such customary bridge facilities are to be converted or exchanged has a Weighted Average Life to Maturity not shorter than the remaining Weighted Average Life to Maturity of the Restatement Date Term Loans and such conversion or exchange is subject only to conditions customary for similar conversions or exchanges,</w:t>
      </w:r>
    </w:p>
    <w:p>
      <w:pPr>
        <w:spacing w:after="0" w:line="150" w:lineRule="exact"/>
        <w:rPr>
          <w:rFonts w:ascii="Arial" w:cs="Arial" w:eastAsia="Arial" w:hAnsi="Arial"/>
          <w:sz w:val="20"/>
          <w:szCs w:val="20"/>
          <w:color w:val="auto"/>
        </w:rPr>
      </w:pPr>
    </w:p>
    <w:p>
      <w:pPr>
        <w:ind w:left="1240" w:firstLine="620"/>
        <w:spacing w:after="0" w:line="233" w:lineRule="auto"/>
        <w:tabs>
          <w:tab w:leader="none" w:pos="2348" w:val="left"/>
        </w:tabs>
        <w:numPr>
          <w:ilvl w:val="1"/>
          <w:numId w:val="137"/>
        </w:numPr>
        <w:rPr>
          <w:rFonts w:ascii="Arial" w:cs="Arial" w:eastAsia="Arial" w:hAnsi="Arial"/>
          <w:sz w:val="21"/>
          <w:szCs w:val="21"/>
          <w:color w:val="auto"/>
        </w:rPr>
      </w:pPr>
      <w:r>
        <w:rPr>
          <w:rFonts w:ascii="Arial" w:cs="Arial" w:eastAsia="Arial" w:hAnsi="Arial"/>
          <w:sz w:val="21"/>
          <w:szCs w:val="21"/>
          <w:color w:val="auto"/>
        </w:rPr>
        <w:t>shall have an Applicable Rate, and subject to clauses (e)(i)(A) and (e)(i)(B) above and clause (e)(iii) below, amortization determined by the Borrower and the applicable Incremental Term Lenders, and</w:t>
      </w:r>
    </w:p>
    <w:p>
      <w:pPr>
        <w:spacing w:after="0" w:line="149" w:lineRule="exact"/>
        <w:rPr>
          <w:rFonts w:ascii="Arial" w:cs="Arial" w:eastAsia="Arial" w:hAnsi="Arial"/>
          <w:sz w:val="21"/>
          <w:szCs w:val="21"/>
          <w:color w:val="auto"/>
        </w:rPr>
      </w:pPr>
    </w:p>
    <w:p>
      <w:pPr>
        <w:jc w:val="both"/>
        <w:ind w:left="1240" w:firstLine="620"/>
        <w:spacing w:after="0" w:line="243" w:lineRule="auto"/>
        <w:tabs>
          <w:tab w:leader="none" w:pos="2424"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the Incremental Term Loans may participate on a pro rata basis or less than pro rata basis (but not on a greater than pro rata basis) in any mandatory prepayments of Term Loans hereunder, as specified in the applicable Incremental Amendment;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permitted to prepay any Class of Term Loans on a better than a pro rata basis as compared to any other Class of Term Loans with a later maturity date than such Class;</w:t>
      </w:r>
    </w:p>
    <w:p>
      <w:pPr>
        <w:spacing w:after="0" w:line="146" w:lineRule="exact"/>
        <w:rPr>
          <w:rFonts w:ascii="Arial" w:cs="Arial" w:eastAsia="Arial" w:hAnsi="Arial"/>
          <w:sz w:val="19"/>
          <w:szCs w:val="19"/>
          <w:color w:val="auto"/>
        </w:rPr>
      </w:pPr>
    </w:p>
    <w:p>
      <w:pPr>
        <w:ind w:left="620" w:firstLine="621"/>
        <w:spacing w:after="0" w:line="233" w:lineRule="auto"/>
        <w:tabs>
          <w:tab w:leader="none" w:pos="173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Incremental Revolving Credit Commitments and Incremental Revolving Credit Loans shall be identical to the Revolving Credit Commitments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132</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 xml:space="preserve">Revolving Credit Loans, other than the Maturity Date and as set forth in this Section 2.14(e)(ii);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notwithstanding anything to the contrary in this Section 2.14 or otherwise:</w:t>
      </w:r>
    </w:p>
    <w:p>
      <w:pPr>
        <w:spacing w:after="0" w:line="150" w:lineRule="exact"/>
        <w:rPr>
          <w:sz w:val="20"/>
          <w:szCs w:val="20"/>
          <w:color w:val="auto"/>
        </w:rPr>
      </w:pPr>
    </w:p>
    <w:p>
      <w:pPr>
        <w:jc w:val="both"/>
        <w:ind w:left="620" w:firstLine="620"/>
        <w:spacing w:after="0" w:line="251" w:lineRule="auto"/>
        <w:tabs>
          <w:tab w:leader="none" w:pos="182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any such Incremental Revolving Credit Commitments or Incremental Revolving Credit Loans shall not mature or provide for mandatory commitment reductions earlier than the Latest Maturity Date of any Revolving Credit Commitments outstanding at the time of incurrence of such Incremental Revolving Credit Commitments,</w:t>
      </w:r>
    </w:p>
    <w:p>
      <w:pPr>
        <w:spacing w:after="0" w:line="139" w:lineRule="exact"/>
        <w:rPr>
          <w:rFonts w:ascii="Arial" w:cs="Arial" w:eastAsia="Arial" w:hAnsi="Arial"/>
          <w:sz w:val="19"/>
          <w:szCs w:val="19"/>
          <w:color w:val="auto"/>
        </w:rPr>
      </w:pPr>
    </w:p>
    <w:p>
      <w:pPr>
        <w:jc w:val="both"/>
        <w:ind w:left="620" w:firstLine="620"/>
        <w:spacing w:after="0" w:line="213" w:lineRule="auto"/>
        <w:tabs>
          <w:tab w:leader="none" w:pos="1733"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borrowing and repayment (except for (1) payments of interest and fees at different rates on Incremental Revolving Credit Commitments (and related outstandings), (2) repayments required upon the maturity date of the Incremental Revolving Credit Commitments and (3) repayments made in connection with a permanent repayment and termination of commitments (subject to clause (D) below)) of Loans with respect to Incremental Revolving Credit Commitments after the associated Incremental Facility Closing Date shall be made on a pro rata basis (or, in the case of repayment, on a pro rata basis or less than a pro rata basis) with all other Revolving Credit Commitments on the Incremental Facility Closing Date,</w:t>
      </w:r>
    </w:p>
    <w:p>
      <w:pPr>
        <w:spacing w:after="0" w:line="149" w:lineRule="exact"/>
        <w:rPr>
          <w:rFonts w:ascii="Arial" w:cs="Arial" w:eastAsia="Arial" w:hAnsi="Arial"/>
          <w:sz w:val="21"/>
          <w:szCs w:val="21"/>
          <w:color w:val="auto"/>
        </w:rPr>
      </w:pPr>
    </w:p>
    <w:p>
      <w:pPr>
        <w:jc w:val="both"/>
        <w:ind w:left="620" w:firstLine="620"/>
        <w:spacing w:after="0" w:line="213" w:lineRule="auto"/>
        <w:tabs>
          <w:tab w:leader="none" w:pos="1757" w:val="left"/>
        </w:tabs>
        <w:numPr>
          <w:ilvl w:val="0"/>
          <w:numId w:val="138"/>
        </w:numPr>
        <w:rPr>
          <w:rFonts w:ascii="Arial" w:cs="Arial" w:eastAsia="Arial" w:hAnsi="Arial"/>
          <w:sz w:val="21"/>
          <w:szCs w:val="21"/>
          <w:color w:val="auto"/>
        </w:rPr>
      </w:pPr>
      <w:r>
        <w:rPr>
          <w:rFonts w:ascii="Arial" w:cs="Arial" w:eastAsia="Arial" w:hAnsi="Arial"/>
          <w:sz w:val="21"/>
          <w:szCs w:val="21"/>
          <w:color w:val="auto"/>
        </w:rPr>
        <w:t>subject to the provisions of Sections 2.03(n) and 2.04(g) to the extent dealing with Swing Line Loans and Letters of Credit which mature or expire after a maturity date when there exists Incremental Revolving Credit Commitments with a longer maturity date, all Swing Line Loans and Letters of Credit shall be participated on a pro rata basis by all Lenders with Commitments in accordance with their percentage of the Revolving Credit Commitments on the Incremental Facility Closing Date (and except as provided in Section 2.03(n) and Section 2.04(g), without giving effect to changes thereto on an earlier maturity date with respect to Swing Line Loans and Letters of Credit theretofore incurred or issued),</w:t>
      </w:r>
    </w:p>
    <w:p>
      <w:pPr>
        <w:spacing w:after="0" w:line="149" w:lineRule="exact"/>
        <w:rPr>
          <w:rFonts w:ascii="Arial" w:cs="Arial" w:eastAsia="Arial" w:hAnsi="Arial"/>
          <w:sz w:val="21"/>
          <w:szCs w:val="21"/>
          <w:color w:val="auto"/>
        </w:rPr>
      </w:pPr>
    </w:p>
    <w:p>
      <w:pPr>
        <w:jc w:val="both"/>
        <w:ind w:left="620" w:firstLine="620"/>
        <w:spacing w:after="0" w:line="214" w:lineRule="auto"/>
        <w:tabs>
          <w:tab w:leader="none" w:pos="1862"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permanent repayment of Revolving Credit Loans with respect to, and termination of, Incremental Revolving Credit Commitments after the associated Incremental Facility Closing Date shall be made on a pro rata basis or less than pro rata basis (but not on a greater than pro rata basis) with all other Revolving Credit Commitments on the Incremental Facility Closing Date, except that the Borrower shall be permitted to permanently repay and terminate commitments of any such Class on a better than a pro rata basis as compared to any other Class with a later maturity date than such Class,</w:t>
      </w:r>
    </w:p>
    <w:p>
      <w:pPr>
        <w:spacing w:after="0" w:line="151" w:lineRule="exact"/>
        <w:rPr>
          <w:rFonts w:ascii="Arial" w:cs="Arial" w:eastAsia="Arial" w:hAnsi="Arial"/>
          <w:sz w:val="21"/>
          <w:szCs w:val="21"/>
          <w:color w:val="auto"/>
        </w:rPr>
      </w:pPr>
    </w:p>
    <w:p>
      <w:pPr>
        <w:jc w:val="both"/>
        <w:ind w:left="620" w:firstLine="620"/>
        <w:spacing w:after="0" w:line="235" w:lineRule="auto"/>
        <w:tabs>
          <w:tab w:leader="none" w:pos="1742"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assignments and participations of Incremental Revolving Credit Commitments and Incremental Revolving Credit Loans shall be governed by the same assignment and participation provisions applicable to Revolving Credit Commitments and Revolving Credit Loans on the Incremental Facility Closing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133</w:t>
      </w:r>
    </w:p>
    <w:p>
      <w:pPr>
        <w:sectPr>
          <w:pgSz w:w="11900" w:h="16838" w:orient="portrait"/>
          <w:cols w:equalWidth="0" w:num="1">
            <w:col w:w="10620"/>
          </w:cols>
          <w:pgMar w:left="940" w:top="1440" w:right="33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240" w:firstLine="620"/>
        <w:spacing w:after="0" w:line="224" w:lineRule="auto"/>
        <w:tabs>
          <w:tab w:leader="none" w:pos="2400" w:val="left"/>
        </w:tabs>
        <w:numPr>
          <w:ilvl w:val="2"/>
          <w:numId w:val="139"/>
        </w:numPr>
        <w:rPr>
          <w:rFonts w:ascii="Arial" w:cs="Arial" w:eastAsia="Arial" w:hAnsi="Arial"/>
          <w:sz w:val="21"/>
          <w:szCs w:val="21"/>
          <w:color w:val="auto"/>
        </w:rPr>
      </w:pPr>
      <w:r>
        <w:rPr>
          <w:rFonts w:ascii="Arial" w:cs="Arial" w:eastAsia="Arial" w:hAnsi="Arial"/>
          <w:sz w:val="21"/>
          <w:szCs w:val="21"/>
          <w:color w:val="auto"/>
        </w:rPr>
        <w:t>any Incremental Revolving Credit Commitments may constitute a separate Class or Classes, as the case may be, of Commitments from the Classes constituting the applicable Revolving Credit Commitments prior to the Incremental Facility Closing Date; and</w:t>
      </w:r>
    </w:p>
    <w:p>
      <w:pPr>
        <w:spacing w:after="0" w:line="148" w:lineRule="exact"/>
        <w:rPr>
          <w:rFonts w:ascii="Arial" w:cs="Arial" w:eastAsia="Arial" w:hAnsi="Arial"/>
          <w:sz w:val="21"/>
          <w:szCs w:val="21"/>
          <w:color w:val="auto"/>
        </w:rPr>
      </w:pPr>
    </w:p>
    <w:p>
      <w:pPr>
        <w:jc w:val="both"/>
        <w:ind w:left="620" w:firstLine="621"/>
        <w:spacing w:after="0" w:line="219" w:lineRule="auto"/>
        <w:tabs>
          <w:tab w:leader="none" w:pos="1811" w:val="left"/>
        </w:tabs>
        <w:numPr>
          <w:ilvl w:val="1"/>
          <w:numId w:val="140"/>
        </w:numPr>
        <w:rPr>
          <w:rFonts w:ascii="Arial" w:cs="Arial" w:eastAsia="Arial" w:hAnsi="Arial"/>
          <w:sz w:val="21"/>
          <w:szCs w:val="21"/>
          <w:color w:val="auto"/>
        </w:rPr>
      </w:pPr>
      <w:r>
        <w:rPr>
          <w:rFonts w:ascii="Arial" w:cs="Arial" w:eastAsia="Arial" w:hAnsi="Arial"/>
          <w:sz w:val="21"/>
          <w:szCs w:val="21"/>
          <w:color w:val="auto"/>
        </w:rPr>
        <w:t>the amortization schedule applicable to any Incremental Term Loans and the applicable margin and interest rate applicable to the Incremental Term Loans or Incremental Revolving Credit Loans of each Class shall be determined by the Borrower and the applicable Lenders providing such Incremental Term Loans or Incremental Revolving Credit Commitments and shall be set forth in each applicable Incremental Amendment.</w:t>
      </w:r>
    </w:p>
    <w:p>
      <w:pPr>
        <w:spacing w:after="0" w:line="149" w:lineRule="exact"/>
        <w:rPr>
          <w:rFonts w:ascii="Arial" w:cs="Arial" w:eastAsia="Arial" w:hAnsi="Arial"/>
          <w:sz w:val="21"/>
          <w:szCs w:val="21"/>
          <w:color w:val="auto"/>
        </w:rPr>
      </w:pPr>
    </w:p>
    <w:p>
      <w:pPr>
        <w:jc w:val="both"/>
        <w:ind w:firstLine="622"/>
        <w:spacing w:after="0" w:line="231" w:lineRule="auto"/>
        <w:tabs>
          <w:tab w:leader="none" w:pos="1250" w:val="left"/>
        </w:tabs>
        <w:numPr>
          <w:ilvl w:val="0"/>
          <w:numId w:val="141"/>
        </w:numPr>
        <w:rPr>
          <w:rFonts w:ascii="Arial" w:cs="Arial" w:eastAsia="Arial" w:hAnsi="Arial"/>
          <w:sz w:val="19"/>
          <w:szCs w:val="19"/>
          <w:color w:val="auto"/>
        </w:rPr>
      </w:pPr>
      <w:r>
        <w:rPr>
          <w:rFonts w:ascii="Arial" w:cs="Arial" w:eastAsia="Arial" w:hAnsi="Arial"/>
          <w:sz w:val="19"/>
          <w:szCs w:val="19"/>
          <w:i w:val="1"/>
          <w:iCs w:val="1"/>
          <w:color w:val="auto"/>
        </w:rPr>
        <w:t>Incremental Amendment</w:t>
      </w:r>
      <w:r>
        <w:rPr>
          <w:rFonts w:ascii="Arial" w:cs="Arial" w:eastAsia="Arial" w:hAnsi="Arial"/>
          <w:sz w:val="19"/>
          <w:szCs w:val="19"/>
          <w:color w:val="auto"/>
        </w:rPr>
        <w:t>. Commitments in respect of Incremental Term Loans and Incremental Revolving Credit</w:t>
      </w:r>
      <w:r>
        <w:rPr>
          <w:rFonts w:ascii="Arial" w:cs="Arial" w:eastAsia="Arial" w:hAnsi="Arial"/>
          <w:sz w:val="19"/>
          <w:szCs w:val="19"/>
          <w:i w:val="1"/>
          <w:iCs w:val="1"/>
          <w:color w:val="auto"/>
        </w:rPr>
        <w:t xml:space="preserve"> </w:t>
      </w:r>
      <w:r>
        <w:rPr>
          <w:rFonts w:ascii="Arial" w:cs="Arial" w:eastAsia="Arial" w:hAnsi="Arial"/>
          <w:sz w:val="19"/>
          <w:szCs w:val="19"/>
          <w:color w:val="auto"/>
        </w:rPr>
        <w:t>Commitment shall become Commitments (or in the case of an Incremental Revolving Credit Commitment to be provided by an existing Revolving Credit Lender, an increase in such Lender’s applicable Revolving Credit Commitment), under this Agreement pursuant to an amendment (an “</w:t>
      </w:r>
      <w:r>
        <w:rPr>
          <w:rFonts w:ascii="Arial" w:cs="Arial" w:eastAsia="Arial" w:hAnsi="Arial"/>
          <w:sz w:val="19"/>
          <w:szCs w:val="19"/>
          <w:b w:val="1"/>
          <w:bCs w:val="1"/>
          <w:color w:val="auto"/>
        </w:rPr>
        <w:t>Incremental Amendment</w:t>
      </w:r>
      <w:r>
        <w:rPr>
          <w:rFonts w:ascii="Arial" w:cs="Arial" w:eastAsia="Arial" w:hAnsi="Arial"/>
          <w:sz w:val="19"/>
          <w:szCs w:val="19"/>
          <w:color w:val="auto"/>
        </w:rPr>
        <w:t>”) to this Agreement and, as appropriate, the other Loan Documents, executed by the Borrower, any Subsidiary Guarantor organized under the laws of the United States, any state thereof, the District of Columbia or any territory thereof, that may be designated as a borrower in respect thereof (if any) in accordance with Section 2.14(b), each Incremental Lender providing such Commitments and the Administrative Agent. The Incremental Amendment may, without the consent of any other Loan Party, Agent or Lender, effect such amendments to this Agreement and the other Loan Documents as may be necessary or appropriate, in the reasonable opinion of the Administrative Agent, to effect the provisions of this Section 2.14. The Borrower (or any Subsidiary Guarantor organized under the laws of the United States, any state thereof, the District of Columbia or any territory thereof, that may be designated as a borrower in respect thereof) will use the proceeds of the Incremental Term Loans and Incremental Revolving Credit Commitments for any purpose not prohibited by this Agreement. No Lender shall be obligated to provide any Incremental Term Loans or Incremental Revolving Credit Commitments, unless it so agrees.</w:t>
      </w:r>
    </w:p>
    <w:p>
      <w:pPr>
        <w:spacing w:after="0" w:line="153" w:lineRule="exact"/>
        <w:rPr>
          <w:rFonts w:ascii="Arial" w:cs="Arial" w:eastAsia="Arial" w:hAnsi="Arial"/>
          <w:sz w:val="19"/>
          <w:szCs w:val="19"/>
          <w:color w:val="auto"/>
        </w:rPr>
      </w:pPr>
    </w:p>
    <w:p>
      <w:pPr>
        <w:jc w:val="both"/>
        <w:ind w:firstLine="622"/>
        <w:spacing w:after="0" w:line="232" w:lineRule="auto"/>
        <w:tabs>
          <w:tab w:leader="none" w:pos="1078" w:val="left"/>
        </w:tabs>
        <w:numPr>
          <w:ilvl w:val="0"/>
          <w:numId w:val="141"/>
        </w:numPr>
        <w:rPr>
          <w:rFonts w:ascii="Arial" w:cs="Arial" w:eastAsia="Arial" w:hAnsi="Arial"/>
          <w:sz w:val="19"/>
          <w:szCs w:val="19"/>
          <w:color w:val="auto"/>
        </w:rPr>
      </w:pPr>
      <w:r>
        <w:rPr>
          <w:rFonts w:ascii="Arial" w:cs="Arial" w:eastAsia="Arial" w:hAnsi="Arial"/>
          <w:sz w:val="19"/>
          <w:szCs w:val="19"/>
          <w:i w:val="1"/>
          <w:iCs w:val="1"/>
          <w:color w:val="auto"/>
        </w:rPr>
        <w:t>Reallocation of Revolving Credit Exposure</w:t>
      </w:r>
      <w:r>
        <w:rPr>
          <w:rFonts w:ascii="Arial" w:cs="Arial" w:eastAsia="Arial" w:hAnsi="Arial"/>
          <w:sz w:val="19"/>
          <w:szCs w:val="19"/>
          <w:color w:val="auto"/>
        </w:rPr>
        <w:t>. Upon any Incremental Facility Closing Date on which Incremental Revolving</w:t>
      </w:r>
      <w:r>
        <w:rPr>
          <w:rFonts w:ascii="Arial" w:cs="Arial" w:eastAsia="Arial" w:hAnsi="Arial"/>
          <w:sz w:val="19"/>
          <w:szCs w:val="19"/>
          <w:i w:val="1"/>
          <w:iCs w:val="1"/>
          <w:color w:val="auto"/>
        </w:rPr>
        <w:t xml:space="preserve"> </w:t>
      </w:r>
      <w:r>
        <w:rPr>
          <w:rFonts w:ascii="Arial" w:cs="Arial" w:eastAsia="Arial" w:hAnsi="Arial"/>
          <w:sz w:val="19"/>
          <w:szCs w:val="19"/>
          <w:color w:val="auto"/>
        </w:rPr>
        <w:t>Credit Commitments are effected through an increase in the Revolving Credit Commitments pursuant to this Section 2.14, (a) if the increase relates to the Revolving Credit Facility,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Credit Loans outstanding on such Incremental Facility Closing Date as shall be necessary in order that, after giving effect to all such assignments and purchases, such Revolving Credit Loans will be held by existing Revolving Credit Lenders and Incremental Revolving Credit Lenders ratably in accordance with their Revolving Credit Commitments after giving effect to the addition of such Incremental Revolving Credit Commitments to the Revolving Credit Commitments, (b) each Incremental Revolving Credit Commitment shall be deemed for all purposes a Revolving Credit Commitment and each Loan made thereunder shall be deemed, for all purposes, a Revolving Credit Loan and (c)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134</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316" w:lineRule="exact"/>
        <w:rPr>
          <w:sz w:val="20"/>
          <w:szCs w:val="20"/>
          <w:color w:val="auto"/>
        </w:rPr>
      </w:pPr>
    </w:p>
    <w:p>
      <w:pPr>
        <w:jc w:val="both"/>
        <w:ind w:firstLine="6"/>
        <w:spacing w:after="0" w:line="219" w:lineRule="auto"/>
        <w:rPr>
          <w:sz w:val="20"/>
          <w:szCs w:val="20"/>
          <w:color w:val="auto"/>
        </w:rPr>
      </w:pPr>
      <w:r>
        <w:rPr>
          <w:rFonts w:ascii="Arial" w:cs="Arial" w:eastAsia="Arial" w:hAnsi="Arial"/>
          <w:sz w:val="21"/>
          <w:szCs w:val="21"/>
          <w:color w:val="auto"/>
        </w:rPr>
        <w:t>Incremental Revolving Credit Lender shall become a Lender with respect to the Incremental Revolving Credit Commitments and all matters relating thereto. The Administrative Agent and the Lenders hereby agree that the minimum borrowing and prepayment requirements in Sections 2.02 and 2.05(a) of this Agreement shall not apply to the transactions effected pursuant to the immediately preceding sentence.</w:t>
      </w:r>
    </w:p>
    <w:p>
      <w:pPr>
        <w:spacing w:after="0" w:line="176" w:lineRule="exact"/>
        <w:rPr>
          <w:sz w:val="20"/>
          <w:szCs w:val="20"/>
          <w:color w:val="auto"/>
        </w:rPr>
      </w:pPr>
    </w:p>
    <w:p>
      <w:pPr>
        <w:ind w:left="1060" w:hanging="438"/>
        <w:spacing w:after="0"/>
        <w:tabs>
          <w:tab w:leader="none" w:pos="106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This Section 2.14 shall supersede any provisions in Section 2.13 or 10.01 to the contrary.</w:t>
      </w:r>
    </w:p>
    <w:p>
      <w:pPr>
        <w:spacing w:after="0" w:line="171" w:lineRule="exact"/>
        <w:rPr>
          <w:rFonts w:ascii="Arial" w:cs="Arial" w:eastAsia="Arial" w:hAnsi="Arial"/>
          <w:sz w:val="21"/>
          <w:szCs w:val="21"/>
          <w:color w:val="auto"/>
        </w:rPr>
      </w:pPr>
    </w:p>
    <w:p>
      <w:pPr>
        <w:jc w:val="both"/>
        <w:ind w:firstLine="622"/>
        <w:spacing w:after="0" w:line="231" w:lineRule="auto"/>
        <w:tabs>
          <w:tab w:leader="none" w:pos="107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Notwithstanding the foregoing, Incremental Term Facilities and Incremental Revolving Facilities may be established and incurred as a means of effectively extending the maturity or effecting a repricing or a refinancing, in whole or in part, without utilizing any of the Available Incremental Amount, without regard to whether an Event of Default has occurred and is continuing and, without regard to the minimums set forth in Section 2.14(d)(iv), to the extent that the net cash proceeds from the Incremental Term Loans and Incremental Revolving Credit Loans, as applicable, are used to either (x) prepay Term Loans or (y) permanently reduce the Revolving Credit Commitments, Extended Revolving Credit Commitments or Incremental Revolving Credit Commitments;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Lenders with respect to any Class of Loans or Commitments being prepaid are offered the opportunity to participate in such transaction on a pro rata basis (and on the same terms) and (ii) the aggregate principal amount of such Class of Loans or Commitments, as the case may be, does not exceed the sum of (A) the aggregate principal amount of the applicable Class of Loans or Commitments being prepaid, extended, repriced or refinanced, (B) fees and expenses associated with the such prepayment (including any prepayment premium, penalties or other call protection) and (C) fees and expenses (including any OID, upfront fees, commitment fees, amendment fees, arrangement fees, underwriting fees or other fees) related to the establishment and incurrence of such Incremental Term Facilities and Incremental Revolving Facilities, as applicable.</w:t>
      </w:r>
    </w:p>
    <w:p>
      <w:pPr>
        <w:spacing w:after="0" w:line="154"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i w:val="1"/>
          <w:iCs w:val="1"/>
          <w:color w:val="auto"/>
        </w:rPr>
        <w:t>Refinancing Amendments</w:t>
      </w:r>
      <w:r>
        <w:rPr>
          <w:rFonts w:ascii="Arial" w:cs="Arial" w:eastAsia="Arial" w:hAnsi="Arial"/>
          <w:sz w:val="19"/>
          <w:szCs w:val="19"/>
          <w:color w:val="auto"/>
        </w:rPr>
        <w:t>. (a) On one or more occasions after the Restatement Date, the Borrower may obtain, from any Lender or any other bank, financial institution or other institutional lender or investor that agrees to provide any portion of Refinancing Term Loans or Other Revolving Credit Commitments pursuant to a Refinancing Amendment in accordance with this Section 2.15 (each, an “</w:t>
      </w:r>
      <w:r>
        <w:rPr>
          <w:rFonts w:ascii="Arial" w:cs="Arial" w:eastAsia="Arial" w:hAnsi="Arial"/>
          <w:sz w:val="19"/>
          <w:szCs w:val="19"/>
          <w:b w:val="1"/>
          <w:bCs w:val="1"/>
          <w:color w:val="auto"/>
        </w:rPr>
        <w:t>Additional Refinancing Lender</w:t>
      </w:r>
      <w:r>
        <w:rPr>
          <w:rFonts w:ascii="Arial" w:cs="Arial" w:eastAsia="Arial" w:hAnsi="Arial"/>
          <w:sz w:val="19"/>
          <w:szCs w:val="19"/>
          <w:color w:val="auto"/>
        </w:rPr>
        <w: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solely with respect to Other Revolving Credit Commitments, the Administrative Agent, each Swing Line Lender and each L/C Issuer, if applicable, shall have consented (not to be unreasonably withheld or delayed) to such Lender’s or Additional Refinancing Lender’s providing such Other Revolving Credit Commitments to the extent such consent, if any, would be required under Section 10.07(b) for an assignment of Revolving Credit Commitments to such Lender or Additional Refinancing Lender, (ii) with respect to Refinancing Term Loans, any Affiliated Lender providing Refinancing Term Loans shall be subject to the same restrictions set forth in Section 10.07(l) as they would otherwise be subject to with respect to any purchase by or assignment to such Affiliated Lender of Term Loans and (iii) Affiliated Lenders may not provide Other Revolving Credit Commitments), Credit Agreement Refinancing Indebtedness in respect of all or any portion of any Class, as selected by the Borrower in its sole discretion, of Term Loans or Revolving Credit Loans (or unused Commitments in respect thereof) then outstanding under this Agreement, in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135</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316" w:lineRule="exact"/>
        <w:rPr>
          <w:sz w:val="20"/>
          <w:szCs w:val="20"/>
          <w:color w:val="auto"/>
        </w:rPr>
      </w:pPr>
    </w:p>
    <w:p>
      <w:pPr>
        <w:jc w:val="both"/>
        <w:ind w:firstLine="6"/>
        <w:spacing w:after="0" w:line="230" w:lineRule="auto"/>
        <w:rPr>
          <w:sz w:val="20"/>
          <w:szCs w:val="20"/>
          <w:color w:val="auto"/>
        </w:rPr>
      </w:pPr>
      <w:r>
        <w:rPr>
          <w:rFonts w:ascii="Arial" w:cs="Arial" w:eastAsia="Arial" w:hAnsi="Arial"/>
          <w:sz w:val="19"/>
          <w:szCs w:val="19"/>
          <w:color w:val="auto"/>
        </w:rPr>
        <w:t xml:space="preserve">of Refinancing Term Loans, Refinancing Term Commitments, Other Revolving Credit Commitments, or Other Revolving Credit Loans pursuant to a Refinancing Amendment;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to the contrary in this Section 2.15 or otherwise, (1) the borrowing and repayment (except for (A) payments of interest and fees at different rates on Other Revolving Credit Commitments (and related outstandings), (B) repayments required upon the maturity date of the Other Revolving Credit Commitments and (C) repayment made in connection with a permanent repayment and termination of commitments (subject to clause (3) below)) of Loans with respect to Other Revolving Credit Commitments after the date of obtaining any Other Revolving Credit Commitments shall be made on a pro rata basis with all other Revolving Credit Commitments, (2) subject to the provisions of Section 2.03(n) and Section 2.04(g) to the extent dealing with Swing Line Loans and Letters of Credit which mature or expire after a maturity date when there exist Other Revolving Credit Commitments with a longer maturity date, all Swing Line Loans and Letters of Credit shall be participated on a pro rata basis by all Lenders with Commitments in accordance with their percentage of the Commitments in respect of Revolving Credit Loans (and except as provided in Section 2.03(n) and Section 2.04(g), without giving effect to changes thereto on an earlier maturity date with respect to Swing Line Loans and Letters of Credit theretofore incurred or issued), (3) the permanent repayment of Revolving Credit Loans with respect to, and termination of, Other Revolving Credit Commitments after the date of obtaining any Other Revolving Credit Commitments shall be made on a pro rata basis with all other Commitments in respect of Revolving Credit Loans, except that the Borrower shall be permitted to permanently repay and terminate commitments of any such Class on a better than a pro rata basis as compared to any other Class with a later maturity date than such Class and (4) assignments and participations of Other Revolving Credit Commitments and Other Revolving Credit Loans shall be governed by the same assignment and participation provisions applicable to Revolving Credit Commitments and Revolving Credit Loans.</w:t>
      </w:r>
    </w:p>
    <w:p>
      <w:pPr>
        <w:spacing w:after="0" w:line="176" w:lineRule="exact"/>
        <w:rPr>
          <w:sz w:val="20"/>
          <w:szCs w:val="20"/>
          <w:color w:val="auto"/>
        </w:rPr>
      </w:pPr>
    </w:p>
    <w:p>
      <w:pPr>
        <w:jc w:val="both"/>
        <w:ind w:firstLine="622"/>
        <w:spacing w:after="0" w:line="223" w:lineRule="auto"/>
        <w:tabs>
          <w:tab w:leader="none" w:pos="113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effectiveness of any Refinancing Amendment shall be subject to the satisfaction on the date thereof of each of the conditions set forth in Section 4.02 and, to the extent reasonably requested by the Administrative Agent, receipt by the Administrative Agent of (i) customary legal opinions, board resolutions and officers’ certificates consistent with those delivered on the Restatement Date other than changes to such legal opinion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such Credit Agreement Refinancing Indebtedness is provided with the benefit of the applicable Loan Documents.</w:t>
      </w:r>
    </w:p>
    <w:p>
      <w:pPr>
        <w:spacing w:after="0" w:line="154" w:lineRule="exact"/>
        <w:rPr>
          <w:rFonts w:ascii="Arial" w:cs="Arial" w:eastAsia="Arial" w:hAnsi="Arial"/>
          <w:sz w:val="20"/>
          <w:szCs w:val="20"/>
          <w:color w:val="auto"/>
        </w:rPr>
      </w:pPr>
    </w:p>
    <w:p>
      <w:pPr>
        <w:ind w:firstLine="622"/>
        <w:spacing w:after="0" w:line="250" w:lineRule="auto"/>
        <w:tabs>
          <w:tab w:leader="none" w:pos="1149" w:val="left"/>
        </w:tabs>
        <w:numPr>
          <w:ilvl w:val="0"/>
          <w:numId w:val="143"/>
        </w:numPr>
        <w:rPr>
          <w:rFonts w:ascii="Arial" w:cs="Arial" w:eastAsia="Arial" w:hAnsi="Arial"/>
          <w:sz w:val="20"/>
          <w:szCs w:val="20"/>
          <w:color w:val="auto"/>
        </w:rPr>
      </w:pPr>
      <w:r>
        <w:rPr>
          <w:rFonts w:ascii="Arial" w:cs="Arial" w:eastAsia="Arial" w:hAnsi="Arial"/>
          <w:sz w:val="20"/>
          <w:szCs w:val="20"/>
          <w:color w:val="auto"/>
        </w:rPr>
        <w:t>Each issuance of Credit Agreement Refinancing Indebtedness under Section 2.15(a) shall be in an aggregate principal amount that is (x) not less than $5,000,000 and (y) an integral multiple of $1,000,000 in excess thereof.</w:t>
      </w:r>
    </w:p>
    <w:p>
      <w:pPr>
        <w:spacing w:after="0" w:line="139" w:lineRule="exact"/>
        <w:rPr>
          <w:rFonts w:ascii="Arial" w:cs="Arial" w:eastAsia="Arial" w:hAnsi="Arial"/>
          <w:sz w:val="20"/>
          <w:szCs w:val="20"/>
          <w:color w:val="auto"/>
        </w:rPr>
      </w:pPr>
    </w:p>
    <w:p>
      <w:pPr>
        <w:jc w:val="both"/>
        <w:ind w:firstLine="622"/>
        <w:spacing w:after="0" w:line="251" w:lineRule="auto"/>
        <w:tabs>
          <w:tab w:leader="none" w:pos="107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of the parties hereto hereby agrees that this Agreement and the other Loan Documents may be amended pursuant to a Refinancing Amendment, without the consent of any other Lenders or any Agent, to the extent (but only to the extent) necessary to (i) reflect the existence and terms of the Credit Agreement Refinancing Indebtedness incurred pursuant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136</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16" w:lineRule="exact"/>
        <w:rPr>
          <w:sz w:val="20"/>
          <w:szCs w:val="20"/>
          <w:color w:val="auto"/>
        </w:rPr>
      </w:pPr>
    </w:p>
    <w:p>
      <w:pPr>
        <w:jc w:val="both"/>
        <w:ind w:firstLine="6"/>
        <w:spacing w:after="0" w:line="227" w:lineRule="auto"/>
        <w:rPr>
          <w:sz w:val="20"/>
          <w:szCs w:val="20"/>
          <w:color w:val="auto"/>
        </w:rPr>
      </w:pPr>
      <w:r>
        <w:rPr>
          <w:rFonts w:ascii="Arial" w:cs="Arial" w:eastAsia="Arial" w:hAnsi="Arial"/>
          <w:sz w:val="20"/>
          <w:szCs w:val="20"/>
          <w:color w:val="auto"/>
        </w:rPr>
        <w:t>and (ii) make such other changes to this Agreement and the other Loan Documents consistent with the provisions and intent of the fourth paragraph of Section 10.01 (without the consent of the Required Lenders called for therein) and (iii) effect such other amendments to this Agreement and the other Loan Documents as may be necessary or appropriate, in the reasonable opinion of the Administrative Agent and the Borrower, to effect the provisions of this Section 2.15, and the Required Lenders hereby expressly authorize the Administrative Agent to enter into any such Refinancing Amendment.</w:t>
      </w:r>
    </w:p>
    <w:p>
      <w:pPr>
        <w:spacing w:after="0" w:line="176"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18"/>
          <w:szCs w:val="18"/>
          <w:color w:val="auto"/>
        </w:rPr>
        <w:t>This Section 2.15 shall supersede any provisions in Section 2.13 or 10.01 to the contrary.</w:t>
      </w:r>
    </w:p>
    <w:p>
      <w:pPr>
        <w:spacing w:after="0" w:line="171"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i w:val="1"/>
          <w:iCs w:val="1"/>
          <w:color w:val="auto"/>
        </w:rPr>
        <w:t>Extension of Term Loans; Extension of Revolving Credit Loans</w:t>
      </w:r>
      <w:r>
        <w:rPr>
          <w:rFonts w:ascii="Arial" w:cs="Arial" w:eastAsia="Arial" w:hAnsi="Arial"/>
          <w:sz w:val="19"/>
          <w:szCs w:val="19"/>
          <w:color w:val="auto"/>
        </w:rPr>
        <w:t xml:space="preserve">. (a) </w:t>
      </w:r>
      <w:r>
        <w:rPr>
          <w:rFonts w:ascii="Arial" w:cs="Arial" w:eastAsia="Arial" w:hAnsi="Arial"/>
          <w:sz w:val="19"/>
          <w:szCs w:val="19"/>
          <w:i w:val="1"/>
          <w:iCs w:val="1"/>
          <w:color w:val="auto"/>
        </w:rPr>
        <w:t>Extension of Term Loans</w:t>
      </w:r>
      <w:r>
        <w:rPr>
          <w:rFonts w:ascii="Arial" w:cs="Arial" w:eastAsia="Arial" w:hAnsi="Arial"/>
          <w:sz w:val="19"/>
          <w:szCs w:val="19"/>
          <w:color w:val="auto"/>
        </w:rPr>
        <w:t>. The Borrower may at any time and from time to time, in its sole discretion, request that all or a portion of the Term Loans of a given Class (or series or tranche thereof) (each, an “</w:t>
      </w:r>
      <w:r>
        <w:rPr>
          <w:rFonts w:ascii="Arial" w:cs="Arial" w:eastAsia="Arial" w:hAnsi="Arial"/>
          <w:sz w:val="19"/>
          <w:szCs w:val="19"/>
          <w:b w:val="1"/>
          <w:bCs w:val="1"/>
          <w:color w:val="auto"/>
        </w:rPr>
        <w:t>Existing Term Loan Tranche</w:t>
      </w:r>
      <w:r>
        <w:rPr>
          <w:rFonts w:ascii="Arial" w:cs="Arial" w:eastAsia="Arial" w:hAnsi="Arial"/>
          <w:sz w:val="19"/>
          <w:szCs w:val="19"/>
          <w:color w:val="auto"/>
        </w:rPr>
        <w:t>”) be amended to extend the scheduled maturity date(s) with respect to all or a portion of any principal amount of such Term Loans (any such Term Loans which have been so amended, “</w:t>
      </w:r>
      <w:r>
        <w:rPr>
          <w:rFonts w:ascii="Arial" w:cs="Arial" w:eastAsia="Arial" w:hAnsi="Arial"/>
          <w:sz w:val="19"/>
          <w:szCs w:val="19"/>
          <w:b w:val="1"/>
          <w:bCs w:val="1"/>
          <w:color w:val="auto"/>
        </w:rPr>
        <w:t>Extended Term Loans</w:t>
      </w:r>
      <w:r>
        <w:rPr>
          <w:rFonts w:ascii="Arial" w:cs="Arial" w:eastAsia="Arial" w:hAnsi="Arial"/>
          <w:sz w:val="19"/>
          <w:szCs w:val="19"/>
          <w:color w:val="auto"/>
        </w:rPr>
        <w:t>”) and to provide for other terms consistent with this Section 2.16. In order to establish any Extended Term Loans, the Borrower shall provide a notice to the Administrative Agent (who shall provide a copy of such notice to each of the Lenders under the applicable Existing Term Loan Tranche) (each, a “</w:t>
      </w:r>
      <w:r>
        <w:rPr>
          <w:rFonts w:ascii="Arial" w:cs="Arial" w:eastAsia="Arial" w:hAnsi="Arial"/>
          <w:sz w:val="19"/>
          <w:szCs w:val="19"/>
          <w:b w:val="1"/>
          <w:bCs w:val="1"/>
          <w:color w:val="auto"/>
        </w:rPr>
        <w:t>Term Loan Extension Request</w:t>
      </w:r>
      <w:r>
        <w:rPr>
          <w:rFonts w:ascii="Arial" w:cs="Arial" w:eastAsia="Arial" w:hAnsi="Arial"/>
          <w:sz w:val="19"/>
          <w:szCs w:val="19"/>
          <w:color w:val="auto"/>
        </w:rPr>
        <w:t xml:space="preserve">”) setting forth the proposed terms of the Extended Term Loans to be established, which shall (x) be identical as offered to each Lender under such Existing Term Loan Tranche (including as to the proposed interest rates and fees payable) and offered pro rata to each Lender under such Existing Term Loan Tranche and (y)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Effective Yield with respect to the Extended Term Loans may be different than the Effective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prepayment premiums or call protection as may be agreed by the Borrower and the Lenders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Extended Term Loans may be optionally prepaid prior to the date on which the Term Loans under the Existing Term Loan Tranche from which such Extended Term Loans were amended are repaid in full, unless such optional prepayment is accompanied by at least a pro rata optional prepayment of such Existing Term Loan Tranche;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 in no event shall the final maturity date of any Extended Term Loans of a given Term Loan Extension Series at the</w:t>
      </w:r>
      <w:r>
        <w:rPr>
          <w:rFonts w:ascii="Arial" w:cs="Arial" w:eastAsia="Arial" w:hAnsi="Arial"/>
          <w:sz w:val="19"/>
          <w:szCs w:val="19"/>
          <w:i w:val="1"/>
          <w:iCs w:val="1"/>
          <w:color w:val="auto"/>
        </w:rPr>
        <w:t xml:space="preserve"> </w:t>
      </w:r>
      <w:r>
        <w:rPr>
          <w:rFonts w:ascii="Arial" w:cs="Arial" w:eastAsia="Arial" w:hAnsi="Arial"/>
          <w:sz w:val="19"/>
          <w:szCs w:val="19"/>
          <w:color w:val="auto"/>
        </w:rPr>
        <w:t>time of establishment thereof be earlier than the then Latest Maturity Date of any Existing Term Loan Tranche hereunder, (B) 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137</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316" w:lineRule="exact"/>
        <w:rPr>
          <w:sz w:val="20"/>
          <w:szCs w:val="20"/>
          <w:color w:val="auto"/>
        </w:rPr>
      </w:pPr>
    </w:p>
    <w:p>
      <w:pPr>
        <w:jc w:val="both"/>
        <w:ind w:firstLine="6"/>
        <w:spacing w:after="0" w:line="221" w:lineRule="auto"/>
        <w:rPr>
          <w:sz w:val="20"/>
          <w:szCs w:val="20"/>
          <w:color w:val="auto"/>
        </w:rPr>
      </w:pPr>
      <w:r>
        <w:rPr>
          <w:rFonts w:ascii="Arial" w:cs="Arial" w:eastAsia="Arial" w:hAnsi="Arial"/>
          <w:sz w:val="20"/>
          <w:szCs w:val="20"/>
          <w:color w:val="auto"/>
        </w:rPr>
        <w:t>applicable Existing Term Loan Tranche, (C) all documentation in respect of such Extension Amendment shall be consistent with the foregoing and (D) any Extended Term Loans may participate on a pro rata basis or less than a pro rata basis (but not greater than a pro rata basis) in any mandatory repayments or prepayments hereunder, in each case as specified in the respective Term Loan Extension Request. Any Extended Term Loans amended pursuant to any Term Loan Extension Request shall be designated a series (each, a “</w:t>
      </w:r>
      <w:r>
        <w:rPr>
          <w:rFonts w:ascii="Arial" w:cs="Arial" w:eastAsia="Arial" w:hAnsi="Arial"/>
          <w:sz w:val="20"/>
          <w:szCs w:val="20"/>
          <w:b w:val="1"/>
          <w:bCs w:val="1"/>
          <w:color w:val="auto"/>
        </w:rPr>
        <w:t>Term Loan Extension Series</w:t>
      </w:r>
      <w:r>
        <w:rPr>
          <w:rFonts w:ascii="Arial" w:cs="Arial" w:eastAsia="Arial" w:hAnsi="Arial"/>
          <w:sz w:val="20"/>
          <w:szCs w:val="20"/>
          <w:color w:val="auto"/>
        </w:rPr>
        <w:t xml:space="preserve">”) of Extended Term Loans for all purposes of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Section 2.16 shall be in an aggregate principal amount that is not less than $5,000,000.</w:t>
      </w:r>
    </w:p>
    <w:p>
      <w:pPr>
        <w:spacing w:after="0" w:line="183" w:lineRule="exact"/>
        <w:rPr>
          <w:sz w:val="20"/>
          <w:szCs w:val="20"/>
          <w:color w:val="auto"/>
        </w:rPr>
      </w:pPr>
    </w:p>
    <w:p>
      <w:pPr>
        <w:jc w:val="both"/>
        <w:ind w:firstLine="622"/>
        <w:spacing w:after="0" w:line="229" w:lineRule="auto"/>
        <w:tabs>
          <w:tab w:leader="none" w:pos="1091" w:val="left"/>
        </w:tabs>
        <w:numPr>
          <w:ilvl w:val="0"/>
          <w:numId w:val="144"/>
        </w:numPr>
        <w:rPr>
          <w:rFonts w:ascii="Arial" w:cs="Arial" w:eastAsia="Arial" w:hAnsi="Arial"/>
          <w:sz w:val="19"/>
          <w:szCs w:val="19"/>
          <w:color w:val="auto"/>
        </w:rPr>
      </w:pPr>
      <w:r>
        <w:rPr>
          <w:rFonts w:ascii="Arial" w:cs="Arial" w:eastAsia="Arial" w:hAnsi="Arial"/>
          <w:sz w:val="19"/>
          <w:szCs w:val="19"/>
          <w:i w:val="1"/>
          <w:iCs w:val="1"/>
          <w:color w:val="auto"/>
        </w:rPr>
        <w:t>Extension of Revolving Credit Commitments</w:t>
      </w:r>
      <w:r>
        <w:rPr>
          <w:rFonts w:ascii="Arial" w:cs="Arial" w:eastAsia="Arial" w:hAnsi="Arial"/>
          <w:sz w:val="19"/>
          <w:szCs w:val="19"/>
          <w:color w:val="auto"/>
        </w:rPr>
        <w:t>. The Borrower may at any time and from time to time, in its sole discretion,</w:t>
      </w:r>
      <w:r>
        <w:rPr>
          <w:rFonts w:ascii="Arial" w:cs="Arial" w:eastAsia="Arial" w:hAnsi="Arial"/>
          <w:sz w:val="19"/>
          <w:szCs w:val="19"/>
          <w:i w:val="1"/>
          <w:iCs w:val="1"/>
          <w:color w:val="auto"/>
        </w:rPr>
        <w:t xml:space="preserve"> </w:t>
      </w:r>
      <w:r>
        <w:rPr>
          <w:rFonts w:ascii="Arial" w:cs="Arial" w:eastAsia="Arial" w:hAnsi="Arial"/>
          <w:sz w:val="19"/>
          <w:szCs w:val="19"/>
          <w:color w:val="auto"/>
        </w:rPr>
        <w:t>request that all or a portion of the Revolving Credit Commitments or Incremental Revolving Credit Commitments of a given Class (or series or tranche thereof) (each, an “</w:t>
      </w:r>
      <w:r>
        <w:rPr>
          <w:rFonts w:ascii="Arial" w:cs="Arial" w:eastAsia="Arial" w:hAnsi="Arial"/>
          <w:sz w:val="19"/>
          <w:szCs w:val="19"/>
          <w:b w:val="1"/>
          <w:bCs w:val="1"/>
          <w:color w:val="auto"/>
        </w:rPr>
        <w:t>Existing Revolver Tranche</w:t>
      </w:r>
      <w:r>
        <w:rPr>
          <w:rFonts w:ascii="Arial" w:cs="Arial" w:eastAsia="Arial" w:hAnsi="Arial"/>
          <w:sz w:val="19"/>
          <w:szCs w:val="19"/>
          <w:color w:val="auto"/>
        </w:rPr>
        <w:t>”) be amended to extend the Maturity Date with respect to all or a portion of any principal amount of such Revolving Credit Commitments or Incremental Revolving Credit Commitments (any such Revolving Credit Commitments or Incremental Revolving Credit Commitments which have been so amended, “</w:t>
      </w:r>
      <w:r>
        <w:rPr>
          <w:rFonts w:ascii="Arial" w:cs="Arial" w:eastAsia="Arial" w:hAnsi="Arial"/>
          <w:sz w:val="19"/>
          <w:szCs w:val="19"/>
          <w:b w:val="1"/>
          <w:bCs w:val="1"/>
          <w:color w:val="auto"/>
        </w:rPr>
        <w:t>Extended Revolving</w:t>
      </w:r>
      <w:r>
        <w:rPr>
          <w:rFonts w:ascii="Arial" w:cs="Arial" w:eastAsia="Arial" w:hAnsi="Arial"/>
          <w:sz w:val="19"/>
          <w:szCs w:val="19"/>
          <w:color w:val="auto"/>
        </w:rPr>
        <w:t xml:space="preserve"> </w:t>
      </w:r>
      <w:r>
        <w:rPr>
          <w:rFonts w:ascii="Arial" w:cs="Arial" w:eastAsia="Arial" w:hAnsi="Arial"/>
          <w:sz w:val="19"/>
          <w:szCs w:val="19"/>
          <w:b w:val="1"/>
          <w:bCs w:val="1"/>
          <w:color w:val="auto"/>
        </w:rPr>
        <w:t>Credit Commitments</w:t>
      </w:r>
      <w:r>
        <w:rPr>
          <w:rFonts w:ascii="Arial" w:cs="Arial" w:eastAsia="Arial" w:hAnsi="Arial"/>
          <w:sz w:val="19"/>
          <w:szCs w:val="19"/>
          <w:color w:val="auto"/>
        </w:rPr>
        <w:t>”) and to provide for other terms consistent with this Section 2.16. In order to establish any Extended Revolving</w:t>
      </w:r>
      <w:r>
        <w:rPr>
          <w:rFonts w:ascii="Arial" w:cs="Arial" w:eastAsia="Arial" w:hAnsi="Arial"/>
          <w:sz w:val="19"/>
          <w:szCs w:val="19"/>
          <w:b w:val="1"/>
          <w:bCs w:val="1"/>
          <w:color w:val="auto"/>
        </w:rPr>
        <w:t xml:space="preserve"> </w:t>
      </w:r>
      <w:r>
        <w:rPr>
          <w:rFonts w:ascii="Arial" w:cs="Arial" w:eastAsia="Arial" w:hAnsi="Arial"/>
          <w:sz w:val="19"/>
          <w:szCs w:val="19"/>
          <w:color w:val="auto"/>
        </w:rPr>
        <w:t>Credit Commitments, the Borrower shall provide a notice to the Administrative Agent (who shall provide a copy of such notice to each of the Lenders under the applicable Existing Revolver Tranche) (each, a “</w:t>
      </w:r>
      <w:r>
        <w:rPr>
          <w:rFonts w:ascii="Arial" w:cs="Arial" w:eastAsia="Arial" w:hAnsi="Arial"/>
          <w:sz w:val="19"/>
          <w:szCs w:val="19"/>
          <w:b w:val="1"/>
          <w:bCs w:val="1"/>
          <w:color w:val="auto"/>
        </w:rPr>
        <w:t>Revolver Extension Request</w:t>
      </w:r>
      <w:r>
        <w:rPr>
          <w:rFonts w:ascii="Arial" w:cs="Arial" w:eastAsia="Arial" w:hAnsi="Arial"/>
          <w:sz w:val="19"/>
          <w:szCs w:val="19"/>
          <w:color w:val="auto"/>
        </w:rPr>
        <w:t xml:space="preserve">”) setting forth the proposed terms of the Extended Revolving Credit Commitments to be established, which shall (x) be identical as offered to each Lender under such Existing Revolver Tranche (including as to the proposed interest rates and fees payable) and offered pro rata to each Lender under such Existing Revolver Tranche and (y) be identical to the Revolving Credit Commitments under the Existing Revolver Tranche from which such Extended Revolving Credit Commitments are to be amended, except that: (i) the Maturity Date of the Extended Revolving Credit Commitments may be delayed to a later date than the Maturity Date of the Revolving Credit Commitments of such Existing Revolver Tranche, to the extent provided in the applicable Extension Amendment; (ii) the Effective Yield with respect to extensions of credit under the Extended Revolving Credit Commitments (whether in the form of interest rate margin, upfront fees, commitment fees, OID or otherwise) may be different than the Effective Yield for extensions of credit under the Revolving Credit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Credit Commitments (i.e.,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Credit Commitments); </w:t>
      </w:r>
      <w:r>
        <w:rPr>
          <w:rFonts w:ascii="Arial" w:cs="Arial" w:eastAsia="Arial" w:hAnsi="Arial"/>
          <w:sz w:val="19"/>
          <w:szCs w:val="19"/>
          <w:i w:val="1"/>
          <w:iCs w:val="1"/>
          <w:color w:val="auto"/>
        </w:rPr>
        <w:t>provided, further</w:t>
      </w:r>
      <w:r>
        <w:rPr>
          <w:rFonts w:ascii="Arial" w:cs="Arial" w:eastAsia="Arial" w:hAnsi="Arial"/>
          <w:sz w:val="19"/>
          <w:szCs w:val="19"/>
          <w:color w:val="auto"/>
        </w:rPr>
        <w:t>,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138</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316" w:lineRule="exact"/>
        <w:rPr>
          <w:sz w:val="20"/>
          <w:szCs w:val="20"/>
          <w:color w:val="auto"/>
        </w:rPr>
      </w:pPr>
    </w:p>
    <w:p>
      <w:pPr>
        <w:ind w:firstLine="6"/>
        <w:spacing w:after="0" w:line="236" w:lineRule="auto"/>
        <w:rPr>
          <w:sz w:val="20"/>
          <w:szCs w:val="20"/>
          <w:color w:val="auto"/>
        </w:rPr>
      </w:pPr>
      <w:r>
        <w:rPr>
          <w:rFonts w:ascii="Arial" w:cs="Arial" w:eastAsia="Arial" w:hAnsi="Arial"/>
          <w:sz w:val="19"/>
          <w:szCs w:val="19"/>
          <w:color w:val="auto"/>
        </w:rPr>
        <w:t>in no event shall the final maturity date of any Extended Revolving Credit Commitments of a given Revolver Extension Series at the time of establishment thereof be earlier than the then Latest Maturity Date of any other Revolving Credit Commitments hereunder and</w:t>
      </w:r>
    </w:p>
    <w:p>
      <w:pPr>
        <w:spacing w:after="0" w:line="1" w:lineRule="exact"/>
        <w:rPr>
          <w:sz w:val="20"/>
          <w:szCs w:val="20"/>
          <w:color w:val="auto"/>
        </w:rPr>
      </w:pPr>
    </w:p>
    <w:p>
      <w:pPr>
        <w:jc w:val="both"/>
        <w:ind w:firstLine="3"/>
        <w:spacing w:after="0" w:line="221" w:lineRule="auto"/>
        <w:tabs>
          <w:tab w:leader="none" w:pos="33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all documentation in respect of such Extension Amendment shall be consistent with the foregoing. Any Extended Revolving Credit Commitments amended pursuant to any Revolver Extension Request shall be designated a series (each, a “</w:t>
      </w:r>
      <w:r>
        <w:rPr>
          <w:rFonts w:ascii="Arial" w:cs="Arial" w:eastAsia="Arial" w:hAnsi="Arial"/>
          <w:sz w:val="20"/>
          <w:szCs w:val="20"/>
          <w:b w:val="1"/>
          <w:bCs w:val="1"/>
          <w:color w:val="auto"/>
        </w:rPr>
        <w:t>Revolver Extension</w:t>
      </w:r>
      <w:r>
        <w:rPr>
          <w:rFonts w:ascii="Arial" w:cs="Arial" w:eastAsia="Arial" w:hAnsi="Arial"/>
          <w:sz w:val="20"/>
          <w:szCs w:val="20"/>
          <w:color w:val="auto"/>
        </w:rPr>
        <w:t xml:space="preserve"> </w:t>
      </w:r>
      <w:r>
        <w:rPr>
          <w:rFonts w:ascii="Arial" w:cs="Arial" w:eastAsia="Arial" w:hAnsi="Arial"/>
          <w:sz w:val="20"/>
          <w:szCs w:val="20"/>
          <w:b w:val="1"/>
          <w:bCs w:val="1"/>
          <w:color w:val="auto"/>
        </w:rPr>
        <w:t>Series</w:t>
      </w:r>
      <w:r>
        <w:rPr>
          <w:rFonts w:ascii="Arial" w:cs="Arial" w:eastAsia="Arial" w:hAnsi="Arial"/>
          <w:sz w:val="20"/>
          <w:szCs w:val="20"/>
          <w:color w:val="auto"/>
        </w:rPr>
        <w:t>”) of Extended Revolving Credit Commitments for all purposes of this Agreement;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that any Extended Revolving Credit</w:t>
      </w:r>
      <w:r>
        <w:rPr>
          <w:rFonts w:ascii="Arial" w:cs="Arial" w:eastAsia="Arial" w:hAnsi="Arial"/>
          <w:sz w:val="20"/>
          <w:szCs w:val="20"/>
          <w:b w:val="1"/>
          <w:bCs w:val="1"/>
          <w:color w:val="auto"/>
        </w:rPr>
        <w:t xml:space="preserve"> </w:t>
      </w:r>
      <w:r>
        <w:rPr>
          <w:rFonts w:ascii="Arial" w:cs="Arial" w:eastAsia="Arial" w:hAnsi="Arial"/>
          <w:sz w:val="20"/>
          <w:szCs w:val="20"/>
          <w:color w:val="auto"/>
        </w:rPr>
        <w:t>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Credit Commitments incurred under this Section 2.16 shall be in an aggregate principal amount that is not less than $2,500,000.</w:t>
      </w:r>
    </w:p>
    <w:p>
      <w:pPr>
        <w:spacing w:after="0" w:line="175" w:lineRule="exact"/>
        <w:rPr>
          <w:rFonts w:ascii="Arial" w:cs="Arial" w:eastAsia="Arial" w:hAnsi="Arial"/>
          <w:sz w:val="20"/>
          <w:szCs w:val="20"/>
          <w:color w:val="auto"/>
        </w:rPr>
      </w:pPr>
    </w:p>
    <w:p>
      <w:pPr>
        <w:jc w:val="both"/>
        <w:ind w:firstLine="622"/>
        <w:spacing w:after="0" w:line="229" w:lineRule="auto"/>
        <w:tabs>
          <w:tab w:leader="none" w:pos="1080" w:val="left"/>
        </w:tabs>
        <w:numPr>
          <w:ilvl w:val="1"/>
          <w:numId w:val="145"/>
        </w:numPr>
        <w:rPr>
          <w:rFonts w:ascii="Arial" w:cs="Arial" w:eastAsia="Arial" w:hAnsi="Arial"/>
          <w:sz w:val="19"/>
          <w:szCs w:val="19"/>
          <w:color w:val="auto"/>
        </w:rPr>
      </w:pPr>
      <w:r>
        <w:rPr>
          <w:rFonts w:ascii="Arial" w:cs="Arial" w:eastAsia="Arial" w:hAnsi="Arial"/>
          <w:sz w:val="19"/>
          <w:szCs w:val="19"/>
          <w:i w:val="1"/>
          <w:iCs w:val="1"/>
          <w:color w:val="auto"/>
        </w:rPr>
        <w:t>Extension Request</w:t>
      </w:r>
      <w:r>
        <w:rPr>
          <w:rFonts w:ascii="Arial" w:cs="Arial" w:eastAsia="Arial" w:hAnsi="Arial"/>
          <w:sz w:val="19"/>
          <w:szCs w:val="19"/>
          <w:color w:val="auto"/>
        </w:rPr>
        <w:t>. The Borrower shall provide the applicable Extension Request at least three (3) Business Days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Section 2.16. No Lender shall have any obligation to agree to have any of its Term Loans of any Existing Term Loan Tranche amended into Extended Term Loans or any of its Revolving Credit Commitments amended into Extended Revolving Credit Commitments, as applicable, pursuant to any Extension Request. Any Lender holding a Loan under an Existing Term Loan Tranche (each, an “</w:t>
      </w:r>
      <w:r>
        <w:rPr>
          <w:rFonts w:ascii="Arial" w:cs="Arial" w:eastAsia="Arial" w:hAnsi="Arial"/>
          <w:sz w:val="19"/>
          <w:szCs w:val="19"/>
          <w:b w:val="1"/>
          <w:bCs w:val="1"/>
          <w:color w:val="auto"/>
        </w:rPr>
        <w:t>Extending Term Lender</w:t>
      </w:r>
      <w:r>
        <w:rPr>
          <w:rFonts w:ascii="Arial" w:cs="Arial" w:eastAsia="Arial" w:hAnsi="Arial"/>
          <w:sz w:val="19"/>
          <w:szCs w:val="19"/>
          <w:color w:val="auto"/>
        </w:rPr>
        <w:t>”) wishing to have all or a portion of its Term Loans under the Existing Term Loan Tranche subject to such Extension Request amended into Extended Term Loans and any Revolving Credit Lender (each, an “</w:t>
      </w:r>
      <w:r>
        <w:rPr>
          <w:rFonts w:ascii="Arial" w:cs="Arial" w:eastAsia="Arial" w:hAnsi="Arial"/>
          <w:sz w:val="19"/>
          <w:szCs w:val="19"/>
          <w:b w:val="1"/>
          <w:bCs w:val="1"/>
          <w:color w:val="auto"/>
        </w:rPr>
        <w:t>Extending Revolving Credit Lender</w:t>
      </w:r>
      <w:r>
        <w:rPr>
          <w:rFonts w:ascii="Arial" w:cs="Arial" w:eastAsia="Arial" w:hAnsi="Arial"/>
          <w:sz w:val="19"/>
          <w:szCs w:val="19"/>
          <w:color w:val="auto"/>
        </w:rPr>
        <w:t>”) wishing to have all or a portion of its Revolving Credit Commitments under the Existing Revolver Tranche subject to such Extension Request amended into Extended Revolving Credit Commitments, as applicable, shall notify the Administrative Agent (each, an “</w:t>
      </w:r>
      <w:r>
        <w:rPr>
          <w:rFonts w:ascii="Arial" w:cs="Arial" w:eastAsia="Arial" w:hAnsi="Arial"/>
          <w:sz w:val="19"/>
          <w:szCs w:val="19"/>
          <w:b w:val="1"/>
          <w:bCs w:val="1"/>
          <w:color w:val="auto"/>
        </w:rPr>
        <w:t>Extension Election</w:t>
      </w:r>
      <w:r>
        <w:rPr>
          <w:rFonts w:ascii="Arial" w:cs="Arial" w:eastAsia="Arial" w:hAnsi="Arial"/>
          <w:sz w:val="19"/>
          <w:szCs w:val="19"/>
          <w:color w:val="auto"/>
        </w:rPr>
        <w:t>”) on or prior to the date specified in such Extension Request of the amount of its Term Loans under the Existing Term Loan Tranche or Revolving Credit Commitments under the Existing Revolver Tranche, as applicable, which it has elected to request be amended into Extended Term Loans or Extended Revolving Credit Commitments, as applicable (subject to any minimum denomination requirements imposed by the Administrative Agent). In the event that the aggregate principal amount of Term Loans under the Existing Term Loan Tranche or Revolving Credit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Credit Commitments, as applicable, subject to Extension Elections shall be amended to Extended Term Loans or Revolving Credit Commitments, as applicable, on a pro rata basis (subject to rounding by the Administrative Agent, which shall be conclusive) based on the aggregate principal amount of Term Loans or Revolving Credit Commitments, as applicable, included in each such Extension Election.</w:t>
      </w:r>
    </w:p>
    <w:p>
      <w:pPr>
        <w:spacing w:after="0" w:line="157" w:lineRule="exact"/>
        <w:rPr>
          <w:rFonts w:ascii="Arial" w:cs="Arial" w:eastAsia="Arial" w:hAnsi="Arial"/>
          <w:sz w:val="19"/>
          <w:szCs w:val="19"/>
          <w:color w:val="auto"/>
        </w:rPr>
      </w:pPr>
    </w:p>
    <w:p>
      <w:pPr>
        <w:ind w:firstLine="622"/>
        <w:spacing w:after="0" w:line="233" w:lineRule="auto"/>
        <w:tabs>
          <w:tab w:leader="none" w:pos="1091" w:val="left"/>
        </w:tabs>
        <w:numPr>
          <w:ilvl w:val="1"/>
          <w:numId w:val="145"/>
        </w:numPr>
        <w:rPr>
          <w:rFonts w:ascii="Arial" w:cs="Arial" w:eastAsia="Arial" w:hAnsi="Arial"/>
          <w:sz w:val="21"/>
          <w:szCs w:val="21"/>
          <w:color w:val="auto"/>
        </w:rPr>
      </w:pPr>
      <w:r>
        <w:rPr>
          <w:rFonts w:ascii="Arial" w:cs="Arial" w:eastAsia="Arial" w:hAnsi="Arial"/>
          <w:sz w:val="21"/>
          <w:szCs w:val="21"/>
          <w:i w:val="1"/>
          <w:iCs w:val="1"/>
          <w:color w:val="auto"/>
        </w:rPr>
        <w:t>Extension Amendment</w:t>
      </w:r>
      <w:r>
        <w:rPr>
          <w:rFonts w:ascii="Arial" w:cs="Arial" w:eastAsia="Arial" w:hAnsi="Arial"/>
          <w:sz w:val="21"/>
          <w:szCs w:val="21"/>
          <w:color w:val="auto"/>
        </w:rPr>
        <w:t>. Extended Term Loans and Extended Revolving Credit Commitments shall be established pursuant</w:t>
      </w:r>
      <w:r>
        <w:rPr>
          <w:rFonts w:ascii="Arial" w:cs="Arial" w:eastAsia="Arial" w:hAnsi="Arial"/>
          <w:sz w:val="21"/>
          <w:szCs w:val="21"/>
          <w:i w:val="1"/>
          <w:iCs w:val="1"/>
          <w:color w:val="auto"/>
        </w:rPr>
        <w:t xml:space="preserve"> </w:t>
      </w:r>
      <w:r>
        <w:rPr>
          <w:rFonts w:ascii="Arial" w:cs="Arial" w:eastAsia="Arial" w:hAnsi="Arial"/>
          <w:sz w:val="21"/>
          <w:szCs w:val="21"/>
          <w:color w:val="auto"/>
        </w:rPr>
        <w:t>to an amendment (each, an “</w:t>
      </w:r>
      <w:r>
        <w:rPr>
          <w:rFonts w:ascii="Arial" w:cs="Arial" w:eastAsia="Arial" w:hAnsi="Arial"/>
          <w:sz w:val="21"/>
          <w:szCs w:val="21"/>
          <w:b w:val="1"/>
          <w:bCs w:val="1"/>
          <w:color w:val="auto"/>
        </w:rPr>
        <w:t>Extension Amendment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139</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316" w:lineRule="exact"/>
        <w:rPr>
          <w:sz w:val="20"/>
          <w:szCs w:val="20"/>
          <w:color w:val="auto"/>
        </w:rPr>
      </w:pPr>
    </w:p>
    <w:p>
      <w:pPr>
        <w:jc w:val="both"/>
        <w:ind w:firstLine="6"/>
        <w:spacing w:after="0" w:line="228" w:lineRule="auto"/>
        <w:rPr>
          <w:sz w:val="20"/>
          <w:szCs w:val="20"/>
          <w:color w:val="auto"/>
        </w:rPr>
      </w:pPr>
      <w:r>
        <w:rPr>
          <w:rFonts w:ascii="Arial" w:cs="Arial" w:eastAsia="Arial" w:hAnsi="Arial"/>
          <w:sz w:val="19"/>
          <w:szCs w:val="19"/>
          <w:color w:val="auto"/>
        </w:rPr>
        <w:t>to this Agreement among the Borrower, the Administrative Agent and each Extending Term Lender or Extending Revolving Credit Lender, as applicable, providing an Extended Term Loan or Extended Revolving Credit Commitment, as applicable, thereunder, which shall be consistent with the provisions set forth in Sections 2.16(a) or (b) above, respectively (but which shall not require the consent of any other Lender). The effectiveness of any Extension Amendment shall be subject to the satisfaction on the date thereof of each of the conditions set forth in Section 4.02(i) and, to the extent reasonably requested by the Administrative Agent, receipt by the Administrative Agent of (i) legal opinions, board resolutions and officers’ certificates consistent with those delivered on the Restatement Date other than changes to such legal opinion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Extended Term Loans or Extended Revolving Credit Commitments, as applicable, are provided with the benefit of the applicable Loan Documents. The Borrower may, at its election, specify as a condition to consummating any Extension Amendment that a minimum amount (to be determined and specified in the relevant Extension Request in the Borrower’s sole discretion and as may be waived by the Borrower) of Term Loans, Revolving Credit Commitments or Incremental Revolving Credit Commitments (as applicable) of any or all applicable Classes be tendered.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Section 2.07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Section 2.07), (iii) modify the prepayments set forth in Section 2.05 to reflect the existence of the Extended Term Loans and the application of prepayments with respect thereto, (iv) make such other changes to this Agreement and the other Loan Documents consistent with the provisions and intent of the fourth paragraph of Section 10.01 (without the consent of the Required Lenders called for therein) and (v) effect such other amendments to this Agreement and the other Loan Documents as may be necessary or appropriate, in the reasonable opinion of the Administrative Agent and the Borrower, to effect the provisions of this Section 2.16, and the Required Lenders hereby expressly authorize the Administrative Agent to enter into any such Extension Amendment.</w:t>
      </w:r>
    </w:p>
    <w:p>
      <w:pPr>
        <w:spacing w:after="0" w:line="197" w:lineRule="exact"/>
        <w:rPr>
          <w:sz w:val="20"/>
          <w:szCs w:val="20"/>
          <w:color w:val="auto"/>
        </w:rPr>
      </w:pPr>
    </w:p>
    <w:p>
      <w:pPr>
        <w:ind w:firstLine="622"/>
        <w:spacing w:after="0" w:line="233" w:lineRule="auto"/>
        <w:tabs>
          <w:tab w:leader="none" w:pos="113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No conversion of Loans pursuant to any Extension in accordance with this Section 2.16 shall constitute a voluntary or mandatory payment or prepayment for purposes of this Agreement.</w:t>
      </w:r>
    </w:p>
    <w:p>
      <w:pPr>
        <w:spacing w:after="0" w:line="149" w:lineRule="exact"/>
        <w:rPr>
          <w:rFonts w:ascii="Arial" w:cs="Arial" w:eastAsia="Arial" w:hAnsi="Arial"/>
          <w:sz w:val="21"/>
          <w:szCs w:val="21"/>
          <w:color w:val="auto"/>
        </w:rPr>
      </w:pPr>
    </w:p>
    <w:p>
      <w:pPr>
        <w:ind w:left="1040" w:hanging="418"/>
        <w:spacing w:after="0"/>
        <w:tabs>
          <w:tab w:leader="none" w:pos="104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This Section 2.16 shall supersede any provisions in Section 2.13 or 10.01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140</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2.17. </w:t>
      </w:r>
      <w:r>
        <w:rPr>
          <w:rFonts w:ascii="Arial" w:cs="Arial" w:eastAsia="Arial" w:hAnsi="Arial"/>
          <w:sz w:val="21"/>
          <w:szCs w:val="21"/>
          <w:i w:val="1"/>
          <w:iCs w:val="1"/>
          <w:color w:val="auto"/>
        </w:rPr>
        <w:t>Defaulting Lenders</w:t>
      </w:r>
      <w:r>
        <w:rPr>
          <w:rFonts w:ascii="Arial" w:cs="Arial" w:eastAsia="Arial" w:hAnsi="Arial"/>
          <w:sz w:val="21"/>
          <w:szCs w:val="21"/>
          <w:color w:val="auto"/>
        </w:rPr>
        <w:t xml:space="preserve">. (a) </w:t>
      </w:r>
      <w:r>
        <w:rPr>
          <w:rFonts w:ascii="Arial" w:cs="Arial" w:eastAsia="Arial" w:hAnsi="Arial"/>
          <w:sz w:val="21"/>
          <w:szCs w:val="21"/>
          <w:i w:val="1"/>
          <w:iCs w:val="1"/>
          <w:color w:val="auto"/>
        </w:rPr>
        <w:t>Adjustments</w:t>
      </w:r>
      <w:r>
        <w:rPr>
          <w:rFonts w:ascii="Arial" w:cs="Arial" w:eastAsia="Arial" w:hAnsi="Arial"/>
          <w:sz w:val="21"/>
          <w:szCs w:val="21"/>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49" w:lineRule="exact"/>
        <w:rPr>
          <w:sz w:val="20"/>
          <w:szCs w:val="20"/>
          <w:color w:val="auto"/>
        </w:rPr>
      </w:pPr>
    </w:p>
    <w:p>
      <w:pPr>
        <w:ind w:left="620" w:firstLine="621"/>
        <w:spacing w:after="0" w:line="233" w:lineRule="auto"/>
        <w:tabs>
          <w:tab w:leader="none" w:pos="1743" w:val="left"/>
        </w:tabs>
        <w:numPr>
          <w:ilvl w:val="0"/>
          <w:numId w:val="147"/>
        </w:numPr>
        <w:rPr>
          <w:rFonts w:ascii="Arial" w:cs="Arial" w:eastAsia="Arial" w:hAnsi="Arial"/>
          <w:sz w:val="21"/>
          <w:szCs w:val="21"/>
          <w:color w:val="auto"/>
        </w:rPr>
      </w:pPr>
      <w:r>
        <w:rPr>
          <w:rFonts w:ascii="Arial" w:cs="Arial" w:eastAsia="Arial" w:hAnsi="Arial"/>
          <w:sz w:val="21"/>
          <w:szCs w:val="21"/>
          <w:i w:val="1"/>
          <w:iCs w:val="1"/>
          <w:color w:val="auto"/>
        </w:rPr>
        <w:t>Waivers and Amendments</w:t>
      </w:r>
      <w:r>
        <w:rPr>
          <w:rFonts w:ascii="Arial" w:cs="Arial" w:eastAsia="Arial" w:hAnsi="Arial"/>
          <w:sz w:val="21"/>
          <w:szCs w:val="21"/>
          <w:color w:val="auto"/>
        </w:rPr>
        <w:t>. That Defaulting Lender’s right to approve or disapprove any amendment, waiver or</w:t>
      </w:r>
      <w:r>
        <w:rPr>
          <w:rFonts w:ascii="Arial" w:cs="Arial" w:eastAsia="Arial" w:hAnsi="Arial"/>
          <w:sz w:val="21"/>
          <w:szCs w:val="21"/>
          <w:i w:val="1"/>
          <w:iCs w:val="1"/>
          <w:color w:val="auto"/>
        </w:rPr>
        <w:t xml:space="preserve"> </w:t>
      </w:r>
      <w:r>
        <w:rPr>
          <w:rFonts w:ascii="Arial" w:cs="Arial" w:eastAsia="Arial" w:hAnsi="Arial"/>
          <w:sz w:val="21"/>
          <w:szCs w:val="21"/>
          <w:color w:val="auto"/>
        </w:rPr>
        <w:t>consent with respect to this Agreement shall be restricted as set forth in Section 10.01.</w:t>
      </w:r>
    </w:p>
    <w:p>
      <w:pPr>
        <w:spacing w:after="0" w:line="149" w:lineRule="exact"/>
        <w:rPr>
          <w:rFonts w:ascii="Arial" w:cs="Arial" w:eastAsia="Arial" w:hAnsi="Arial"/>
          <w:sz w:val="21"/>
          <w:szCs w:val="21"/>
          <w:color w:val="auto"/>
        </w:rPr>
      </w:pPr>
    </w:p>
    <w:p>
      <w:pPr>
        <w:jc w:val="both"/>
        <w:ind w:left="620" w:firstLine="621"/>
        <w:spacing w:after="0" w:line="229" w:lineRule="auto"/>
        <w:tabs>
          <w:tab w:leader="none" w:pos="1697" w:val="left"/>
        </w:tabs>
        <w:numPr>
          <w:ilvl w:val="0"/>
          <w:numId w:val="147"/>
        </w:numPr>
        <w:rPr>
          <w:rFonts w:ascii="Arial" w:cs="Arial" w:eastAsia="Arial" w:hAnsi="Arial"/>
          <w:sz w:val="19"/>
          <w:szCs w:val="19"/>
          <w:color w:val="auto"/>
        </w:rPr>
      </w:pPr>
      <w:r>
        <w:rPr>
          <w:rFonts w:ascii="Arial" w:cs="Arial" w:eastAsia="Arial" w:hAnsi="Arial"/>
          <w:sz w:val="19"/>
          <w:szCs w:val="19"/>
          <w:i w:val="1"/>
          <w:iCs w:val="1"/>
          <w:color w:val="auto"/>
        </w:rPr>
        <w:t>Reallocation of Payments</w:t>
      </w:r>
      <w:r>
        <w:rPr>
          <w:rFonts w:ascii="Arial" w:cs="Arial" w:eastAsia="Arial" w:hAnsi="Arial"/>
          <w:sz w:val="19"/>
          <w:szCs w:val="19"/>
          <w:color w:val="auto"/>
        </w:rPr>
        <w:t>. Any payment of principal, interest, fees or other amounts received by the Administrative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Agent for the account of that Defaulting Lender (whether voluntary or mandatory, at maturity, pursuant to Article 8 or otherwise), shall be applied at such time or times as may be determined by the Administrative Agent as follows: first, to the payment of any amounts owing by that Defaulting Lender to the Administrative Agent hereunder; second, to the payment on a pro rata basis of any amounts owing by that Defaulting Lender to L/C Issuers or Swing Line Lender hereunder; third, if so determined by the Administrative Agent or requested by any L/C Issuer or Swing Line Lender, to be held as Cash Collateral for future funding obligations of that Defaulting Lender of any participation in any Swing Line Loan or Letter of Credit; fourth, as the Borrower may request (so long as no Default or Event of Default has occurred and is continuing), to the funding of any Loan in respect of which that Defaulting Lender has failed to fund its portion thereof as required by this Agreement, as determined by the Administrative Agent; fifth, if so determined by the Administrative Agent and the Borrower, to be held in a non-interest bearing deposit account and released in order to satisfy obligations of that Defaulting Lender to fund Loans under this Agreement; sixth,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seventh, so long as no Default or Event of Default has occurred and is continuing, to the payment of any amounts owing to the Borrower as a result of any judgment of a court of competent jurisdiction obtained by the Borrower against that Defaulting Lender as a result of that Defaulting Lender’s breach of its obligations under this Agreement; and eighth, to that Defaulting Lender or as otherwise directed by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Section 4.02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Section 2.17(a)(ii) shall be deemed paid to and redirected by that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141</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0" w:lineRule="exact"/>
        <w:rPr>
          <w:sz w:val="20"/>
          <w:szCs w:val="20"/>
          <w:color w:val="auto"/>
        </w:rPr>
      </w:pPr>
    </w:p>
    <w:p>
      <w:pPr>
        <w:spacing w:after="0" w:line="322" w:lineRule="exact"/>
        <w:rPr>
          <w:sz w:val="20"/>
          <w:szCs w:val="20"/>
          <w:color w:val="auto"/>
        </w:rPr>
      </w:pPr>
    </w:p>
    <w:p>
      <w:pPr>
        <w:jc w:val="both"/>
        <w:ind w:left="620" w:firstLine="621"/>
        <w:spacing w:after="0" w:line="219" w:lineRule="auto"/>
        <w:tabs>
          <w:tab w:leader="none" w:pos="1780" w:val="left"/>
        </w:tabs>
        <w:numPr>
          <w:ilvl w:val="1"/>
          <w:numId w:val="148"/>
        </w:numPr>
        <w:rPr>
          <w:rFonts w:ascii="Arial" w:cs="Arial" w:eastAsia="Arial" w:hAnsi="Arial"/>
          <w:sz w:val="21"/>
          <w:szCs w:val="21"/>
          <w:color w:val="auto"/>
        </w:rPr>
      </w:pPr>
      <w:r>
        <w:rPr>
          <w:rFonts w:ascii="Arial" w:cs="Arial" w:eastAsia="Arial" w:hAnsi="Arial"/>
          <w:sz w:val="21"/>
          <w:szCs w:val="21"/>
          <w:i w:val="1"/>
          <w:iCs w:val="1"/>
          <w:color w:val="auto"/>
        </w:rPr>
        <w:t>Certain Fees</w:t>
      </w:r>
      <w:r>
        <w:rPr>
          <w:rFonts w:ascii="Arial" w:cs="Arial" w:eastAsia="Arial" w:hAnsi="Arial"/>
          <w:sz w:val="21"/>
          <w:szCs w:val="21"/>
          <w:color w:val="auto"/>
        </w:rPr>
        <w:t>. That Defaulting Lender (x) shall not be entitled to receive any commitment fee pursuant to Section</w:t>
      </w:r>
      <w:r>
        <w:rPr>
          <w:rFonts w:ascii="Arial" w:cs="Arial" w:eastAsia="Arial" w:hAnsi="Arial"/>
          <w:sz w:val="21"/>
          <w:szCs w:val="21"/>
          <w:i w:val="1"/>
          <w:iCs w:val="1"/>
          <w:color w:val="auto"/>
        </w:rPr>
        <w:t xml:space="preserve"> </w:t>
      </w:r>
      <w:r>
        <w:rPr>
          <w:rFonts w:ascii="Arial" w:cs="Arial" w:eastAsia="Arial" w:hAnsi="Arial"/>
          <w:sz w:val="21"/>
          <w:szCs w:val="21"/>
          <w:color w:val="auto"/>
        </w:rPr>
        <w:t>2.09(a)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2.03(h).</w:t>
      </w:r>
    </w:p>
    <w:p>
      <w:pPr>
        <w:spacing w:after="0" w:line="149" w:lineRule="exact"/>
        <w:rPr>
          <w:rFonts w:ascii="Arial" w:cs="Arial" w:eastAsia="Arial" w:hAnsi="Arial"/>
          <w:sz w:val="21"/>
          <w:szCs w:val="21"/>
          <w:color w:val="auto"/>
        </w:rPr>
      </w:pPr>
    </w:p>
    <w:p>
      <w:pPr>
        <w:jc w:val="both"/>
        <w:ind w:left="620" w:firstLine="621"/>
        <w:spacing w:after="0" w:line="230" w:lineRule="auto"/>
        <w:tabs>
          <w:tab w:leader="none" w:pos="1794" w:val="left"/>
        </w:tabs>
        <w:numPr>
          <w:ilvl w:val="1"/>
          <w:numId w:val="148"/>
        </w:numPr>
        <w:rPr>
          <w:rFonts w:ascii="Arial" w:cs="Arial" w:eastAsia="Arial" w:hAnsi="Arial"/>
          <w:sz w:val="19"/>
          <w:szCs w:val="19"/>
          <w:color w:val="auto"/>
        </w:rPr>
      </w:pPr>
      <w:r>
        <w:rPr>
          <w:rFonts w:ascii="Arial" w:cs="Arial" w:eastAsia="Arial" w:hAnsi="Arial"/>
          <w:sz w:val="19"/>
          <w:szCs w:val="19"/>
          <w:i w:val="1"/>
          <w:iCs w:val="1"/>
          <w:color w:val="auto"/>
        </w:rPr>
        <w:t>Reallocation of Pro Rata Share to Reduce Fronting Exposure</w:t>
      </w:r>
      <w:r>
        <w:rPr>
          <w:rFonts w:ascii="Arial" w:cs="Arial" w:eastAsia="Arial" w:hAnsi="Arial"/>
          <w:sz w:val="19"/>
          <w:szCs w:val="19"/>
          <w:color w:val="auto"/>
        </w:rPr>
        <w:t>. During any period in which there is a Defaulting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Lender, for purposes of computing the amount of the obligation of each Non-Defaulting Lender to acquire, refinance or fund participations in Letters of Credit or Swing Line Loans pursuant to Sections 2.03 and 2.04, the Pro Rata Share of each Non-Defaulting Lender’s Revolving Credit Loans and L/C Obligations shall be computed without giving effect to the Commitment of that Defaulting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each such reallocation shall be given effect only if, at the date the applicable Lender becomes a Defaulting Lender, no Default or Event of Default has occurred and is continuing; and (ii) the aggregate obligation of each Non-Defaulting Lender to acquire, refinance or fund participations in Letters of Credit and Swing Line Loans shall not exceed the positive difference, if any, of (1) the Revolving Credit Commitment of that Non-Defaulting Lender minus (2) the aggregate Outstanding Amount of the Loans of that Lender.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allocation described in this clause (iv) cannot, or can only partially, be effected, the Borrower shall, without prejudice to any right or remedy available to it hereunder or under law, (x) first, prepay Swing Line Loans in an amount equal to the Swing Line Lenders’ Fronting Exposure and (y) second, Cash Collateralize the L/C Issuers’ Fronting Exposure in accordance with the procedures satisfactory to such L/C Issuer (in its sole discretion).</w:t>
      </w:r>
    </w:p>
    <w:p>
      <w:pPr>
        <w:spacing w:after="0" w:line="159" w:lineRule="exact"/>
        <w:rPr>
          <w:rFonts w:ascii="Arial" w:cs="Arial" w:eastAsia="Arial" w:hAnsi="Arial"/>
          <w:sz w:val="19"/>
          <w:szCs w:val="19"/>
          <w:color w:val="auto"/>
        </w:rPr>
      </w:pPr>
    </w:p>
    <w:p>
      <w:pPr>
        <w:jc w:val="both"/>
        <w:ind w:firstLine="622"/>
        <w:spacing w:after="0" w:line="245" w:lineRule="auto"/>
        <w:tabs>
          <w:tab w:leader="none" w:pos="1169"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Defaulting Lender Cure</w:t>
      </w:r>
      <w:r>
        <w:rPr>
          <w:rFonts w:ascii="Arial" w:cs="Arial" w:eastAsia="Arial" w:hAnsi="Arial"/>
          <w:sz w:val="18"/>
          <w:szCs w:val="18"/>
          <w:color w:val="auto"/>
        </w:rPr>
        <w:t>. If the Borrower, the Administrative Agent, Swing Line Lender and the L/C Issuers agree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Credit Loans and funded and unfunded participations in Letters of Credit and Swing Line Loans to be held on a pro rata basis by the Lenders in accordance with their Pro Rata Share (without giving effect to Section 2.17(a)(iv)), whereupon that Lender will cease to be a Defaulting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142</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3</w:t>
      </w:r>
    </w:p>
    <w:p>
      <w:pPr>
        <w:jc w:val="center"/>
        <w:spacing w:after="0"/>
        <w:rPr>
          <w:sz w:val="20"/>
          <w:szCs w:val="20"/>
          <w:color w:val="auto"/>
        </w:rPr>
      </w:pPr>
      <w:r>
        <w:rPr>
          <w:rFonts w:ascii="Arial" w:cs="Arial" w:eastAsia="Arial" w:hAnsi="Arial"/>
          <w:sz w:val="21"/>
          <w:szCs w:val="21"/>
          <w:color w:val="auto"/>
        </w:rPr>
        <w:t>TAXES, INCREASED COSTS PROTECTION AND ILLEGALITY</w:t>
      </w:r>
    </w:p>
    <w:p>
      <w:pPr>
        <w:spacing w:after="0" w:line="153" w:lineRule="exact"/>
        <w:rPr>
          <w:sz w:val="20"/>
          <w:szCs w:val="20"/>
          <w:color w:val="auto"/>
        </w:rPr>
      </w:pPr>
    </w:p>
    <w:p>
      <w:pPr>
        <w:jc w:val="both"/>
        <w:ind w:firstLine="619"/>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Taxes</w:t>
      </w:r>
      <w:r>
        <w:rPr>
          <w:rFonts w:ascii="Arial" w:cs="Arial" w:eastAsia="Arial" w:hAnsi="Arial"/>
          <w:sz w:val="18"/>
          <w:szCs w:val="18"/>
          <w:color w:val="auto"/>
        </w:rPr>
        <w:t>. (a) Except as provided in this Section 3.01, all payments made by or on account of the Borrower (the term Borrower under this Article 3 being deemed to include any Subsidiary for whose account a Letter of Credit is issued) or any Guarantor under any Loan Document shall be made free and clear of and without deduction for all present or future taxes, duties, levies, imposts, assessments or withholdings (including backup withholding) or similar charges imposed by any Governmental Authority including interest, penalties and additions to tax (collectively “</w:t>
      </w:r>
      <w:r>
        <w:rPr>
          <w:rFonts w:ascii="Arial" w:cs="Arial" w:eastAsia="Arial" w:hAnsi="Arial"/>
          <w:sz w:val="18"/>
          <w:szCs w:val="18"/>
          <w:b w:val="1"/>
          <w:bCs w:val="1"/>
          <w:color w:val="auto"/>
        </w:rPr>
        <w:t>Taxes</w:t>
      </w:r>
      <w:r>
        <w:rPr>
          <w:rFonts w:ascii="Arial" w:cs="Arial" w:eastAsia="Arial" w:hAnsi="Arial"/>
          <w:sz w:val="18"/>
          <w:szCs w:val="18"/>
          <w:color w:val="auto"/>
        </w:rPr>
        <w:t>”), except as required by applicable Law. If the Borrower, any Guarantor or other applicable withholding agent shall be required by any Laws to deduct any Taxes from or in respect of any sum payable under any Loan Document to any Agent or any Lender, (A) to the extent the Tax in question is an Indemnified Tax, the sum payable by the Borrower or such Guarantor shall be increased as necessary so that after making all required deductions (including deductions applicable to additional sums payable under this Section 3.01), each of such Agent and such Lender receives an amount equal to the sum it would have received had no such deductions been made, (B) the applicable withholding agent shall make such deductions, (C) the applicable withholding agent shall pay the full amount deducted to the relevant Governmental Authority in accordance with applicable Laws, and (D) within thirty (30) days after the date of such payment (or, if receipts or evidence are not available within thirty</w:t>
      </w:r>
    </w:p>
    <w:p>
      <w:pPr>
        <w:spacing w:after="0" w:line="9" w:lineRule="exact"/>
        <w:rPr>
          <w:sz w:val="20"/>
          <w:szCs w:val="20"/>
          <w:color w:val="auto"/>
        </w:rPr>
      </w:pPr>
    </w:p>
    <w:p>
      <w:pPr>
        <w:jc w:val="both"/>
        <w:ind w:firstLine="3"/>
        <w:spacing w:after="0" w:line="218" w:lineRule="auto"/>
        <w:tabs>
          <w:tab w:leader="none" w:pos="407" w:val="left"/>
        </w:tabs>
        <w:numPr>
          <w:ilvl w:val="0"/>
          <w:numId w:val="150"/>
        </w:numPr>
        <w:rPr>
          <w:rFonts w:ascii="Arial" w:cs="Arial" w:eastAsia="Arial" w:hAnsi="Arial"/>
          <w:sz w:val="21"/>
          <w:szCs w:val="21"/>
          <w:color w:val="auto"/>
        </w:rPr>
      </w:pPr>
      <w:r>
        <w:rPr>
          <w:rFonts w:ascii="Arial" w:cs="Arial" w:eastAsia="Arial" w:hAnsi="Arial"/>
          <w:sz w:val="21"/>
          <w:szCs w:val="21"/>
          <w:color w:val="auto"/>
        </w:rPr>
        <w:t>days, as soon as possible thereafter), if the Borrower or any Guarantor is the applicable withholding agent, the Borrower or such Guarantor, as applicable, shall furnish to such Agent or Lender (as the case may be) the original or a copy of a receipt evidencing payment thereof or other evidence reasonably acceptable to such Agent or Lender.</w:t>
      </w:r>
    </w:p>
    <w:p>
      <w:pPr>
        <w:spacing w:after="0" w:line="149" w:lineRule="exact"/>
        <w:rPr>
          <w:rFonts w:ascii="Arial" w:cs="Arial" w:eastAsia="Arial" w:hAnsi="Arial"/>
          <w:sz w:val="21"/>
          <w:szCs w:val="21"/>
          <w:color w:val="auto"/>
        </w:rPr>
      </w:pPr>
    </w:p>
    <w:p>
      <w:pPr>
        <w:jc w:val="both"/>
        <w:ind w:firstLine="622"/>
        <w:spacing w:after="0" w:line="232" w:lineRule="auto"/>
        <w:tabs>
          <w:tab w:leader="none" w:pos="1111"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 addition, each Loan Party agrees to pay all present or future stamp, court or documentary Taxes and any other excise, property, intangible or mortgage recording Taxes, or any Taxes of the same character, imposed by any Governmental Authority, that arise from any payment made under any Loan Document or from the execution, delivery, performance, enforcement or registration of, or otherwise with respect to, any Loan Document excluding, in each case, such amounts that result from an Agent or Lender’s Assignment and Assumption, grant of a participation, transfer or assignment to or designation of a new applicable Lending Office or other office for receiving payments under any Loan Document (collectively, “</w:t>
      </w:r>
      <w:r>
        <w:rPr>
          <w:rFonts w:ascii="Arial" w:cs="Arial" w:eastAsia="Arial" w:hAnsi="Arial"/>
          <w:sz w:val="19"/>
          <w:szCs w:val="19"/>
          <w:b w:val="1"/>
          <w:bCs w:val="1"/>
          <w:color w:val="auto"/>
        </w:rPr>
        <w:t>Assignment Taxes</w:t>
      </w:r>
      <w:r>
        <w:rPr>
          <w:rFonts w:ascii="Arial" w:cs="Arial" w:eastAsia="Arial" w:hAnsi="Arial"/>
          <w:sz w:val="19"/>
          <w:szCs w:val="19"/>
          <w:color w:val="auto"/>
        </w:rPr>
        <w:t>”) to the extent such Assignment Taxes result from a connection that the assignor and/or the assignee has with the taxing jurisdiction other than a connection arising out of the Loan Documents or the transactions therein, except for such Assignment Taxes resulting from an assignment or participation or change in Lending Office that is requested or required in writing by the Borrower (all such non-excluded Taxes described in this Section 3.01(b) being hereinafter referred to as “</w:t>
      </w:r>
      <w:r>
        <w:rPr>
          <w:rFonts w:ascii="Arial" w:cs="Arial" w:eastAsia="Arial" w:hAnsi="Arial"/>
          <w:sz w:val="19"/>
          <w:szCs w:val="19"/>
          <w:b w:val="1"/>
          <w:bCs w:val="1"/>
          <w:color w:val="auto"/>
        </w:rPr>
        <w:t>Other Taxes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622"/>
        <w:spacing w:after="0" w:line="230" w:lineRule="auto"/>
        <w:tabs>
          <w:tab w:leader="none" w:pos="1084" w:val="left"/>
        </w:tabs>
        <w:numPr>
          <w:ilvl w:val="1"/>
          <w:numId w:val="150"/>
        </w:numPr>
        <w:rPr>
          <w:rFonts w:ascii="Arial" w:cs="Arial" w:eastAsia="Arial" w:hAnsi="Arial"/>
          <w:sz w:val="20"/>
          <w:szCs w:val="20"/>
          <w:color w:val="auto"/>
        </w:rPr>
      </w:pPr>
      <w:r>
        <w:rPr>
          <w:rFonts w:ascii="Arial" w:cs="Arial" w:eastAsia="Arial" w:hAnsi="Arial"/>
          <w:sz w:val="20"/>
          <w:szCs w:val="20"/>
          <w:color w:val="auto"/>
        </w:rPr>
        <w:t>Each Loan Party agrees to indemnify each Agent and each Lender for (i) the full amount of Indemnified Taxes and Other Taxes payable by such Agent or such Lender and (ii) any reasonable expenses arising therefrom or with respect thereto, in each case whether or not such Taxes were correctly or legally imposed or asserted by the relevant Governmental Authority. A certificate as to the amount of such payment or liability prepared in good faith by such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Lender (or by an Agent on behalf of such Lender), accompanied by a written statement thereof setting forth in reasonable detail the basis and calculation of such amounts shall be conclusive absent manifest error.</w:t>
      </w:r>
    </w:p>
    <w:p>
      <w:pPr>
        <w:spacing w:after="0" w:line="176" w:lineRule="exact"/>
        <w:rPr>
          <w:sz w:val="20"/>
          <w:szCs w:val="20"/>
          <w:color w:val="auto"/>
        </w:rPr>
      </w:pPr>
    </w:p>
    <w:p>
      <w:pPr>
        <w:jc w:val="both"/>
        <w:ind w:firstLine="622"/>
        <w:spacing w:after="0" w:line="231" w:lineRule="auto"/>
        <w:tabs>
          <w:tab w:leader="none" w:pos="113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withholding Tax with respect to any payments to be made to such Lender under any Loan Document. Each such Lender shall, whenever a lapse in time or change in circumstances renders any such documentation expired, obsolete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the Administrative Agent or other applicable withholding agent may withhold amounts required to be withheld by applicable Law from such payments at the applicable statutory rate. Notwithstanding any other provision of this clause (d), a Lender shall not be required to deliver any documentation pursuant to this clause (d) that such Lender is not legally eligible to deliver. Without limiting the foregoing:</w:t>
      </w:r>
    </w:p>
    <w:p>
      <w:pPr>
        <w:spacing w:after="0" w:line="153" w:lineRule="exact"/>
        <w:rPr>
          <w:rFonts w:ascii="Arial" w:cs="Arial" w:eastAsia="Arial" w:hAnsi="Arial"/>
          <w:sz w:val="19"/>
          <w:szCs w:val="19"/>
          <w:color w:val="auto"/>
        </w:rPr>
      </w:pPr>
    </w:p>
    <w:p>
      <w:pPr>
        <w:jc w:val="both"/>
        <w:ind w:left="1240" w:firstLine="620"/>
        <w:spacing w:after="0" w:line="230" w:lineRule="auto"/>
        <w:tabs>
          <w:tab w:leader="none" w:pos="2377" w:val="left"/>
        </w:tabs>
        <w:numPr>
          <w:ilvl w:val="1"/>
          <w:numId w:val="151"/>
        </w:numPr>
        <w:rPr>
          <w:rFonts w:ascii="Arial" w:cs="Arial" w:eastAsia="Arial" w:hAnsi="Arial"/>
          <w:sz w:val="20"/>
          <w:szCs w:val="20"/>
          <w:color w:val="auto"/>
        </w:rPr>
      </w:pPr>
      <w:r>
        <w:rPr>
          <w:rFonts w:ascii="Arial" w:cs="Arial" w:eastAsia="Arial" w:hAnsi="Arial"/>
          <w:sz w:val="20"/>
          <w:szCs w:val="20"/>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49" w:lineRule="exact"/>
        <w:rPr>
          <w:rFonts w:ascii="Arial" w:cs="Arial" w:eastAsia="Arial" w:hAnsi="Arial"/>
          <w:sz w:val="20"/>
          <w:szCs w:val="20"/>
          <w:color w:val="auto"/>
        </w:rPr>
      </w:pPr>
    </w:p>
    <w:p>
      <w:pPr>
        <w:jc w:val="both"/>
        <w:ind w:left="1240" w:firstLine="620"/>
        <w:spacing w:after="0" w:line="224" w:lineRule="auto"/>
        <w:tabs>
          <w:tab w:leader="none" w:pos="2349" w:val="left"/>
        </w:tabs>
        <w:numPr>
          <w:ilvl w:val="1"/>
          <w:numId w:val="151"/>
        </w:numPr>
        <w:rPr>
          <w:rFonts w:ascii="Arial" w:cs="Arial" w:eastAsia="Arial" w:hAnsi="Arial"/>
          <w:sz w:val="21"/>
          <w:szCs w:val="21"/>
          <w:color w:val="auto"/>
        </w:rPr>
      </w:pPr>
      <w:r>
        <w:rPr>
          <w:rFonts w:ascii="Arial" w:cs="Arial" w:eastAsia="Arial" w:hAnsi="Arial"/>
          <w:sz w:val="21"/>
          <w:szCs w:val="21"/>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48" w:lineRule="exact"/>
        <w:rPr>
          <w:rFonts w:ascii="Arial" w:cs="Arial" w:eastAsia="Arial" w:hAnsi="Arial"/>
          <w:sz w:val="21"/>
          <w:szCs w:val="21"/>
          <w:color w:val="auto"/>
        </w:rPr>
      </w:pPr>
    </w:p>
    <w:p>
      <w:pPr>
        <w:jc w:val="both"/>
        <w:ind w:left="1860" w:firstLine="618"/>
        <w:spacing w:after="0" w:line="235" w:lineRule="auto"/>
        <w:tabs>
          <w:tab w:leader="none" w:pos="2906" w:val="left"/>
        </w:tabs>
        <w:numPr>
          <w:ilvl w:val="2"/>
          <w:numId w:val="151"/>
        </w:numPr>
        <w:rPr>
          <w:rFonts w:ascii="Arial" w:cs="Arial" w:eastAsia="Arial" w:hAnsi="Arial"/>
          <w:sz w:val="20"/>
          <w:szCs w:val="20"/>
          <w:color w:val="auto"/>
        </w:rPr>
      </w:pPr>
      <w:r>
        <w:rPr>
          <w:rFonts w:ascii="Arial" w:cs="Arial" w:eastAsia="Arial" w:hAnsi="Arial"/>
          <w:sz w:val="20"/>
          <w:szCs w:val="20"/>
          <w:color w:val="auto"/>
        </w:rPr>
        <w:t>two properly completed and duly signed original copies of Internal Revenue Service Form W-8BEN or W-8BEN-E (or any successor forms) claiming eligibility for the benefits of an income tax treaty to which the United States is a party, and such other documentation as required under the Code,</w:t>
      </w:r>
    </w:p>
    <w:p>
      <w:pPr>
        <w:spacing w:after="0" w:line="150" w:lineRule="exact"/>
        <w:rPr>
          <w:sz w:val="20"/>
          <w:szCs w:val="20"/>
          <w:color w:val="auto"/>
        </w:rPr>
      </w:pPr>
    </w:p>
    <w:p>
      <w:pPr>
        <w:ind w:left="1860" w:firstLine="618"/>
        <w:spacing w:after="0" w:line="233" w:lineRule="auto"/>
        <w:tabs>
          <w:tab w:leader="none" w:pos="2978"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two properly completed and duly signed original copies of Internal Revenue Service Form W-8ECI (or any successor forms),</w:t>
      </w:r>
    </w:p>
    <w:p>
      <w:pPr>
        <w:spacing w:after="0" w:line="150" w:lineRule="exact"/>
        <w:rPr>
          <w:sz w:val="20"/>
          <w:szCs w:val="20"/>
          <w:color w:val="auto"/>
        </w:rPr>
      </w:pPr>
    </w:p>
    <w:p>
      <w:pPr>
        <w:ind w:left="1860" w:firstLine="618"/>
        <w:spacing w:after="0" w:line="233" w:lineRule="auto"/>
        <w:tabs>
          <w:tab w:leader="none" w:pos="3077"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 United States Tax Compliance Certificate in the form of Exhibit M claiming the benefits of the exemption for portfolio interest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144</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16" w:lineRule="exact"/>
        <w:rPr>
          <w:sz w:val="20"/>
          <w:szCs w:val="20"/>
          <w:color w:val="auto"/>
        </w:rPr>
      </w:pPr>
    </w:p>
    <w:p>
      <w:pPr>
        <w:jc w:val="both"/>
        <w:ind w:left="740" w:firstLine="6"/>
        <w:spacing w:after="0" w:line="233" w:lineRule="auto"/>
        <w:rPr>
          <w:sz w:val="20"/>
          <w:szCs w:val="20"/>
          <w:color w:val="auto"/>
        </w:rPr>
      </w:pPr>
      <w:r>
        <w:rPr>
          <w:rFonts w:ascii="Arial" w:cs="Arial" w:eastAsia="Arial" w:hAnsi="Arial"/>
          <w:sz w:val="21"/>
          <w:szCs w:val="21"/>
          <w:color w:val="auto"/>
        </w:rPr>
        <w:t>Section 881(c) or 871(h) of the Code, and two properly completed and duly signed original copies of Internal Revenue Service Form W-8BEN or W-8BEN-E (or any successor form) or</w:t>
      </w:r>
    </w:p>
    <w:p>
      <w:pPr>
        <w:spacing w:after="0" w:line="176" w:lineRule="exact"/>
        <w:rPr>
          <w:sz w:val="20"/>
          <w:szCs w:val="20"/>
          <w:color w:val="auto"/>
        </w:rPr>
      </w:pPr>
    </w:p>
    <w:p>
      <w:pPr>
        <w:jc w:val="both"/>
        <w:ind w:left="740" w:firstLine="619"/>
        <w:spacing w:after="0" w:line="234" w:lineRule="auto"/>
        <w:rPr>
          <w:sz w:val="20"/>
          <w:szCs w:val="20"/>
          <w:color w:val="auto"/>
        </w:rPr>
      </w:pPr>
      <w:r>
        <w:rPr>
          <w:rFonts w:ascii="Arial" w:cs="Arial" w:eastAsia="Arial" w:hAnsi="Arial"/>
          <w:sz w:val="19"/>
          <w:szCs w:val="19"/>
          <w:color w:val="auto"/>
        </w:rPr>
        <w:t>(IV) to the extent a Lender is not the beneficial owner (for example, where the Lender is a partnership or a participating Lender), Internal Revenue Service Form W-8IMY (or any successor forms) of the Lender, accompanied by an Internal Revenue Service Form W-8ECI, W-8BEN or W-8BEN-E, W-8IMY, W-9, United States Tax Compliance Certificate and/or any other required information from each beneficial owner, as applicable and to the extent required under this Section 3.01(d) as if such beneficial owner were a Lender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Lender is a partnership and not a participating Lender, and one or more direct or indirect partners of such Lender are claiming the portfolio interest exemption, the United States Tax Compliance Certificate may be provided by such Lender on behalf of such partner(s)).</w:t>
      </w:r>
    </w:p>
    <w:p>
      <w:pPr>
        <w:spacing w:after="0" w:line="152" w:lineRule="exact"/>
        <w:rPr>
          <w:sz w:val="20"/>
          <w:szCs w:val="20"/>
          <w:color w:val="auto"/>
        </w:rPr>
      </w:pPr>
    </w:p>
    <w:p>
      <w:pPr>
        <w:jc w:val="both"/>
        <w:ind w:left="120" w:firstLine="620"/>
        <w:spacing w:after="0" w:line="261" w:lineRule="auto"/>
        <w:tabs>
          <w:tab w:leader="none" w:pos="12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Executed copies of any other form reasonably requested by the Borrower or the Administrative Agent as a basis for claiming a complete exemption from, or a reduction in, U.S. federal withholding Tax on any payments to such Lender under the Loan Documents, together with such supplementary documentation as may be prescribed by applicable Law to permit the Borrower or the Administrative Agent to determine the withholding or deduction required to be made.</w:t>
      </w:r>
    </w:p>
    <w:p>
      <w:pPr>
        <w:spacing w:after="0" w:line="130" w:lineRule="exact"/>
        <w:rPr>
          <w:rFonts w:ascii="Arial" w:cs="Arial" w:eastAsia="Arial" w:hAnsi="Arial"/>
          <w:sz w:val="18"/>
          <w:szCs w:val="18"/>
          <w:color w:val="auto"/>
        </w:rPr>
      </w:pPr>
    </w:p>
    <w:p>
      <w:pPr>
        <w:jc w:val="both"/>
        <w:ind w:left="120" w:firstLine="620"/>
        <w:spacing w:after="0" w:line="232" w:lineRule="auto"/>
        <w:tabs>
          <w:tab w:leader="none" w:pos="122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Without limiting the provisions of clause (d)(A), (B), (C) or (E) of this Section 3.01, 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Section 3.01(d)(D), “</w:t>
      </w:r>
      <w:r>
        <w:rPr>
          <w:rFonts w:ascii="Arial" w:cs="Arial" w:eastAsia="Arial" w:hAnsi="Arial"/>
          <w:sz w:val="19"/>
          <w:szCs w:val="19"/>
          <w:b w:val="1"/>
          <w:bCs w:val="1"/>
          <w:color w:val="auto"/>
        </w:rPr>
        <w:t>FATCA</w:t>
      </w:r>
      <w:r>
        <w:rPr>
          <w:rFonts w:ascii="Arial" w:cs="Arial" w:eastAsia="Arial" w:hAnsi="Arial"/>
          <w:sz w:val="19"/>
          <w:szCs w:val="19"/>
          <w:color w:val="auto"/>
        </w:rPr>
        <w:t>” shall include any amendments made to FATCA after the Restatement Date.</w:t>
      </w:r>
    </w:p>
    <w:p>
      <w:pPr>
        <w:spacing w:after="0" w:line="151" w:lineRule="exact"/>
        <w:rPr>
          <w:rFonts w:ascii="Arial" w:cs="Arial" w:eastAsia="Arial" w:hAnsi="Arial"/>
          <w:sz w:val="19"/>
          <w:szCs w:val="19"/>
          <w:color w:val="auto"/>
        </w:rPr>
      </w:pPr>
    </w:p>
    <w:p>
      <w:pPr>
        <w:ind w:left="120" w:firstLine="620"/>
        <w:spacing w:after="0" w:line="233" w:lineRule="auto"/>
        <w:tabs>
          <w:tab w:leader="none" w:pos="1211" w:val="left"/>
        </w:tabs>
        <w:numPr>
          <w:ilvl w:val="0"/>
          <w:numId w:val="154"/>
        </w:numPr>
        <w:rPr>
          <w:rFonts w:ascii="Arial" w:cs="Arial" w:eastAsia="Arial" w:hAnsi="Arial"/>
          <w:sz w:val="21"/>
          <w:szCs w:val="21"/>
          <w:color w:val="auto"/>
        </w:rPr>
      </w:pPr>
      <w:r>
        <w:rPr>
          <w:rFonts w:ascii="Arial" w:cs="Arial" w:eastAsia="Arial" w:hAnsi="Arial"/>
          <w:sz w:val="21"/>
          <w:szCs w:val="21"/>
          <w:color w:val="auto"/>
        </w:rPr>
        <w:t>Each Lender hereby authorizes the Administrative Agent to deliver to the Loan Parties and to any successor Administrative Agent any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145</w:t>
      </w:r>
    </w:p>
    <w:p>
      <w:pPr>
        <w:sectPr>
          <w:pgSz w:w="11900" w:h="16838" w:orient="portrait"/>
          <w:cols w:equalWidth="0" w:num="1">
            <w:col w:w="10120"/>
          </w:cols>
          <w:pgMar w:left="1440" w:top="1440" w:right="339" w:bottom="1440" w:gutter="0" w:footer="0" w:header="0"/>
        </w:sectPr>
      </w:pPr>
    </w:p>
    <w:bookmarkStart w:id="193" w:name="page194"/>
    <w:bookmarkEnd w:id="193"/>
    <w:p>
      <w:pPr>
        <w:spacing w:after="0" w:line="316"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provided by such Lender to the Administrative Agent pursuant to this Section 3.01(d).</w:t>
      </w:r>
    </w:p>
    <w:p>
      <w:pPr>
        <w:spacing w:after="0" w:line="171" w:lineRule="exact"/>
        <w:rPr>
          <w:sz w:val="20"/>
          <w:szCs w:val="20"/>
          <w:color w:val="auto"/>
        </w:rPr>
      </w:pPr>
    </w:p>
    <w:p>
      <w:pPr>
        <w:jc w:val="both"/>
        <w:ind w:firstLine="622"/>
        <w:spacing w:after="0" w:line="216" w:lineRule="auto"/>
        <w:tabs>
          <w:tab w:leader="none" w:pos="1054" w:val="left"/>
        </w:tabs>
        <w:numPr>
          <w:ilvl w:val="0"/>
          <w:numId w:val="155"/>
        </w:numPr>
        <w:rPr>
          <w:rFonts w:ascii="Arial" w:cs="Arial" w:eastAsia="Arial" w:hAnsi="Arial"/>
          <w:sz w:val="21"/>
          <w:szCs w:val="21"/>
          <w:color w:val="auto"/>
        </w:rPr>
      </w:pPr>
      <w:r>
        <w:rPr>
          <w:rFonts w:ascii="Arial" w:cs="Arial" w:eastAsia="Arial" w:hAnsi="Arial"/>
          <w:sz w:val="21"/>
          <w:szCs w:val="21"/>
          <w:color w:val="auto"/>
        </w:rPr>
        <w:t>Any Lender claiming any additional amounts payable pursuant to this Section 3.01 shall, if requested by the Borrower, use its reasonable efforts to change the jurisdiction of its Lending Office (or take any other measures reasonably requested by the Borrower) if such a change or other measures would reduce any such additional amounts (including any such additional amounts that may thereafter accrue) and would not, in the sole determination of such Lender, result in any unreimbursed cost or expense or be otherwise materially disadvantageous to such Lender.</w:t>
      </w:r>
    </w:p>
    <w:p>
      <w:pPr>
        <w:spacing w:after="0" w:line="150" w:lineRule="exact"/>
        <w:rPr>
          <w:rFonts w:ascii="Arial" w:cs="Arial" w:eastAsia="Arial" w:hAnsi="Arial"/>
          <w:sz w:val="21"/>
          <w:szCs w:val="21"/>
          <w:color w:val="auto"/>
        </w:rPr>
      </w:pPr>
    </w:p>
    <w:p>
      <w:pPr>
        <w:jc w:val="both"/>
        <w:ind w:firstLine="622"/>
        <w:spacing w:after="0" w:line="219" w:lineRule="auto"/>
        <w:tabs>
          <w:tab w:leader="none" w:pos="1065" w:val="left"/>
        </w:tabs>
        <w:numPr>
          <w:ilvl w:val="0"/>
          <w:numId w:val="155"/>
        </w:numPr>
        <w:rPr>
          <w:rFonts w:ascii="Arial" w:cs="Arial" w:eastAsia="Arial" w:hAnsi="Arial"/>
          <w:sz w:val="21"/>
          <w:szCs w:val="21"/>
          <w:color w:val="auto"/>
        </w:rPr>
      </w:pPr>
      <w:r>
        <w:rPr>
          <w:rFonts w:ascii="Arial" w:cs="Arial" w:eastAsia="Arial" w:hAnsi="Arial"/>
          <w:sz w:val="21"/>
          <w:szCs w:val="21"/>
          <w:color w:val="auto"/>
        </w:rPr>
        <w:t>As soon as practicable after any payment of Taxes by a Loan Party to a Governmental Authority pursuant to this Section 3.01,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9" w:lineRule="exact"/>
        <w:rPr>
          <w:rFonts w:ascii="Arial" w:cs="Arial" w:eastAsia="Arial" w:hAnsi="Arial"/>
          <w:sz w:val="21"/>
          <w:szCs w:val="21"/>
          <w:color w:val="auto"/>
        </w:rPr>
      </w:pPr>
    </w:p>
    <w:p>
      <w:pPr>
        <w:jc w:val="both"/>
        <w:ind w:firstLine="622"/>
        <w:spacing w:after="0" w:line="232" w:lineRule="auto"/>
        <w:tabs>
          <w:tab w:leader="none" w:pos="109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If any Lender or Agent receives a refund in respect of any Indemnified Taxes or Other Taxes as to which indemnification or additional amounts have been paid to it by any Loan Party pursuant to this Section 3.01, it shall promptly remit such refund to such Loan Party (but only to the extent of indemnification or additional amounts paid by such Loan Party under this Section 3.01 with respect to Indemnified Taxes or Other Taxes giving rise to such refund), net of all out-of-pocket expenses (including any Taxes) of the Lender or Agent, as the case may be, and without interest (other than any interest paid by the relevant Governmental Authority with respect to such refund);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Loan Party, upon the request of the Lender or Agent, as the case may be, shall promptly return such refund (plus any penalties, interest or other charges imposed by the relevant Governmental Authority) to such Lender or Agent in the event such Lender or Agent is required to repay such refund to the relevant Governmental Authority. This section shall not be construed to require the Administrative Agent or any Lender to make available its tax returns (or any other information relating to Taxes that it deems confidential) to the Borrower or any other person.</w:t>
      </w:r>
    </w:p>
    <w:p>
      <w:pPr>
        <w:spacing w:after="0" w:line="156" w:lineRule="exact"/>
        <w:rPr>
          <w:rFonts w:ascii="Arial" w:cs="Arial" w:eastAsia="Arial" w:hAnsi="Arial"/>
          <w:sz w:val="19"/>
          <w:szCs w:val="19"/>
          <w:color w:val="auto"/>
        </w:rPr>
      </w:pPr>
    </w:p>
    <w:p>
      <w:pPr>
        <w:jc w:val="both"/>
        <w:ind w:firstLine="622"/>
        <w:spacing w:after="0" w:line="252" w:lineRule="auto"/>
        <w:tabs>
          <w:tab w:leader="none" w:pos="113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Administrative Agent (and any Supplemental Agent that assumes responsibility for handling payments to Lenders) shall deliver to the Borrower, on or prior to the Restatement Date (or, in the case of a Supplemental Agent or a successor Administrative Agent pursuant to Section 9.09 hereof, on or before the date on which it becomes a Supplemental Agent or Agent, as applicable), a properly completed and executed Internal Revenue Service Form W-8IMY (indicating “Qualified Intermediary” or U.S. branch status) or Internal Revenue Service Form W-9, as applicable; provided that no Agent shall be required to provide any documentation under this Section 3.01(h) that such person is legally ineligible to deliver as a result of a change in Law after the date hereof.</w:t>
      </w:r>
    </w:p>
    <w:p>
      <w:pPr>
        <w:spacing w:after="0" w:line="139" w:lineRule="exact"/>
        <w:rPr>
          <w:rFonts w:ascii="Arial" w:cs="Arial" w:eastAsia="Arial" w:hAnsi="Arial"/>
          <w:sz w:val="18"/>
          <w:szCs w:val="18"/>
          <w:color w:val="auto"/>
        </w:rPr>
      </w:pPr>
    </w:p>
    <w:p>
      <w:pPr>
        <w:ind w:firstLine="622"/>
        <w:spacing w:after="0" w:line="233" w:lineRule="auto"/>
        <w:tabs>
          <w:tab w:leader="none" w:pos="1022" w:val="left"/>
        </w:tabs>
        <w:numPr>
          <w:ilvl w:val="0"/>
          <w:numId w:val="155"/>
        </w:numPr>
        <w:rPr>
          <w:rFonts w:ascii="Arial" w:cs="Arial" w:eastAsia="Arial" w:hAnsi="Arial"/>
          <w:sz w:val="21"/>
          <w:szCs w:val="21"/>
          <w:color w:val="auto"/>
        </w:rPr>
      </w:pPr>
      <w:r>
        <w:rPr>
          <w:rFonts w:ascii="Arial" w:cs="Arial" w:eastAsia="Arial" w:hAnsi="Arial"/>
          <w:sz w:val="21"/>
          <w:szCs w:val="21"/>
          <w:color w:val="auto"/>
        </w:rPr>
        <w:t>For the avoidance of doubt, the term “Lender” for purposes of this Section 3.01 shall include any L/C Issuer and any Swing Line Lender and the term “applicable Law” shall include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146</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Illegality</w:t>
      </w:r>
      <w:r>
        <w:rPr>
          <w:rFonts w:ascii="Arial" w:cs="Arial" w:eastAsia="Arial" w:hAnsi="Arial"/>
          <w:sz w:val="18"/>
          <w:szCs w:val="18"/>
          <w:color w:val="auto"/>
        </w:rPr>
        <w:t>. If any Lender determines that any Law has made it unlawful, or that any Governmental Authority has asserted that it is unlawful, for any Lender or its applicable Lending Office to make, maintain or fund Eurocurrency Rate Loans or Term SOFR Loans, or to determine or charge interest rates based upon the Eurocurrency Rate or Term SOFR, then, on notice thereof by such Lender to the Borrower through the Administrative Agent, any obligation of such Lender to make or continue Eurocurrency Rate Loans or Term SOFR Loans in the affected currency or currencies, or, in the case of Term SOFR Loans, to convert Base Rate Loans to Term SOFR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and such Loans are denominated in Dollars, convert all applicable Term SOFR Loans of such Lender to Base Rate Loans, either on the last day of the Interest Period therefor, if such Lender may lawfully continue to maintain such Eurocurrency Rate Loans or Term SOFR Loans to such day, or promptly, if such Lender may not lawfully continue to maintain such Eurocurrency Rate Loans or Term SOFR Loans. Upon any such prepayment or conversion, the Borrower shall also pay accrued interest on the amount so prepaid or converted and all amounts due, if any, in connection with such prepayment or conversion under Section 3.05. Each Lender agrees to designate a different Lending Office if such designation will avoid the need for such notice and will not, in the good faith judgment of such Lender, otherwise be materially disadvantageous to such Lender. For the avoidance of doubt, invalidity of the Term SOFR determined pursuant to clause (a) thereof without giving effect to clause (a)(ii) thereof shall not affect ability of the Borrower to incur Daily SOFR Loans pursuant to clause (a)(ii) of the definition thereof.</w:t>
      </w:r>
    </w:p>
    <w:p>
      <w:pPr>
        <w:spacing w:after="0" w:line="153"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i w:val="1"/>
          <w:iCs w:val="1"/>
          <w:color w:val="auto"/>
        </w:rPr>
        <w:t>Inability to Determine Rates</w:t>
      </w:r>
      <w:r>
        <w:rPr>
          <w:rFonts w:ascii="Arial" w:cs="Arial" w:eastAsia="Arial" w:hAnsi="Arial"/>
          <w:sz w:val="19"/>
          <w:szCs w:val="19"/>
          <w:color w:val="auto"/>
        </w:rPr>
        <w:t>. If the Administrative Agent reasonably determines in good faith that (i) for any reason adequate and reasonable means do not exist for determining the applicable Term SOFR or Eurocurrency Rate for any requested Interest Period with respect to a proposed Term SOFR Loan or Eurocurrency Rate Loan in a given Approved Foreign Currency, or (ii) that the Eurocurrency Rate for any requested Interest Period with respect to a proposed Eurocurrency Rate Loan in such Approved Foreign Currency does not adequately and fairly reflect the cost to the Lenders of funding or maintaining such Loan, or that deposits in the applicable Approved Currency in which such proposed Eurocurrency Rate Loan is to be denominated are not being offered to banks in the applicable offshore interbank market for the applicable amount and the Interest Period of such Eurocurrency Rate Loan in the applicable Approved Currency, the Administrative Agent will promptly so notify the Borrower and each Lender. Thereafter, the obligation of the Lenders to make or maintain Eurocurrency Rate Loans or Term SOFR Loans, as applicable, in the affected Approved Currency shall be suspended until the Administrative Agent revokes such notice. Upon receipt of such notice, the Borrower may revoke any pending request for a Borrowing of, conversion to or continuation of Eurocurrency Rate Loans or a Borrowing of, conversion to or continuation of Term SOFR Loans, as applicable, denominated in the affected Approved Currency, and make any such request into a request for a Borrowing of Daily SOFR Loans or, failing that, will be deemed to have converted such request, if applicable, into a request for a Borrowing of Base Rate Loans (without giving effect to clause (c) in the definition thereof) in the amount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147</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i w:val="1"/>
          <w:iCs w:val="1"/>
          <w:color w:val="auto"/>
        </w:rPr>
        <w:t>Increased Cost and Reduced Return; Capital Adequacy; Reserves on Loans</w:t>
      </w:r>
      <w:r>
        <w:rPr>
          <w:rFonts w:ascii="Arial" w:cs="Arial" w:eastAsia="Arial" w:hAnsi="Arial"/>
          <w:sz w:val="19"/>
          <w:szCs w:val="19"/>
          <w:color w:val="auto"/>
        </w:rPr>
        <w:t xml:space="preserve"> . (a) If any Lender reasonably determines that as a result of the introduction of or any change in or in the interpretation of any Law, in each case after the Restatement Date, or such Lender’s compliance therewith, there shall be any increase in the cost to such Lender of agreeing to make or making, funding or maintaining any Loans or (as the case may be) issuing or participating in Letters of Credit, or a reduction in the amount received or receivable by such Lender in connection with any of the foregoing (excluding for purposes of this Section 3.04(a) any such increased costs or reduction in amount resulting from (i) Indemnified Taxes or Other Taxes, or any Taxes excluded from the definition of Indemnified Taxes under exceptions (i) through (v) thereof or (ii) reserve requirements contemplated by Section 3.04(c)) and the result of any of the foregoing shall be to increase the cost to such Lender of making or maintaining the Loan (or of maintaining its obligations to make any Loan), or to reduce the amount of any sum received or receivable by such Lender, then from time to time within fifteen (15) days after demand by such Lender setting forth in reasonable detail such increased costs (with a copy of such demand to the Administrative Agent given in accordance with Section 3.06), the Borrower shall pay to such Lender such additional amounts as will compensate such Lender for such increased cost or reduction. Notwithstanding anything herein to the contrary, for all purposes under this Agreement,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3" w:lineRule="exact"/>
        <w:rPr>
          <w:sz w:val="20"/>
          <w:szCs w:val="20"/>
          <w:color w:val="auto"/>
        </w:rPr>
      </w:pPr>
    </w:p>
    <w:p>
      <w:pPr>
        <w:jc w:val="both"/>
        <w:ind w:firstLine="622"/>
        <w:spacing w:after="0" w:line="222" w:lineRule="auto"/>
        <w:tabs>
          <w:tab w:leader="none" w:pos="1157"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If any Lender determines that the introduction of any Law regarding capital adequacy or any change therein or in the interpretation thereof, in each case after the Restatement Date, or compliance by such Lender (or its Lending Office) therewith, has the effect of reducing the rate of return on the capital of such Lender or any Person controlling such Lender as a consequence of such Lender’s obligations hereunder (taking into consideration its policies with respect to capital adequacy and such Lender’s desired return on capital), then from time to time upon demand of such Lender setting forth in reasonable detail the charge and the calculation of such reduced rate of return (with a copy of such demand to the Administrative Agent given in accordance with Section 3.06), the Borrower shall pay to such Lender such additional amounts as will compensate such Lender for such reduction within fifteen (15) days after receipt of such demand.</w:t>
      </w:r>
    </w:p>
    <w:p>
      <w:pPr>
        <w:spacing w:after="0" w:line="154" w:lineRule="exact"/>
        <w:rPr>
          <w:rFonts w:ascii="Arial" w:cs="Arial" w:eastAsia="Arial" w:hAnsi="Arial"/>
          <w:sz w:val="20"/>
          <w:szCs w:val="20"/>
          <w:color w:val="auto"/>
        </w:rPr>
      </w:pPr>
    </w:p>
    <w:p>
      <w:pPr>
        <w:jc w:val="both"/>
        <w:ind w:firstLine="622"/>
        <w:spacing w:after="0" w:line="223" w:lineRule="auto"/>
        <w:tabs>
          <w:tab w:leader="none" w:pos="1171"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Borrower shall pay to each Lender, (i) as long as such Lender shall be required to maintain reserves, capital or liquidity with respect to liabilities or assets consisting of or including funds or deposits, additional interest on the unpaid principal amount of each applicable Loan of the Borrower equal to the actual costs of such reserves, capital or liquidity allocated to such Loan by such Lender (as determined by such Lender in good faith, which determination shall be conclusive in the absence of manifest error), and (ii) as long as such Lender shall be required to comply with any reserve ratio, capital or liquidity requirement or analogous requirement of any other central banking or financial regulatory authority imposed in respect of the maintenance of the Commitments or the funding of any Loans of the Borrower, such additional costs (expressed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148</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316" w:lineRule="exact"/>
        <w:rPr>
          <w:sz w:val="20"/>
          <w:szCs w:val="20"/>
          <w:color w:val="auto"/>
        </w:rPr>
      </w:pPr>
    </w:p>
    <w:p>
      <w:pPr>
        <w:jc w:val="both"/>
        <w:ind w:firstLine="6"/>
        <w:spacing w:after="0" w:line="237" w:lineRule="auto"/>
        <w:rPr>
          <w:sz w:val="20"/>
          <w:szCs w:val="20"/>
          <w:color w:val="auto"/>
        </w:rPr>
      </w:pPr>
      <w:r>
        <w:rPr>
          <w:rFonts w:ascii="Arial" w:cs="Arial" w:eastAsia="Arial" w:hAnsi="Arial"/>
          <w:sz w:val="19"/>
          <w:szCs w:val="19"/>
          <w:color w:val="auto"/>
        </w:rPr>
        <w:t xml:space="preserve">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Borrower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from receipt of such notice.</w:t>
      </w:r>
    </w:p>
    <w:p>
      <w:pPr>
        <w:spacing w:after="0" w:line="175" w:lineRule="exact"/>
        <w:rPr>
          <w:sz w:val="20"/>
          <w:szCs w:val="20"/>
          <w:color w:val="auto"/>
        </w:rPr>
      </w:pPr>
    </w:p>
    <w:p>
      <w:pPr>
        <w:ind w:firstLine="622"/>
        <w:spacing w:after="0" w:line="233" w:lineRule="auto"/>
        <w:tabs>
          <w:tab w:leader="none" w:pos="1141" w:val="left"/>
        </w:tabs>
        <w:numPr>
          <w:ilvl w:val="0"/>
          <w:numId w:val="157"/>
        </w:numPr>
        <w:rPr>
          <w:rFonts w:ascii="Arial" w:cs="Arial" w:eastAsia="Arial" w:hAnsi="Arial"/>
          <w:sz w:val="21"/>
          <w:szCs w:val="21"/>
          <w:color w:val="auto"/>
        </w:rPr>
      </w:pPr>
      <w:r>
        <w:rPr>
          <w:rFonts w:ascii="Arial" w:cs="Arial" w:eastAsia="Arial" w:hAnsi="Arial"/>
          <w:sz w:val="21"/>
          <w:szCs w:val="21"/>
          <w:color w:val="auto"/>
        </w:rPr>
        <w:t>Failure or delay on the part of any Lender to demand compensation pursuant to this Section 3.04 shall not constitute a waiver of such Lender’s right to demand such compensation.</w:t>
      </w:r>
    </w:p>
    <w:p>
      <w:pPr>
        <w:spacing w:after="0" w:line="149" w:lineRule="exact"/>
        <w:rPr>
          <w:rFonts w:ascii="Arial" w:cs="Arial" w:eastAsia="Arial" w:hAnsi="Arial"/>
          <w:sz w:val="21"/>
          <w:szCs w:val="21"/>
          <w:color w:val="auto"/>
        </w:rPr>
      </w:pPr>
    </w:p>
    <w:p>
      <w:pPr>
        <w:jc w:val="both"/>
        <w:ind w:firstLine="622"/>
        <w:spacing w:after="0" w:line="239" w:lineRule="auto"/>
        <w:tabs>
          <w:tab w:leader="none" w:pos="113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this Section 3.04, then such Lender will, if requested by the Borrower, use commercially reasonable efforts to designate another Lending Office for any Loan or Letter of Credit affected by such event;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efforts are made on terms that, in the reasonable judgment of such Lender, cause such Lender and its Lending Office(s) to suffer no material economic, legal or regulatory disadvantage,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nothing in this Section 3.04(e) shall affect or postpone any of the Obligations of the Borrower or the rights of such Lender pursuant to Sections 3.04(a), (b), (c) or (d).</w:t>
      </w:r>
    </w:p>
    <w:p>
      <w:pPr>
        <w:spacing w:after="0" w:line="149" w:lineRule="exact"/>
        <w:rPr>
          <w:rFonts w:ascii="Arial" w:cs="Arial" w:eastAsia="Arial" w:hAnsi="Arial"/>
          <w:sz w:val="19"/>
          <w:szCs w:val="19"/>
          <w:color w:val="auto"/>
        </w:rPr>
      </w:pPr>
    </w:p>
    <w:p>
      <w:pPr>
        <w:jc w:val="both"/>
        <w:ind w:firstLine="622"/>
        <w:spacing w:after="0" w:line="224" w:lineRule="auto"/>
        <w:tabs>
          <w:tab w:leader="none" w:pos="1124" w:val="left"/>
        </w:tabs>
        <w:numPr>
          <w:ilvl w:val="0"/>
          <w:numId w:val="157"/>
        </w:numPr>
        <w:rPr>
          <w:rFonts w:ascii="Arial" w:cs="Arial" w:eastAsia="Arial" w:hAnsi="Arial"/>
          <w:sz w:val="21"/>
          <w:szCs w:val="21"/>
          <w:color w:val="auto"/>
        </w:rPr>
      </w:pPr>
      <w:r>
        <w:rPr>
          <w:rFonts w:ascii="Arial" w:cs="Arial" w:eastAsia="Arial" w:hAnsi="Arial"/>
          <w:sz w:val="21"/>
          <w:szCs w:val="21"/>
          <w:color w:val="auto"/>
        </w:rPr>
        <w:t>Notwithstanding anything set forth in clauses (a) through (c) above, any Lender shall be compensated pursuant to this Section 3.04 only if such Lender certifies that it imposes such costs or charges under other syndicated credit facilities involving similarly situated borrowers that such Lender is a lender under.</w:t>
      </w:r>
    </w:p>
    <w:p>
      <w:pPr>
        <w:spacing w:after="0" w:line="149"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i w:val="1"/>
          <w:iCs w:val="1"/>
          <w:color w:val="auto"/>
        </w:rPr>
        <w:t>Funding Losses</w:t>
      </w:r>
      <w:r>
        <w:rPr>
          <w:rFonts w:ascii="Arial" w:cs="Arial" w:eastAsia="Arial" w:hAnsi="Arial"/>
          <w:sz w:val="21"/>
          <w:szCs w:val="21"/>
          <w:color w:val="auto"/>
        </w:rPr>
        <w:t>. Upon written demand of any Lender (with a copy to the Administrative Agent) from time to time, the Borrower shall promptly compensate such Lender for and hold such Lender harmless from any loss, cost or expense actually incurred by it as a result of:</w:t>
      </w:r>
    </w:p>
    <w:p>
      <w:pPr>
        <w:spacing w:after="0" w:line="149" w:lineRule="exact"/>
        <w:rPr>
          <w:sz w:val="20"/>
          <w:szCs w:val="20"/>
          <w:color w:val="auto"/>
        </w:rPr>
      </w:pPr>
    </w:p>
    <w:p>
      <w:pPr>
        <w:ind w:firstLine="622"/>
        <w:spacing w:after="0" w:line="233" w:lineRule="auto"/>
        <w:tabs>
          <w:tab w:leader="none" w:pos="1214" w:val="left"/>
        </w:tabs>
        <w:numPr>
          <w:ilvl w:val="0"/>
          <w:numId w:val="158"/>
        </w:numPr>
        <w:rPr>
          <w:rFonts w:ascii="Arial" w:cs="Arial" w:eastAsia="Arial" w:hAnsi="Arial"/>
          <w:sz w:val="21"/>
          <w:szCs w:val="21"/>
          <w:color w:val="auto"/>
        </w:rPr>
      </w:pPr>
      <w:r>
        <w:rPr>
          <w:rFonts w:ascii="Arial" w:cs="Arial" w:eastAsia="Arial" w:hAnsi="Arial"/>
          <w:sz w:val="21"/>
          <w:szCs w:val="21"/>
          <w:color w:val="auto"/>
        </w:rPr>
        <w:t>any continuation, conversion, payment or prepayment of any Eurocurrency Rate Loan or Term SOFR Loan of the Borrower on a day prior to the last day of the Interest Period for such Loan;</w:t>
      </w:r>
    </w:p>
    <w:p>
      <w:pPr>
        <w:spacing w:after="0" w:line="149" w:lineRule="exact"/>
        <w:rPr>
          <w:rFonts w:ascii="Arial" w:cs="Arial" w:eastAsia="Arial" w:hAnsi="Arial"/>
          <w:sz w:val="21"/>
          <w:szCs w:val="21"/>
          <w:color w:val="auto"/>
        </w:rPr>
      </w:pPr>
    </w:p>
    <w:p>
      <w:pPr>
        <w:jc w:val="both"/>
        <w:ind w:firstLine="622"/>
        <w:spacing w:after="0" w:line="243" w:lineRule="auto"/>
        <w:tabs>
          <w:tab w:leader="none" w:pos="106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Eurocurrency Rate Loan or Term SOFR Loan of the Borrower on the date or in the amount notified by the Borrower, including any loss or expense (excluding loss of anticipated profits) arising from the liquidation or reemployment of funds obtained by it to maintain such Loan or from fees payable to terminate the deposits from which such funds were obtained; or</w:t>
      </w:r>
    </w:p>
    <w:p>
      <w:pPr>
        <w:spacing w:after="0" w:line="146" w:lineRule="exact"/>
        <w:rPr>
          <w:rFonts w:ascii="Arial" w:cs="Arial" w:eastAsia="Arial" w:hAnsi="Arial"/>
          <w:sz w:val="19"/>
          <w:szCs w:val="19"/>
          <w:color w:val="auto"/>
        </w:rPr>
      </w:pPr>
    </w:p>
    <w:p>
      <w:pPr>
        <w:ind w:firstLine="622"/>
        <w:spacing w:after="0" w:line="276" w:lineRule="auto"/>
        <w:tabs>
          <w:tab w:leader="none" w:pos="1083"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any failure by the Borrower to make payment of any Loan or drawing under any Letter of Credit (or interest due thereon) denominated in an Approved Foreign Currency on its scheduled due date or any payment thereof in a different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149</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Section 3.05, each Lender shall be deemed to have funded each Eurocurrency Rate Loan or Term SOFR Loan made by it at the Eurocurrency Rate or the Adjusted Term SOFR Rate, as applicable, for such Loan by a matching deposit or other borrowing in the offshore interbank market for the applicable currency for a comparable amount and for a comparable period, whether or not such Eurocurrency Rate Loan or Term SOFR Loan was in fact so funded;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Section 3.05(a), if any such Eurocurrency Rate Loan or Term SOFR Loan has a floor, any amount owing by the Borrower to the Lender shall be reduced by the amount of interest income accrued during the completed portion of the Interest Period at a rate equal to the applicable floor over the applicable reference rate for such Interest Period.</w:t>
      </w:r>
    </w:p>
    <w:p>
      <w:pPr>
        <w:spacing w:after="0" w:line="141"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i w:val="1"/>
          <w:iCs w:val="1"/>
          <w:color w:val="auto"/>
        </w:rPr>
        <w:t>Matters Applicable to All Requests for Compensation</w:t>
      </w:r>
      <w:r>
        <w:rPr>
          <w:rFonts w:ascii="Arial" w:cs="Arial" w:eastAsia="Arial" w:hAnsi="Arial"/>
          <w:sz w:val="21"/>
          <w:szCs w:val="21"/>
          <w:color w:val="auto"/>
        </w:rPr>
        <w:t>. (a) Any Agent or any Lender claiming compensation under this Article 3 shall deliver a certificate to the Borrower setting forth the additional amount or amounts to be paid to it hereunder which shall be conclusive in the absence of manifest error. In determining such amount, such Agent or such Lender may use any reasonable averaging and attribution methods.</w:t>
      </w:r>
    </w:p>
    <w:p>
      <w:pPr>
        <w:spacing w:after="0" w:line="150" w:lineRule="exact"/>
        <w:rPr>
          <w:sz w:val="20"/>
          <w:szCs w:val="20"/>
          <w:color w:val="auto"/>
        </w:rPr>
      </w:pPr>
    </w:p>
    <w:p>
      <w:pPr>
        <w:jc w:val="both"/>
        <w:ind w:firstLine="622"/>
        <w:spacing w:after="0" w:line="233" w:lineRule="auto"/>
        <w:tabs>
          <w:tab w:leader="none" w:pos="1122"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With respect to any Lender’s claim for compensation under Sections 3.01, 3.02, 3.03 or 3.04,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circumstance giving rise to such claim is retroactive, then such 180-day period referred to above shall be extended to include the period of retroactive effect thereof. If any Lender requests compensation by the Borrower under Section 3.04, the Borrower may, by notice to such Lender (with a copy to the Administrative Agent), suspend the obligation of such Lender to make or continue from one Interest Period to another applicable Eurocurrency Rate Loan, to make Term SOFR Loans or, if applicable, to convert Base Rate Loans into Term SOFR Loans, until the event or condition giving rise to such request ceases to be in effect (in which case the provisions of Section 3.06(c) shall be applicable);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suspension shall not affect the right of such Lender to receive the compensation so requested.</w:t>
      </w:r>
    </w:p>
    <w:p>
      <w:pPr>
        <w:spacing w:after="0" w:line="153" w:lineRule="exact"/>
        <w:rPr>
          <w:rFonts w:ascii="Arial" w:cs="Arial" w:eastAsia="Arial" w:hAnsi="Arial"/>
          <w:sz w:val="19"/>
          <w:szCs w:val="19"/>
          <w:color w:val="auto"/>
        </w:rPr>
      </w:pPr>
    </w:p>
    <w:p>
      <w:pPr>
        <w:jc w:val="both"/>
        <w:ind w:firstLine="622"/>
        <w:spacing w:after="0" w:line="242" w:lineRule="auto"/>
        <w:tabs>
          <w:tab w:leader="none" w:pos="109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the obligation of any Lender to make or continue any Eurocurrency Rate Loan, make Term SOFR Loans or to convert Base Rate Loans into Term SOFR Loans shall be suspended pursuant to Section 3.06(b) hereof, such Lender’s applicable (x) Eurocurrency Rate Loans shall be prepaid or (y) Term SOFR Loans shall be automatically converted into Base Rate Loans (or, if such conversion is not possible, repaid) on the last day(s) of the then current Interest Period(s) for such Eurocurrency Rate Loans or Term SOFR Loans (or, in the case of an immediate conversion required by Section 3.02, on such earlier date as required by Law), as applicable, and, unless and until such Lender gives notice as provided below that the circumstances specified in Sections 3.02, 3.03 or</w:t>
      </w:r>
    </w:p>
    <w:p>
      <w:pPr>
        <w:spacing w:after="0" w:line="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3.04 hereof that gave rise to such conversion no longer exist:</w:t>
      </w:r>
    </w:p>
    <w:p>
      <w:pPr>
        <w:spacing w:after="0" w:line="153" w:lineRule="exact"/>
        <w:rPr>
          <w:rFonts w:ascii="Arial" w:cs="Arial" w:eastAsia="Arial" w:hAnsi="Arial"/>
          <w:sz w:val="18"/>
          <w:szCs w:val="18"/>
          <w:color w:val="auto"/>
        </w:rPr>
      </w:pPr>
    </w:p>
    <w:p>
      <w:pPr>
        <w:jc w:val="both"/>
        <w:ind w:left="620" w:firstLine="621"/>
        <w:spacing w:after="0" w:line="224" w:lineRule="auto"/>
        <w:tabs>
          <w:tab w:leader="none" w:pos="1753" w:val="left"/>
        </w:tabs>
        <w:numPr>
          <w:ilvl w:val="1"/>
          <w:numId w:val="159"/>
        </w:numPr>
        <w:rPr>
          <w:rFonts w:ascii="Arial" w:cs="Arial" w:eastAsia="Arial" w:hAnsi="Arial"/>
          <w:sz w:val="21"/>
          <w:szCs w:val="21"/>
          <w:color w:val="auto"/>
        </w:rPr>
      </w:pPr>
      <w:r>
        <w:rPr>
          <w:rFonts w:ascii="Arial" w:cs="Arial" w:eastAsia="Arial" w:hAnsi="Arial"/>
          <w:sz w:val="21"/>
          <w:szCs w:val="21"/>
          <w:color w:val="auto"/>
        </w:rPr>
        <w:t>to the extent that such Lender’s Term SOFR Loans have been so converted, all payments and prepayments of principal that would otherwise be applied to such Lender’s applicable Term SOFR Loans shall be applied instead to its Base Rate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150</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620" w:firstLine="621"/>
        <w:spacing w:after="0" w:line="235" w:lineRule="auto"/>
        <w:tabs>
          <w:tab w:leader="none" w:pos="1731" w:val="left"/>
        </w:tabs>
        <w:numPr>
          <w:ilvl w:val="1"/>
          <w:numId w:val="160"/>
        </w:numPr>
        <w:rPr>
          <w:rFonts w:ascii="Arial" w:cs="Arial" w:eastAsia="Arial" w:hAnsi="Arial"/>
          <w:sz w:val="20"/>
          <w:szCs w:val="20"/>
          <w:color w:val="auto"/>
        </w:rPr>
      </w:pPr>
      <w:r>
        <w:rPr>
          <w:rFonts w:ascii="Arial" w:cs="Arial" w:eastAsia="Arial" w:hAnsi="Arial"/>
          <w:sz w:val="20"/>
          <w:szCs w:val="20"/>
          <w:color w:val="auto"/>
        </w:rPr>
        <w:t>all Loans that would otherwise be made or continued from one Interest Period to another by such Lender as Term SOFR Loans shall be made or continued instead as Base Rate Loans (if possible), and all Base Rate Loans of such Lender that would otherwise be converted into Term SOFR Loans shall remain as Base Rate Loans.</w:t>
      </w:r>
    </w:p>
    <w:p>
      <w:pPr>
        <w:spacing w:after="0" w:line="149" w:lineRule="exact"/>
        <w:rPr>
          <w:rFonts w:ascii="Arial" w:cs="Arial" w:eastAsia="Arial" w:hAnsi="Arial"/>
          <w:sz w:val="20"/>
          <w:szCs w:val="20"/>
          <w:color w:val="auto"/>
        </w:rPr>
      </w:pPr>
    </w:p>
    <w:p>
      <w:pPr>
        <w:jc w:val="both"/>
        <w:ind w:firstLine="622"/>
        <w:spacing w:after="0" w:line="222" w:lineRule="auto"/>
        <w:tabs>
          <w:tab w:leader="none" w:pos="1108"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any Lender gives notice to the Borrower (with a copy to the Administrative Agent) that the circumstances specified in Sections 3.02, 3.03 or 3.04 hereof that gave rise to the conversion of any of such Lender’s Term SOFR Loans pursuant to this Section 3.06 no longer exist (which such Lender agrees to do promptly upon such circumstances ceasing to exist) at a time when Term SOFR Loans made by other Lenders under the applicable Facility are outstanding, if applicable, such Lender’s Base Rate Loans shall be automatically converted, on the first day(s) of the next succeeding Interest Period(s) for such outstanding Term SOFR Loans, to the extent necessary so that, after giving effect thereto, all Loans held by the Lenders holding Term SOFR Loans under such Facility and by such Lender are held pro rata (as to principal amounts, interest rate basis, and Interest Periods) in accordance with their respective Commitments for the applicable Facility.</w:t>
      </w:r>
    </w:p>
    <w:p>
      <w:pPr>
        <w:spacing w:after="0" w:line="155"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i w:val="1"/>
          <w:iCs w:val="1"/>
          <w:color w:val="auto"/>
        </w:rPr>
        <w:t>Replacement of Lenders under Certain Circumstances</w:t>
      </w:r>
      <w:r>
        <w:rPr>
          <w:rFonts w:ascii="Arial" w:cs="Arial" w:eastAsia="Arial" w:hAnsi="Arial"/>
          <w:sz w:val="19"/>
          <w:szCs w:val="19"/>
          <w:color w:val="auto"/>
        </w:rPr>
        <w:t xml:space="preserve">. (a) If at any time (i) the Borrower becomes obligated to pay additional amounts or indemnity payments described in Section 3.01 (with respect to Indemnified Taxes) or Section 3.04 as a result of any condition described in such Sections or any Lender ceases to make any Eurocurrency Rate Loans or Term SOFR Loans, in each case, as a result of any condition described in Section 3.02 or Section 3.04, (ii) any Lender becomes a Defaulting Lender or (iii) any Lender becomes a Non-Consenting Lender, then the Borrower, may so long as no Event of Default has occurred and is continuing, at its sole cost and expense, on three (3) Business Days’ prior written notice to the Administrative Agent and such Lender, (x) replace such Lender by causing such Lender to (and such Lender shall be obligated to) assign pursuant to Section 10.07(b) (with the assignment fee to be paid by the Borrower in such instance) all of its rights and obligations under this Agreement (in respect of any applicable Facility only in the case of clause (i) or (ii) or, with respect to a Class vote, clause (iii)) to one or more Eligible Assignees (or with respect to any assignment to any Affiliated Lender, pursuant to Section 10.07(l));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Administrative Agent nor any Lender shall have any obligation to the Borrower to find a replacement Lender or other such Person;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(A) in the case of any such assignment resulting from a claim for compensation under Section 3.04 or payments required to be made pursuant to Section 3.01 (with respect to Indemnified Taxes), such assignment will result in a reduction in 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or L/C Issuer (in respect of any applicable Facility only in the case of clauses (i) through (iii)), as the case may be, and (1) in the case of a Lender (other than an L/C Issuer), repay all Obligations of the Borrower owing to such Lender relating to the Loans and participations held by such Lender as of such termination date and (2) in the case of an L/C Issuer, repay all Obligations of the Borrower owing to such L/C Issuer relating to the Loans and participations held by the L/C Issuer as well as all Letters of Credit issued by such L/C Issuer as of such termination date and cancel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151</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316" w:lineRule="exact"/>
        <w:rPr>
          <w:sz w:val="20"/>
          <w:szCs w:val="20"/>
          <w:color w:val="auto"/>
        </w:rPr>
      </w:pPr>
    </w:p>
    <w:p>
      <w:pPr>
        <w:jc w:val="both"/>
        <w:ind w:firstLine="6"/>
        <w:spacing w:after="0" w:line="230" w:lineRule="auto"/>
        <w:rPr>
          <w:sz w:val="20"/>
          <w:szCs w:val="20"/>
          <w:color w:val="auto"/>
        </w:rPr>
      </w:pPr>
      <w:r>
        <w:rPr>
          <w:rFonts w:ascii="Arial" w:cs="Arial" w:eastAsia="Arial" w:hAnsi="Arial"/>
          <w:sz w:val="20"/>
          <w:szCs w:val="20"/>
          <w:color w:val="auto"/>
        </w:rPr>
        <w:t xml:space="preserve">backstop on terms satisfactory to such L/C Issuer any Letters of Credit issued by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clause (i) or (ii) or, with respect to a Class vote, clause (iii).</w:t>
      </w:r>
    </w:p>
    <w:p>
      <w:pPr>
        <w:spacing w:after="0" w:line="176" w:lineRule="exact"/>
        <w:rPr>
          <w:sz w:val="20"/>
          <w:szCs w:val="20"/>
          <w:color w:val="auto"/>
        </w:rPr>
      </w:pPr>
    </w:p>
    <w:p>
      <w:pPr>
        <w:jc w:val="both"/>
        <w:ind w:firstLine="622"/>
        <w:spacing w:after="0" w:line="219" w:lineRule="auto"/>
        <w:tabs>
          <w:tab w:leader="none" w:pos="1232"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Any Lender being replaced pursuant to Section 3.07(a)(x) above shall (i) execute and deliver an Assignment and Assumption with respect to such Lender’s applicable Commitment and outstanding Loans and participations in L/C Obligations and Swing Line Loans in respect thereof, and (ii) deliver any Notes evidencing such Loans to the Borrower or Administrative Agent. Pursuant to such Assignment and Assumption, (A) the assignee Lender shall acquire all or a portion, as the case may be, of the assigning Lender’s Commitment and outstanding Loans and participations in L/C Obligations and Swing Line Loans, (B) all obligations of the Borrower owing to the assigning Lender relating to the Loans, Commitments and participations so assigned shall be paid in full by the assignee Lender to such assigning Lender concurrently with such Assignment and Assumption and (C) upon such payment and, if so requested by the assignee Lender, delivery to the assignee Lender of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or Defaulting Lender does not execute and deliver to the Administrative Agent a duly executed Assignment and Assumption reflecting such replacement on the date on which the assignee Lender executes and delivers such Assignment and Assumption to such Non-Consenting Lender or Defaulting Lender, then such Non-Consenting Lender or Defaulting Lender shall be deemed to have executed and delivered such Assignment and Assumption without any action on the part of the Non-Consenting Lender or Defaulting Lender.</w:t>
      </w:r>
    </w:p>
    <w:p>
      <w:pPr>
        <w:spacing w:after="0" w:line="148" w:lineRule="exact"/>
        <w:rPr>
          <w:rFonts w:ascii="Arial" w:cs="Arial" w:eastAsia="Arial" w:hAnsi="Arial"/>
          <w:sz w:val="20"/>
          <w:szCs w:val="20"/>
          <w:color w:val="auto"/>
        </w:rPr>
      </w:pPr>
    </w:p>
    <w:p>
      <w:pPr>
        <w:jc w:val="both"/>
        <w:ind w:firstLine="622"/>
        <w:spacing w:after="0" w:line="237" w:lineRule="auto"/>
        <w:tabs>
          <w:tab w:leader="none" w:pos="1145"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Section 9.09.</w:t>
      </w:r>
    </w:p>
    <w:p>
      <w:pPr>
        <w:spacing w:after="0" w:line="149" w:lineRule="exact"/>
        <w:rPr>
          <w:rFonts w:ascii="Arial" w:cs="Arial" w:eastAsia="Arial" w:hAnsi="Arial"/>
          <w:sz w:val="19"/>
          <w:szCs w:val="19"/>
          <w:color w:val="auto"/>
        </w:rPr>
      </w:pPr>
    </w:p>
    <w:p>
      <w:pPr>
        <w:jc w:val="both"/>
        <w:ind w:firstLine="622"/>
        <w:spacing w:after="0" w:line="216" w:lineRule="auto"/>
        <w:tabs>
          <w:tab w:leader="none" w:pos="1139" w:val="left"/>
        </w:tabs>
        <w:numPr>
          <w:ilvl w:val="0"/>
          <w:numId w:val="162"/>
        </w:numPr>
        <w:rPr>
          <w:rFonts w:ascii="Arial" w:cs="Arial" w:eastAsia="Arial" w:hAnsi="Arial"/>
          <w:sz w:val="21"/>
          <w:szCs w:val="21"/>
          <w:color w:val="auto"/>
        </w:rPr>
      </w:pPr>
      <w:r>
        <w:rPr>
          <w:rFonts w:ascii="Arial" w:cs="Arial" w:eastAsia="Arial" w:hAnsi="Arial"/>
          <w:sz w:val="21"/>
          <w:szCs w:val="21"/>
          <w:color w:val="auto"/>
        </w:rPr>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each affected Lender or each affected Lender of a certain Class in accordance with the terms of Section 10.01 or all the Lenders with respect to a certain Class of the Loans and (iii) the Required Lenders (or, in the case of a consent, waiver or amendment involving all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152</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316"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Lenders of a certain Class, the Required Class Lenders as applicable) have agreed to such consent, waiver or amendment, then any Lender who does not agree to such consent, waiver or amendment shall be deemed a “</w:t>
      </w:r>
      <w:r>
        <w:rPr>
          <w:rFonts w:ascii="Arial" w:cs="Arial" w:eastAsia="Arial" w:hAnsi="Arial"/>
          <w:sz w:val="20"/>
          <w:szCs w:val="20"/>
          <w:b w:val="1"/>
          <w:bCs w:val="1"/>
          <w:color w:val="auto"/>
        </w:rPr>
        <w:t>Non-Consenting Lender.</w:t>
      </w:r>
      <w:r>
        <w:rPr>
          <w:rFonts w:ascii="Arial" w:cs="Arial" w:eastAsia="Arial" w:hAnsi="Arial"/>
          <w:sz w:val="20"/>
          <w:szCs w:val="20"/>
          <w:color w:val="auto"/>
        </w:rPr>
        <w:t>”</w:t>
      </w:r>
    </w:p>
    <w:p>
      <w:pPr>
        <w:spacing w:after="0" w:line="165"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3.08. </w:t>
      </w:r>
      <w:r>
        <w:rPr>
          <w:rFonts w:ascii="Arial" w:cs="Arial" w:eastAsia="Arial" w:hAnsi="Arial"/>
          <w:sz w:val="21"/>
          <w:szCs w:val="21"/>
          <w:i w:val="1"/>
          <w:iCs w:val="1"/>
          <w:color w:val="auto"/>
        </w:rPr>
        <w:t>Survival</w:t>
      </w:r>
      <w:r>
        <w:rPr>
          <w:rFonts w:ascii="Arial" w:cs="Arial" w:eastAsia="Arial" w:hAnsi="Arial"/>
          <w:sz w:val="21"/>
          <w:szCs w:val="21"/>
          <w:color w:val="auto"/>
        </w:rPr>
        <w:t>. Each party’s obligations under this Article 3 shall survive termination of the Aggregate Commitments and repayment of all other Obligations hereunder.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4</w:t>
      </w:r>
    </w:p>
    <w:p>
      <w:pPr>
        <w:jc w:val="center"/>
        <w:spacing w:after="0"/>
        <w:rPr>
          <w:sz w:val="20"/>
          <w:szCs w:val="20"/>
          <w:color w:val="auto"/>
        </w:rPr>
      </w:pPr>
      <w:r>
        <w:rPr>
          <w:rFonts w:ascii="Arial" w:cs="Arial" w:eastAsia="Arial" w:hAnsi="Arial"/>
          <w:sz w:val="21"/>
          <w:szCs w:val="21"/>
          <w:color w:val="auto"/>
        </w:rPr>
        <w:t>CONDITIONS PRECEDENT TO CREDIT EXTENSIONS</w:t>
      </w:r>
    </w:p>
    <w:p>
      <w:pPr>
        <w:spacing w:after="0" w:line="153"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i w:val="1"/>
          <w:iCs w:val="1"/>
          <w:color w:val="auto"/>
        </w:rPr>
        <w:t>Conditions to Initial Credit Extension</w:t>
      </w:r>
      <w:r>
        <w:rPr>
          <w:rFonts w:ascii="Arial" w:cs="Arial" w:eastAsia="Arial" w:hAnsi="Arial"/>
          <w:sz w:val="21"/>
          <w:szCs w:val="21"/>
          <w:color w:val="auto"/>
        </w:rPr>
        <w:t>. The obligation of each Lender to make a Credit Extension hereunder on the Restatement Date is subject to satisfaction of the following conditions precedent, except as otherwise agreed between the Borrower and the Administrative Agent:</w:t>
      </w:r>
    </w:p>
    <w:p>
      <w:pPr>
        <w:spacing w:after="0" w:line="149" w:lineRule="exact"/>
        <w:rPr>
          <w:sz w:val="20"/>
          <w:szCs w:val="20"/>
          <w:color w:val="auto"/>
        </w:rPr>
      </w:pPr>
    </w:p>
    <w:p>
      <w:pPr>
        <w:jc w:val="both"/>
        <w:ind w:firstLine="622"/>
        <w:spacing w:after="0" w:line="235" w:lineRule="auto"/>
        <w:tabs>
          <w:tab w:leader="none" w:pos="1132"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Administrative Agent’s receipt of the following, each of which shall be originals or pdf copies or other facsimiles (followed promptly by originals) unless otherwise specified, each properly executed by a Responsible Officer of the signing Loan Party each in form and substance reasonably satisfactory to the Administrative Agent and its legal counsel:</w:t>
      </w:r>
    </w:p>
    <w:p>
      <w:pPr>
        <w:spacing w:after="0" w:line="149" w:lineRule="exact"/>
        <w:rPr>
          <w:rFonts w:ascii="Arial" w:cs="Arial" w:eastAsia="Arial" w:hAnsi="Arial"/>
          <w:sz w:val="20"/>
          <w:szCs w:val="20"/>
          <w:color w:val="auto"/>
        </w:rPr>
      </w:pPr>
    </w:p>
    <w:p>
      <w:pPr>
        <w:ind w:left="1640" w:hanging="399"/>
        <w:spacing w:after="0"/>
        <w:tabs>
          <w:tab w:leader="none" w:pos="164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a Committed Loan Notice in accordance with the requirements hereof;</w:t>
      </w:r>
    </w:p>
    <w:p>
      <w:pPr>
        <w:spacing w:after="0" w:line="171" w:lineRule="exact"/>
        <w:rPr>
          <w:rFonts w:ascii="Arial" w:cs="Arial" w:eastAsia="Arial" w:hAnsi="Arial"/>
          <w:sz w:val="21"/>
          <w:szCs w:val="21"/>
          <w:color w:val="auto"/>
        </w:rPr>
      </w:pPr>
    </w:p>
    <w:p>
      <w:pPr>
        <w:ind w:left="1700" w:hanging="459"/>
        <w:spacing w:after="0"/>
        <w:tabs>
          <w:tab w:leader="none" w:pos="170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executed counterparts of this Agreement;</w:t>
      </w:r>
    </w:p>
    <w:p>
      <w:pPr>
        <w:spacing w:after="0" w:line="171" w:lineRule="exact"/>
        <w:rPr>
          <w:rFonts w:ascii="Arial" w:cs="Arial" w:eastAsia="Arial" w:hAnsi="Arial"/>
          <w:sz w:val="21"/>
          <w:szCs w:val="21"/>
          <w:color w:val="auto"/>
        </w:rPr>
      </w:pPr>
    </w:p>
    <w:p>
      <w:pPr>
        <w:ind w:left="620" w:firstLine="621"/>
        <w:spacing w:after="0" w:line="233" w:lineRule="auto"/>
        <w:tabs>
          <w:tab w:leader="none" w:pos="1761" w:val="left"/>
        </w:tabs>
        <w:numPr>
          <w:ilvl w:val="1"/>
          <w:numId w:val="163"/>
        </w:numPr>
        <w:rPr>
          <w:rFonts w:ascii="Arial" w:cs="Arial" w:eastAsia="Arial" w:hAnsi="Arial"/>
          <w:sz w:val="21"/>
          <w:szCs w:val="21"/>
          <w:color w:val="auto"/>
        </w:rPr>
      </w:pPr>
      <w:r>
        <w:rPr>
          <w:rFonts w:ascii="Arial" w:cs="Arial" w:eastAsia="Arial" w:hAnsi="Arial"/>
          <w:sz w:val="21"/>
          <w:szCs w:val="21"/>
          <w:color w:val="auto"/>
        </w:rPr>
        <w:t>each Collateral Document set forth on Schedule 1.01B required to be executed on or prior to the Restatement Date as indicated on such schedule, duly executed by each Loan Party thereto, together with:</w:t>
      </w:r>
    </w:p>
    <w:p>
      <w:pPr>
        <w:spacing w:after="0" w:line="149" w:lineRule="exact"/>
        <w:rPr>
          <w:rFonts w:ascii="Arial" w:cs="Arial" w:eastAsia="Arial" w:hAnsi="Arial"/>
          <w:sz w:val="21"/>
          <w:szCs w:val="21"/>
          <w:color w:val="auto"/>
        </w:rPr>
      </w:pPr>
    </w:p>
    <w:p>
      <w:pPr>
        <w:jc w:val="both"/>
        <w:ind w:left="1240" w:firstLine="620"/>
        <w:spacing w:after="0" w:line="223" w:lineRule="auto"/>
        <w:tabs>
          <w:tab w:leader="none" w:pos="2446" w:val="left"/>
        </w:tabs>
        <w:numPr>
          <w:ilvl w:val="2"/>
          <w:numId w:val="163"/>
        </w:numPr>
        <w:rPr>
          <w:rFonts w:ascii="Arial" w:cs="Arial" w:eastAsia="Arial" w:hAnsi="Arial"/>
          <w:sz w:val="20"/>
          <w:szCs w:val="20"/>
          <w:color w:val="auto"/>
        </w:rPr>
      </w:pPr>
      <w:r>
        <w:rPr>
          <w:rFonts w:ascii="Arial" w:cs="Arial" w:eastAsia="Arial" w:hAnsi="Arial"/>
          <w:sz w:val="20"/>
          <w:szCs w:val="20"/>
          <w:color w:val="auto"/>
        </w:rPr>
        <w:t>certificates, if any, representing the Pledged Equity in the Borrower and each wholly owned Restricted Subsidiary of the Borrower (that is also not an Excluded Subsidiary (other than any Restricted Subsidiary that is an Excluded Subsidiary solely pursuant to clause (f) and/or (j)(y) of the definition thereof)), accompanied by undated stock or membership interest powers executed in blank and instruments evidencing the Pledged Debt (including the Intercompany Note) indorsed in blank (or confirmation in lieu thereof reasonably satisfactory to the Administrative Agent or its counsel that such certificates, powers and instruments are in the Collateral Agent’s possession or have been sent for overnight delivery to the Collateral Agent or its counsel);</w:t>
      </w:r>
    </w:p>
    <w:p>
      <w:pPr>
        <w:spacing w:after="0" w:line="154" w:lineRule="exact"/>
        <w:rPr>
          <w:rFonts w:ascii="Arial" w:cs="Arial" w:eastAsia="Arial" w:hAnsi="Arial"/>
          <w:sz w:val="20"/>
          <w:szCs w:val="20"/>
          <w:color w:val="auto"/>
        </w:rPr>
      </w:pPr>
    </w:p>
    <w:p>
      <w:pPr>
        <w:jc w:val="both"/>
        <w:ind w:left="1240" w:firstLine="620"/>
        <w:spacing w:after="0" w:line="261" w:lineRule="auto"/>
        <w:tabs>
          <w:tab w:leader="none" w:pos="2443" w:val="left"/>
        </w:tabs>
        <w:numPr>
          <w:ilvl w:val="2"/>
          <w:numId w:val="163"/>
        </w:numPr>
        <w:rPr>
          <w:rFonts w:ascii="Arial" w:cs="Arial" w:eastAsia="Arial" w:hAnsi="Arial"/>
          <w:sz w:val="18"/>
          <w:szCs w:val="18"/>
          <w:color w:val="auto"/>
        </w:rPr>
      </w:pPr>
      <w:r>
        <w:rPr>
          <w:rFonts w:ascii="Arial" w:cs="Arial" w:eastAsia="Arial" w:hAnsi="Arial"/>
          <w:sz w:val="18"/>
          <w:szCs w:val="18"/>
          <w:color w:val="auto"/>
        </w:rPr>
        <w:t>copies of proper financing statements, filed or duly prepared for filing under the Uniform Commercial Code in all United States jurisdictions that the Administrative Agent may deem reasonably necessary in order to perfect and protect the Liens created under the Security Agreement on assets of Holdings, the Borrower and each Subsidiary Guarantor that is party to the Security Agreement, covering the Collateral described in the Security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153</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240" w:firstLine="620"/>
        <w:spacing w:after="0" w:line="219" w:lineRule="auto"/>
        <w:tabs>
          <w:tab w:leader="none" w:pos="2473" w:val="left"/>
        </w:tabs>
        <w:numPr>
          <w:ilvl w:val="2"/>
          <w:numId w:val="164"/>
        </w:numPr>
        <w:rPr>
          <w:rFonts w:ascii="Arial" w:cs="Arial" w:eastAsia="Arial" w:hAnsi="Arial"/>
          <w:sz w:val="21"/>
          <w:szCs w:val="21"/>
          <w:color w:val="auto"/>
        </w:rPr>
      </w:pPr>
      <w:r>
        <w:rPr>
          <w:rFonts w:ascii="Arial" w:cs="Arial" w:eastAsia="Arial" w:hAnsi="Arial"/>
          <w:sz w:val="21"/>
          <w:szCs w:val="21"/>
          <w:color w:val="auto"/>
        </w:rPr>
        <w:t>evidence that all other actions, recordings and filings required by the Collateral Documents as of the Restatement Date or that the Administrative Agent may deem reasonably necessary to satisfy the Collateral and Guarantee Requirement shall have been taken, completed or otherwise provided for in a manner reasonably satisfactory to the Administrative Agent;</w:t>
      </w:r>
    </w:p>
    <w:p>
      <w:pPr>
        <w:spacing w:after="0" w:line="149" w:lineRule="exact"/>
        <w:rPr>
          <w:rFonts w:ascii="Arial" w:cs="Arial" w:eastAsia="Arial" w:hAnsi="Arial"/>
          <w:sz w:val="21"/>
          <w:szCs w:val="21"/>
          <w:color w:val="auto"/>
        </w:rPr>
      </w:pPr>
    </w:p>
    <w:p>
      <w:pPr>
        <w:jc w:val="both"/>
        <w:ind w:left="620" w:firstLine="621"/>
        <w:spacing w:after="0" w:line="224" w:lineRule="auto"/>
        <w:tabs>
          <w:tab w:leader="none" w:pos="1743" w:val="left"/>
        </w:tabs>
        <w:numPr>
          <w:ilvl w:val="1"/>
          <w:numId w:val="165"/>
        </w:numPr>
        <w:rPr>
          <w:rFonts w:ascii="Arial" w:cs="Arial" w:eastAsia="Arial" w:hAnsi="Arial"/>
          <w:sz w:val="21"/>
          <w:szCs w:val="21"/>
          <w:color w:val="auto"/>
        </w:rPr>
      </w:pPr>
      <w:r>
        <w:rPr>
          <w:rFonts w:ascii="Arial" w:cs="Arial" w:eastAsia="Arial" w:hAnsi="Arial"/>
          <w:sz w:val="21"/>
          <w:szCs w:val="21"/>
          <w:color w:val="auto"/>
        </w:rPr>
        <w:t>subject to Section 6.16, all actions necessary to cause the Collateral Agent to have a perfected first priority security interest in the Collateral (subject to Liens permitted under Section 7.01 which by operation of law or contract would have priority over the Liens securing the Obligations) shall have been taken;</w:t>
      </w:r>
    </w:p>
    <w:p>
      <w:pPr>
        <w:spacing w:after="0" w:line="148" w:lineRule="exact"/>
        <w:rPr>
          <w:rFonts w:ascii="Arial" w:cs="Arial" w:eastAsia="Arial" w:hAnsi="Arial"/>
          <w:sz w:val="21"/>
          <w:szCs w:val="21"/>
          <w:color w:val="auto"/>
        </w:rPr>
      </w:pPr>
    </w:p>
    <w:p>
      <w:pPr>
        <w:jc w:val="both"/>
        <w:ind w:left="620" w:firstLine="621"/>
        <w:spacing w:after="0" w:line="214" w:lineRule="auto"/>
        <w:tabs>
          <w:tab w:leader="none" w:pos="1739" w:val="left"/>
        </w:tabs>
        <w:numPr>
          <w:ilvl w:val="1"/>
          <w:numId w:val="165"/>
        </w:numPr>
        <w:rPr>
          <w:rFonts w:ascii="Arial" w:cs="Arial" w:eastAsia="Arial" w:hAnsi="Arial"/>
          <w:sz w:val="21"/>
          <w:szCs w:val="21"/>
          <w:color w:val="auto"/>
        </w:rPr>
      </w:pPr>
      <w:r>
        <w:rPr>
          <w:rFonts w:ascii="Arial" w:cs="Arial" w:eastAsia="Arial" w:hAnsi="Arial"/>
          <w:sz w:val="21"/>
          <w:szCs w:val="21"/>
          <w:color w:val="auto"/>
        </w:rPr>
        <w:t>such certificates of good standing (to the extent such concept exists) from the applicable secretary of state of the state of organization of each Loan Party, certificates of resolutions or other action, incumbency certificates, certificates of incorporation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 on the Restatement Date;</w:t>
      </w:r>
    </w:p>
    <w:p>
      <w:pPr>
        <w:spacing w:after="0" w:line="151" w:lineRule="exact"/>
        <w:rPr>
          <w:rFonts w:ascii="Arial" w:cs="Arial" w:eastAsia="Arial" w:hAnsi="Arial"/>
          <w:sz w:val="21"/>
          <w:szCs w:val="21"/>
          <w:color w:val="auto"/>
        </w:rPr>
      </w:pPr>
    </w:p>
    <w:p>
      <w:pPr>
        <w:ind w:left="1740" w:hanging="499"/>
        <w:spacing w:after="0"/>
        <w:tabs>
          <w:tab w:leader="none" w:pos="1740" w:val="left"/>
        </w:tabs>
        <w:numPr>
          <w:ilvl w:val="1"/>
          <w:numId w:val="165"/>
        </w:numPr>
        <w:rPr>
          <w:rFonts w:ascii="Arial" w:cs="Arial" w:eastAsia="Arial" w:hAnsi="Arial"/>
          <w:sz w:val="21"/>
          <w:szCs w:val="21"/>
          <w:color w:val="auto"/>
        </w:rPr>
      </w:pPr>
      <w:r>
        <w:rPr>
          <w:rFonts w:ascii="Arial" w:cs="Arial" w:eastAsia="Arial" w:hAnsi="Arial"/>
          <w:sz w:val="21"/>
          <w:szCs w:val="21"/>
          <w:color w:val="auto"/>
        </w:rPr>
        <w:t>an opinion from Simpson Thacher &amp; Bartlett LLP, New York counsel to the Loan Parties;</w:t>
      </w:r>
    </w:p>
    <w:p>
      <w:pPr>
        <w:spacing w:after="0" w:line="171" w:lineRule="exact"/>
        <w:rPr>
          <w:rFonts w:ascii="Arial" w:cs="Arial" w:eastAsia="Arial" w:hAnsi="Arial"/>
          <w:sz w:val="21"/>
          <w:szCs w:val="21"/>
          <w:color w:val="auto"/>
        </w:rPr>
      </w:pPr>
    </w:p>
    <w:p>
      <w:pPr>
        <w:jc w:val="both"/>
        <w:ind w:left="620" w:firstLine="621"/>
        <w:spacing w:after="0" w:line="219" w:lineRule="auto"/>
        <w:tabs>
          <w:tab w:leader="none" w:pos="1887" w:val="left"/>
        </w:tabs>
        <w:numPr>
          <w:ilvl w:val="1"/>
          <w:numId w:val="165"/>
        </w:numPr>
        <w:rPr>
          <w:rFonts w:ascii="Arial" w:cs="Arial" w:eastAsia="Arial" w:hAnsi="Arial"/>
          <w:sz w:val="21"/>
          <w:szCs w:val="21"/>
          <w:color w:val="auto"/>
        </w:rPr>
      </w:pPr>
      <w:r>
        <w:rPr>
          <w:rFonts w:ascii="Arial" w:cs="Arial" w:eastAsia="Arial" w:hAnsi="Arial"/>
          <w:sz w:val="21"/>
          <w:szCs w:val="21"/>
          <w:color w:val="auto"/>
        </w:rPr>
        <w:t>a solvency certificate from the chief financial officer, chief accounting officer or other officer with equivalent duties of the Borrower (after giving effect to the Transactions) substantially in the form attached hereto as Exhibit E-2 (or, at the sole option and discretion of the Borrower, a third-party opinion as to the solvency of the Borrower and its Subsidiaries on a consolidated basis issued by a nationally recognized firm);</w:t>
      </w:r>
    </w:p>
    <w:p>
      <w:pPr>
        <w:spacing w:after="0" w:line="149" w:lineRule="exact"/>
        <w:rPr>
          <w:rFonts w:ascii="Arial" w:cs="Arial" w:eastAsia="Arial" w:hAnsi="Arial"/>
          <w:sz w:val="21"/>
          <w:szCs w:val="21"/>
          <w:color w:val="auto"/>
        </w:rPr>
      </w:pPr>
    </w:p>
    <w:p>
      <w:pPr>
        <w:ind w:left="620" w:firstLine="621"/>
        <w:spacing w:after="0" w:line="233" w:lineRule="auto"/>
        <w:tabs>
          <w:tab w:leader="none" w:pos="1988" w:val="left"/>
        </w:tabs>
        <w:numPr>
          <w:ilvl w:val="1"/>
          <w:numId w:val="165"/>
        </w:numPr>
        <w:rPr>
          <w:rFonts w:ascii="Arial" w:cs="Arial" w:eastAsia="Arial" w:hAnsi="Arial"/>
          <w:sz w:val="21"/>
          <w:szCs w:val="21"/>
          <w:color w:val="auto"/>
        </w:rPr>
      </w:pPr>
      <w:r>
        <w:rPr>
          <w:rFonts w:ascii="Arial" w:cs="Arial" w:eastAsia="Arial" w:hAnsi="Arial"/>
          <w:sz w:val="21"/>
          <w:szCs w:val="21"/>
          <w:color w:val="auto"/>
        </w:rPr>
        <w:t>a certificate, dated the Restatement Date and signed by a Responsible Officer of the Borrower, confirming satisfaction of the conditions set forth in Sections 4.02(i) and (ii); and</w:t>
      </w:r>
    </w:p>
    <w:p>
      <w:pPr>
        <w:spacing w:after="0" w:line="149" w:lineRule="exact"/>
        <w:rPr>
          <w:rFonts w:ascii="Arial" w:cs="Arial" w:eastAsia="Arial" w:hAnsi="Arial"/>
          <w:sz w:val="21"/>
          <w:szCs w:val="21"/>
          <w:color w:val="auto"/>
        </w:rPr>
      </w:pPr>
    </w:p>
    <w:p>
      <w:pPr>
        <w:ind w:left="1740" w:hanging="499"/>
        <w:spacing w:after="0"/>
        <w:tabs>
          <w:tab w:leader="none" w:pos="1740" w:val="left"/>
        </w:tabs>
        <w:numPr>
          <w:ilvl w:val="1"/>
          <w:numId w:val="165"/>
        </w:numPr>
        <w:rPr>
          <w:rFonts w:ascii="Arial" w:cs="Arial" w:eastAsia="Arial" w:hAnsi="Arial"/>
          <w:sz w:val="21"/>
          <w:szCs w:val="21"/>
          <w:color w:val="auto"/>
        </w:rPr>
      </w:pPr>
      <w:r>
        <w:rPr>
          <w:rFonts w:ascii="Arial" w:cs="Arial" w:eastAsia="Arial" w:hAnsi="Arial"/>
          <w:sz w:val="21"/>
          <w:szCs w:val="21"/>
          <w:color w:val="auto"/>
        </w:rPr>
        <w:t>the Perfection Certificate, duly completed and executed by the Loan Parties.</w:t>
      </w:r>
    </w:p>
    <w:p>
      <w:pPr>
        <w:spacing w:after="0" w:line="171" w:lineRule="exact"/>
        <w:rPr>
          <w:rFonts w:ascii="Arial" w:cs="Arial" w:eastAsia="Arial" w:hAnsi="Arial"/>
          <w:sz w:val="21"/>
          <w:szCs w:val="21"/>
          <w:color w:val="auto"/>
        </w:rPr>
      </w:pPr>
    </w:p>
    <w:p>
      <w:pPr>
        <w:jc w:val="both"/>
        <w:ind w:firstLine="622"/>
        <w:spacing w:after="0" w:line="251" w:lineRule="auto"/>
        <w:tabs>
          <w:tab w:leader="none" w:pos="1161"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Closing Fees and all fees and expenses due to the Lead Arrangers and their Affiliates required to be paid on the Restatement Date and (in the case of expenses) invoiced at least three Business Days before the Restatement Date (except as otherwise reasonably agreed by the Borrower) shall have been paid from the proceeds of the initial funding under the Facilities.</w:t>
      </w:r>
    </w:p>
    <w:p>
      <w:pPr>
        <w:spacing w:after="0" w:line="139" w:lineRule="exact"/>
        <w:rPr>
          <w:rFonts w:ascii="Arial" w:cs="Arial" w:eastAsia="Arial" w:hAnsi="Arial"/>
          <w:sz w:val="19"/>
          <w:szCs w:val="19"/>
          <w:color w:val="auto"/>
        </w:rPr>
      </w:pPr>
    </w:p>
    <w:p>
      <w:pPr>
        <w:jc w:val="both"/>
        <w:ind w:firstLine="622"/>
        <w:spacing w:after="0" w:line="216" w:lineRule="auto"/>
        <w:tabs>
          <w:tab w:leader="none" w:pos="1112"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Administrative Agent shall have received at least 3 Business Days prior to the Restatement Date all documentation and other information about the Borrower and the Guarantors required under applicable “</w:t>
      </w:r>
      <w:r>
        <w:rPr>
          <w:rFonts w:ascii="Arial" w:cs="Arial" w:eastAsia="Arial" w:hAnsi="Arial"/>
          <w:sz w:val="21"/>
          <w:szCs w:val="21"/>
          <w:b w:val="1"/>
          <w:bCs w:val="1"/>
          <w:color w:val="auto"/>
        </w:rPr>
        <w:t>know your customer</w:t>
      </w:r>
      <w:r>
        <w:rPr>
          <w:rFonts w:ascii="Arial" w:cs="Arial" w:eastAsia="Arial" w:hAnsi="Arial"/>
          <w:sz w:val="21"/>
          <w:szCs w:val="21"/>
          <w:color w:val="auto"/>
        </w:rPr>
        <w:t>” and anti-money laundering rules and regulations, including the USA PATRIOT Act that has been requested by the Administrative Agent in writing at least 10 Business Days prior to the Restatement Date. If the Borrower qualifies as a “legal entity customer” under the Beneficial Ownership Regulation, the Borrower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154</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316" w:lineRule="exact"/>
        <w:rPr>
          <w:sz w:val="20"/>
          <w:szCs w:val="20"/>
          <w:color w:val="auto"/>
        </w:rPr>
      </w:pPr>
    </w:p>
    <w:p>
      <w:pPr>
        <w:ind w:firstLine="6"/>
        <w:spacing w:after="0" w:line="250" w:lineRule="auto"/>
        <w:rPr>
          <w:sz w:val="20"/>
          <w:szCs w:val="20"/>
          <w:color w:val="auto"/>
        </w:rPr>
      </w:pPr>
      <w:r>
        <w:rPr>
          <w:rFonts w:ascii="Arial" w:cs="Arial" w:eastAsia="Arial" w:hAnsi="Arial"/>
          <w:sz w:val="20"/>
          <w:szCs w:val="20"/>
          <w:color w:val="auto"/>
        </w:rPr>
        <w:t>delivered to the Administrative Agent, at least 3 Business Days prior to the Restatement Date, a Beneficial Ownership Certification to the extent requested by the Administrative Agent at least 10 Business Days prior to the Restatement Date.</w:t>
      </w:r>
    </w:p>
    <w:p>
      <w:pPr>
        <w:spacing w:after="0" w:line="165" w:lineRule="exact"/>
        <w:rPr>
          <w:sz w:val="20"/>
          <w:szCs w:val="20"/>
          <w:color w:val="auto"/>
        </w:rPr>
      </w:pPr>
    </w:p>
    <w:p>
      <w:pPr>
        <w:ind w:firstLine="622"/>
        <w:spacing w:after="0" w:line="233" w:lineRule="auto"/>
        <w:tabs>
          <w:tab w:leader="none" w:pos="111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The Restatement Date Refinancing shall have been consummated, or shall be consummated substantially simultaneously with the borrowing of the Restatement Date Term Loans on the Restatement Date.</w:t>
      </w:r>
    </w:p>
    <w:p>
      <w:pPr>
        <w:spacing w:after="0" w:line="150"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Without limiting the generality of the provisions of Section 9.03(b),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Date specifying its objection thereto.</w:t>
      </w:r>
    </w:p>
    <w:p>
      <w:pPr>
        <w:spacing w:after="0" w:line="151" w:lineRule="exact"/>
        <w:rPr>
          <w:sz w:val="20"/>
          <w:szCs w:val="20"/>
          <w:color w:val="auto"/>
        </w:rPr>
      </w:pPr>
    </w:p>
    <w:p>
      <w:pPr>
        <w:jc w:val="both"/>
        <w:ind w:firstLine="619"/>
        <w:spacing w:after="0" w:line="227"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i w:val="1"/>
          <w:iCs w:val="1"/>
          <w:color w:val="auto"/>
        </w:rPr>
        <w:t>Conditions to All Credit Extensions</w:t>
      </w:r>
      <w:r>
        <w:rPr>
          <w:rFonts w:ascii="Arial" w:cs="Arial" w:eastAsia="Arial" w:hAnsi="Arial"/>
          <w:sz w:val="20"/>
          <w:szCs w:val="20"/>
          <w:color w:val="auto"/>
        </w:rPr>
        <w:t>. The obligation of each Lender to honor any Request for Credit Extension (other than a Committed Loan Notice requesting only a conversion of Loans to the other Type, or a continuation of Eurocurrency Rate Loans or Term SOFR Loans and other than a Request for Credit Extension in connection with an Incremental Amendment, which shall be governed by Section 2.14(d))), is subject to the following conditions precedent, in each case, subject to the provisions set forth herein in connection with Limited Condition Transactions:</w:t>
      </w:r>
    </w:p>
    <w:p>
      <w:pPr>
        <w:spacing w:after="0" w:line="150" w:lineRule="exact"/>
        <w:rPr>
          <w:sz w:val="20"/>
          <w:szCs w:val="20"/>
          <w:color w:val="auto"/>
        </w:rPr>
      </w:pPr>
    </w:p>
    <w:p>
      <w:pPr>
        <w:jc w:val="both"/>
        <w:ind w:left="620" w:firstLine="621"/>
        <w:spacing w:after="0" w:line="255" w:lineRule="auto"/>
        <w:tabs>
          <w:tab w:leader="none" w:pos="165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representations and warranties of each Loan Party set forth in Article 5 and in each other Loan Document shall be true and correct in all material respects (except that any representation and warranty that is qualified as to “</w:t>
      </w:r>
      <w:r>
        <w:rPr>
          <w:rFonts w:ascii="Arial" w:cs="Arial" w:eastAsia="Arial" w:hAnsi="Arial"/>
          <w:sz w:val="18"/>
          <w:szCs w:val="18"/>
          <w:b w:val="1"/>
          <w:bCs w:val="1"/>
          <w:color w:val="auto"/>
        </w:rPr>
        <w:t>materiality</w:t>
      </w:r>
      <w:r>
        <w:rPr>
          <w:rFonts w:ascii="Arial" w:cs="Arial" w:eastAsia="Arial" w:hAnsi="Arial"/>
          <w:sz w:val="18"/>
          <w:szCs w:val="18"/>
          <w:color w:val="auto"/>
        </w:rPr>
        <w:t>” or “</w:t>
      </w:r>
      <w:r>
        <w:rPr>
          <w:rFonts w:ascii="Arial" w:cs="Arial" w:eastAsia="Arial" w:hAnsi="Arial"/>
          <w:sz w:val="18"/>
          <w:szCs w:val="18"/>
          <w:b w:val="1"/>
          <w:bCs w:val="1"/>
          <w:color w:val="auto"/>
        </w:rPr>
        <w:t>Material Adverse Effect</w:t>
      </w:r>
      <w:r>
        <w:rPr>
          <w:rFonts w:ascii="Arial" w:cs="Arial" w:eastAsia="Arial" w:hAnsi="Arial"/>
          <w:sz w:val="18"/>
          <w:szCs w:val="18"/>
          <w:color w:val="auto"/>
        </w:rPr>
        <w:t>” shall be true and correct in all respects as so qualified)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w:t>
      </w:r>
    </w:p>
    <w:p>
      <w:pPr>
        <w:spacing w:after="0" w:line="138" w:lineRule="exact"/>
        <w:rPr>
          <w:rFonts w:ascii="Arial" w:cs="Arial" w:eastAsia="Arial" w:hAnsi="Arial"/>
          <w:sz w:val="18"/>
          <w:szCs w:val="18"/>
          <w:color w:val="auto"/>
        </w:rPr>
      </w:pPr>
    </w:p>
    <w:p>
      <w:pPr>
        <w:ind w:left="1700" w:hanging="459"/>
        <w:spacing w:after="0"/>
        <w:tabs>
          <w:tab w:leader="none" w:pos="17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w:t>
      </w:r>
    </w:p>
    <w:p>
      <w:pPr>
        <w:spacing w:after="0" w:line="1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1"/>
          <w:szCs w:val="21"/>
          <w:color w:val="auto"/>
        </w:rPr>
        <w:t>therefrom.</w:t>
      </w:r>
    </w:p>
    <w:p>
      <w:pPr>
        <w:spacing w:after="0" w:line="153" w:lineRule="exact"/>
        <w:rPr>
          <w:rFonts w:ascii="Arial" w:cs="Arial" w:eastAsia="Arial" w:hAnsi="Arial"/>
          <w:sz w:val="18"/>
          <w:szCs w:val="18"/>
          <w:color w:val="auto"/>
        </w:rPr>
      </w:pPr>
    </w:p>
    <w:p>
      <w:pPr>
        <w:ind w:left="620" w:firstLine="621"/>
        <w:spacing w:after="0" w:line="233" w:lineRule="auto"/>
        <w:tabs>
          <w:tab w:leader="none" w:pos="176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Administrative Agent and, if applicable, the relevant L/C Issuer or the Swing Line Lender shall have received a Request for Credit Extension in accordance with the requirements hereof.</w:t>
      </w:r>
    </w:p>
    <w:p>
      <w:pPr>
        <w:spacing w:after="0" w:line="150"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Each Request for Credit Extension (other than a Committed Loan Notice requesting only a conversion of Loans to the other Type, or a continuation of Eurocurrency Rate Loans or Term SOFR Loans) submitted by the Borrower shall be deemed to be a representation and warranty that the conditions specified in Sections 4.02(i) and (ii) (or, in the case of a Request for Credit Extension in connection with an Incremental Amendment, the conditions specified in Section 2.14(d)) have been satisfied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155</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5</w:t>
      </w:r>
    </w:p>
    <w:p>
      <w:pPr>
        <w:jc w:val="center"/>
        <w:spacing w:after="0"/>
        <w:rPr>
          <w:sz w:val="20"/>
          <w:szCs w:val="20"/>
          <w:color w:val="auto"/>
        </w:rPr>
      </w:pPr>
      <w:r>
        <w:rPr>
          <w:rFonts w:ascii="Arial" w:cs="Arial" w:eastAsia="Arial" w:hAnsi="Arial"/>
          <w:sz w:val="21"/>
          <w:szCs w:val="21"/>
          <w:color w:val="auto"/>
        </w:rPr>
        <w:t>REPRESENTATIONS AND WARRANTIES</w:t>
      </w:r>
    </w:p>
    <w:p>
      <w:pPr>
        <w:spacing w:after="0" w:line="153"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The Borrower, Holdings (solely to the extent applicable to it) and each of the Subsidiary Guarantors party hereto represent and warrant to the Agents and the Lenders at the time of each Credit Extension that:</w:t>
      </w:r>
    </w:p>
    <w:p>
      <w:pPr>
        <w:spacing w:after="0" w:line="150"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i w:val="1"/>
          <w:iCs w:val="1"/>
          <w:color w:val="auto"/>
        </w:rPr>
        <w:t>Existence, Qualification and Power; Compliance with Laws</w:t>
      </w:r>
      <w:r>
        <w:rPr>
          <w:rFonts w:ascii="Arial" w:cs="Arial" w:eastAsia="Arial" w:hAnsi="Arial"/>
          <w:sz w:val="20"/>
          <w:szCs w:val="20"/>
          <w:color w:val="auto"/>
        </w:rPr>
        <w:t>. Each Loan Party and each Restricted Subsidiary (a) is a Person duly organized or formed, validly existing and in good standing (where relevant) under the Laws of the jurisdiction of its incorporation or organization, (b) has all requisite power and authority to (i) own or lease its assets and carry on its business as currently conducted and (ii) in the case of the Loan Parties, execute, deliver and perform its obligations under the Loan Documents to which it is a party,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governmental licenses, authorizations, consents and approvals to operate its business as currently conducted; except in each case, referred to in clause (a) (other than with respect to the Borrower), (b)(i) (other than with respect to the Borrower), (c), (d) and (e), to the extent that failure to do so would not reasonably be expected to have a Material Adverse Effect.</w:t>
      </w:r>
    </w:p>
    <w:p>
      <w:pPr>
        <w:spacing w:after="0" w:line="151"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i w:val="1"/>
          <w:iCs w:val="1"/>
          <w:color w:val="auto"/>
        </w:rPr>
        <w:t>Authorization; No Contravention</w:t>
      </w:r>
      <w:r>
        <w:rPr>
          <w:rFonts w:ascii="Arial" w:cs="Arial" w:eastAsia="Arial" w:hAnsi="Arial"/>
          <w:sz w:val="19"/>
          <w:szCs w:val="19"/>
          <w:color w:val="auto"/>
        </w:rPr>
        <w:t>. The execution, delivery and performance by each Loan Party of each Loan Document to which such Person is a party are within such Loan Party’s corporate or other powers, (a) have been duly authorized by all necessary corporate or other organizational action, and (b) do not (i) contravene the terms of any of such Person’s Organizational Documents, (ii) conflict with or result in any breach or contravention of, or the creation of any Lien under (other than as permitted by Section 7.01), or require any payment to be made under (x) any Contractual Obligation to which such Person is a party or affecting such Person or the properties of such Person or any of its Subsidiaries or (y) any material order, injunction, writ or decree of any Governmental Authority or any arbitral award to which such Person or its property is subject, or (iii) violate any applicable Law; except with respect to any conflict, breach or contravention, payment (but not creation of Liens) or violation referred to in clause (b)(ii) and (b)</w:t>
      </w:r>
    </w:p>
    <w:p>
      <w:pPr>
        <w:ind w:firstLine="3"/>
        <w:spacing w:after="0" w:line="224" w:lineRule="auto"/>
        <w:tabs>
          <w:tab w:leader="none" w:pos="382" w:val="left"/>
        </w:tabs>
        <w:numPr>
          <w:ilvl w:val="0"/>
          <w:numId w:val="169"/>
        </w:numPr>
        <w:rPr>
          <w:rFonts w:ascii="Arial" w:cs="Arial" w:eastAsia="Arial" w:hAnsi="Arial"/>
          <w:sz w:val="21"/>
          <w:szCs w:val="21"/>
          <w:color w:val="auto"/>
        </w:rPr>
      </w:pPr>
      <w:r>
        <w:rPr>
          <w:rFonts w:ascii="Arial" w:cs="Arial" w:eastAsia="Arial" w:hAnsi="Arial"/>
          <w:sz w:val="21"/>
          <w:szCs w:val="21"/>
          <w:color w:val="auto"/>
        </w:rPr>
        <w:t>above, to the extent that such violation, conflict, breach, contravention or payment would not reasonably be expected to have a Material Adverse Effect.</w:t>
      </w:r>
    </w:p>
    <w:p>
      <w:pPr>
        <w:spacing w:after="0" w:line="150"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i w:val="1"/>
          <w:iCs w:val="1"/>
          <w:color w:val="auto"/>
        </w:rPr>
        <w:t>Governmental Authorization; Other Consents</w:t>
      </w:r>
      <w:r>
        <w:rPr>
          <w:rFonts w:ascii="Arial" w:cs="Arial" w:eastAsia="Arial" w:hAnsi="Arial"/>
          <w:sz w:val="20"/>
          <w:szCs w:val="20"/>
          <w:color w:val="auto"/>
        </w:rPr>
        <w:t>. No material approval, consent, exemption, authorization, or other action by, or notice to, or filing with, any Governmental Authority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recordings and registrations with Governmental Authorities necessary to perfect the Liens on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156</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316" w:lineRule="exact"/>
        <w:rPr>
          <w:sz w:val="20"/>
          <w:szCs w:val="20"/>
          <w:color w:val="auto"/>
        </w:rPr>
      </w:pPr>
    </w:p>
    <w:p>
      <w:pPr>
        <w:jc w:val="both"/>
        <w:ind w:firstLine="6"/>
        <w:spacing w:after="0" w:line="216" w:lineRule="auto"/>
        <w:rPr>
          <w:sz w:val="20"/>
          <w:szCs w:val="20"/>
          <w:color w:val="auto"/>
        </w:rPr>
      </w:pPr>
      <w:r>
        <w:rPr>
          <w:rFonts w:ascii="Arial" w:cs="Arial" w:eastAsia="Arial" w:hAnsi="Arial"/>
          <w:sz w:val="21"/>
          <w:szCs w:val="21"/>
          <w:color w:val="auto"/>
        </w:rPr>
        <w:t>granted by the Loan Parties in favor of the Secured Parties, (ii) the approvals, consents, exemptions, authorizations, actions, notices and filings which have been duly obtained, taken, given or made and are in full force and effect (except to the extent not required to be obtained, taken, given or made or be in full force and effect pursuant to the Collateral and Guarantee Requirement) and (iii) those approvals, consents, exemptions, authorizations or other actions, notices or filings, the failure of which to obtain or make would not reasonably be expected to have a Material Adverse Effect.</w:t>
      </w:r>
    </w:p>
    <w:p>
      <w:pPr>
        <w:spacing w:after="0" w:line="177"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Execution, Delivery and Enforceability</w:t>
      </w:r>
      <w:r>
        <w:rPr>
          <w:rFonts w:ascii="Arial" w:cs="Arial" w:eastAsia="Arial" w:hAnsi="Arial"/>
          <w:sz w:val="18"/>
          <w:szCs w:val="18"/>
          <w:color w:val="auto"/>
        </w:rPr>
        <w:t>. This Agreement and each other Loan Document has been duly executed and delivered by each Loan Party that is a party thereto. This Agreement and each other Loan Document constitutes, a legal, valid and binding obligation of such Loan Party, enforceable against each Loan Party that is a party thereto in accordance with its terms, except as such enforceability may be limited by (i) Debtor Relief Laws and by general principles of equity, (ii) the need for filings, recordations and registrations necessary to create or perfect the Liens on the Collateral granted by the Loan Parties in favor of the Secured Parties and (iii) the effect of foreign Laws, rules and regulations as they relate to pledges, if any, of Equity Interests in Foreign Subsidiaries.</w:t>
      </w:r>
    </w:p>
    <w:p>
      <w:pPr>
        <w:spacing w:after="0" w:line="140"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i w:val="1"/>
          <w:iCs w:val="1"/>
          <w:color w:val="auto"/>
        </w:rPr>
        <w:t>Financial Statements; No Material Adverse Effect</w:t>
      </w:r>
      <w:r>
        <w:rPr>
          <w:rFonts w:ascii="Arial" w:cs="Arial" w:eastAsia="Arial" w:hAnsi="Arial"/>
          <w:sz w:val="21"/>
          <w:szCs w:val="21"/>
          <w:color w:val="auto"/>
        </w:rPr>
        <w:t>. (a) The Audited Financial Statements and the Unaudited Financial Statements fairly present in all material respects the financial condition of the Borrower and its Subsidiaries as of the dates thereof and their results of operations for the periods covered thereby in accordance with GAAP consistently applied throughout the periods covered thereby, except as otherwise expressly noted therein.</w:t>
      </w:r>
    </w:p>
    <w:p>
      <w:pPr>
        <w:spacing w:after="0" w:line="150" w:lineRule="exact"/>
        <w:rPr>
          <w:sz w:val="20"/>
          <w:szCs w:val="20"/>
          <w:color w:val="auto"/>
        </w:rPr>
      </w:pPr>
    </w:p>
    <w:p>
      <w:pPr>
        <w:jc w:val="both"/>
        <w:ind w:firstLine="622"/>
        <w:spacing w:after="0" w:line="252" w:lineRule="auto"/>
        <w:tabs>
          <w:tab w:leader="none" w:pos="108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forecasts of consolidated balance sheets and consolidated statements of income and cash flow of the Borrower and its Subsidiaries which have been furnished to the Administrative Agent prior to the Restatement Date have been prepared in good faith on the basis of the assumptions stated therein, which assumptions were believed to be reasonable at the time of preparation of such forecasts, it being understood that such forecasts are as to future events and not to be viewed as facts, such forecasts are subject to significant uncertainties and contingencies, many of which are beyond the Borrower’s control, that no assurance can be given that any particular forecasts will be realized and actual results may vary from such forecasts and that such variations may be material.</w:t>
      </w:r>
    </w:p>
    <w:p>
      <w:pPr>
        <w:spacing w:after="0" w:line="139" w:lineRule="exact"/>
        <w:rPr>
          <w:rFonts w:ascii="Arial" w:cs="Arial" w:eastAsia="Arial" w:hAnsi="Arial"/>
          <w:sz w:val="18"/>
          <w:szCs w:val="18"/>
          <w:color w:val="auto"/>
        </w:rPr>
      </w:pPr>
    </w:p>
    <w:p>
      <w:pPr>
        <w:ind w:firstLine="622"/>
        <w:spacing w:after="0" w:line="233" w:lineRule="auto"/>
        <w:tabs>
          <w:tab w:leader="none" w:pos="1075" w:val="left"/>
        </w:tabs>
        <w:numPr>
          <w:ilvl w:val="0"/>
          <w:numId w:val="170"/>
        </w:numPr>
        <w:rPr>
          <w:rFonts w:ascii="Arial" w:cs="Arial" w:eastAsia="Arial" w:hAnsi="Arial"/>
          <w:sz w:val="21"/>
          <w:szCs w:val="21"/>
          <w:color w:val="auto"/>
        </w:rPr>
      </w:pPr>
      <w:r>
        <w:rPr>
          <w:rFonts w:ascii="Arial" w:cs="Arial" w:eastAsia="Arial" w:hAnsi="Arial"/>
          <w:sz w:val="21"/>
          <w:szCs w:val="21"/>
          <w:color w:val="auto"/>
        </w:rPr>
        <w:t>Since December 31, 2021, there has been no event or circumstance, either individually or in the aggregate, that has had or would reasonably be expected to have a Material Adverse Effect.</w:t>
      </w:r>
    </w:p>
    <w:p>
      <w:pPr>
        <w:spacing w:after="0" w:line="149" w:lineRule="exact"/>
        <w:rPr>
          <w:rFonts w:ascii="Arial" w:cs="Arial" w:eastAsia="Arial" w:hAnsi="Arial"/>
          <w:sz w:val="21"/>
          <w:szCs w:val="21"/>
          <w:color w:val="auto"/>
        </w:rPr>
      </w:pPr>
    </w:p>
    <w:p>
      <w:pPr>
        <w:jc w:val="both"/>
        <w:ind w:firstLine="622"/>
        <w:spacing w:after="0" w:line="219" w:lineRule="auto"/>
        <w:tabs>
          <w:tab w:leader="none" w:pos="1059" w:val="left"/>
        </w:tabs>
        <w:numPr>
          <w:ilvl w:val="0"/>
          <w:numId w:val="170"/>
        </w:numPr>
        <w:rPr>
          <w:rFonts w:ascii="Arial" w:cs="Arial" w:eastAsia="Arial" w:hAnsi="Arial"/>
          <w:sz w:val="21"/>
          <w:szCs w:val="21"/>
          <w:color w:val="auto"/>
        </w:rPr>
      </w:pPr>
      <w:r>
        <w:rPr>
          <w:rFonts w:ascii="Arial" w:cs="Arial" w:eastAsia="Arial" w:hAnsi="Arial"/>
          <w:sz w:val="21"/>
          <w:szCs w:val="21"/>
          <w:color w:val="auto"/>
        </w:rPr>
        <w:t>As of the Restatement Date, none of the Borrower and its Restricted Subsidiaries has any Indebtedness or other obligations or liabilities, direct or contingent (other than (i) the liabilities reflected on Schedule 5.05, (ii) obligations arising under the Loan Documents and (iii) liabilities incurred in the ordinary course of business that, either individually or in the aggregate, have not had nor would reasonably be expected to have a Material Adverse Effect).</w:t>
      </w:r>
    </w:p>
    <w:p>
      <w:pPr>
        <w:spacing w:after="0" w:line="150" w:lineRule="exact"/>
        <w:rPr>
          <w:sz w:val="20"/>
          <w:szCs w:val="20"/>
          <w:color w:val="auto"/>
        </w:rPr>
      </w:pPr>
    </w:p>
    <w:p>
      <w:pPr>
        <w:ind w:firstLine="619"/>
        <w:spacing w:after="0" w:line="233"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i w:val="1"/>
          <w:iCs w:val="1"/>
          <w:color w:val="auto"/>
        </w:rPr>
        <w:t>Litigation</w:t>
      </w:r>
      <w:r>
        <w:rPr>
          <w:rFonts w:ascii="Arial" w:cs="Arial" w:eastAsia="Arial" w:hAnsi="Arial"/>
          <w:sz w:val="21"/>
          <w:szCs w:val="21"/>
          <w:color w:val="auto"/>
        </w:rPr>
        <w:t>. Except as set forth on Schedule 5.06, there are no actions, suits, proceedings, claims or disputes pending or, to the knowledge of the Borrower, threatened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157</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316"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color w:val="auto"/>
        </w:rPr>
        <w:t>writing, at law, in equity, in arbitration or before any Governmental Authority, by or against the Borrower or any of its Restricted Subsidiaries or against any of their properties or revenues that either individually or in the aggregate, would reasonably be expected to have a Material Adverse Effect.</w:t>
      </w:r>
    </w:p>
    <w:p>
      <w:pPr>
        <w:spacing w:after="0" w:line="175"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20"/>
          <w:szCs w:val="20"/>
          <w:color w:val="auto"/>
        </w:rPr>
        <w:t xml:space="preserve">Section 5.07. </w:t>
      </w:r>
      <w:r>
        <w:rPr>
          <w:rFonts w:ascii="Arial" w:cs="Arial" w:eastAsia="Arial" w:hAnsi="Arial"/>
          <w:sz w:val="20"/>
          <w:szCs w:val="20"/>
          <w:i w:val="1"/>
          <w:iCs w:val="1"/>
          <w:color w:val="auto"/>
        </w:rPr>
        <w:t>Ownership of Property; Liens; Real Property</w:t>
      </w:r>
      <w:r>
        <w:rPr>
          <w:rFonts w:ascii="Arial" w:cs="Arial" w:eastAsia="Arial" w:hAnsi="Arial"/>
          <w:sz w:val="20"/>
          <w:szCs w:val="20"/>
          <w:color w:val="auto"/>
        </w:rPr>
        <w:t>. (a) The Borrower and each of its Restricted Subsidiaries has good record title to, or valid leasehold interests in, or easements or other limited property interests in, all Real Property necessary in the ordinary conduct of its business, free and clear of all Liens except as set forth on Schedule 5.07 hereto and except for minor defects in title that do not materially interfere with its ability to conduct its business or to utilize such assets for their intended purposes and Liens permitted by Section 7.01 and except where the failure to have such title or other interest would not reasonably be expected to have, individually or in the aggregate, a Material Adverse Effect.</w:t>
      </w:r>
    </w:p>
    <w:p>
      <w:pPr>
        <w:spacing w:after="0" w:line="133" w:lineRule="exact"/>
        <w:rPr>
          <w:sz w:val="20"/>
          <w:szCs w:val="20"/>
          <w:color w:val="auto"/>
        </w:rPr>
      </w:pPr>
    </w:p>
    <w:p>
      <w:pPr>
        <w:ind w:left="620"/>
        <w:spacing w:after="0"/>
        <w:tabs>
          <w:tab w:leader="none" w:pos="1920" w:val="left"/>
        </w:tabs>
        <w:rPr>
          <w:sz w:val="20"/>
          <w:szCs w:val="20"/>
          <w:color w:val="auto"/>
        </w:rPr>
      </w:pPr>
      <w:r>
        <w:rPr>
          <w:rFonts w:ascii="Arial" w:cs="Arial" w:eastAsia="Arial" w:hAnsi="Arial"/>
          <w:sz w:val="21"/>
          <w:szCs w:val="21"/>
          <w:color w:val="auto"/>
        </w:rPr>
        <w:t>Section 5.08.</w:t>
      </w:r>
      <w:r>
        <w:rPr>
          <w:sz w:val="20"/>
          <w:szCs w:val="20"/>
          <w:color w:val="auto"/>
        </w:rPr>
        <w:tab/>
      </w:r>
      <w:r>
        <w:rPr>
          <w:rFonts w:ascii="Arial" w:cs="Arial" w:eastAsia="Arial" w:hAnsi="Arial"/>
          <w:sz w:val="18"/>
          <w:szCs w:val="18"/>
          <w:i w:val="1"/>
          <w:iCs w:val="1"/>
          <w:color w:val="auto"/>
        </w:rPr>
        <w:t>Environmental Matters</w:t>
      </w:r>
      <w:r>
        <w:rPr>
          <w:rFonts w:ascii="Arial" w:cs="Arial" w:eastAsia="Arial" w:hAnsi="Arial"/>
          <w:sz w:val="18"/>
          <w:szCs w:val="18"/>
          <w:color w:val="auto"/>
        </w:rPr>
        <w:t>. Except as would not reasonably be expected to have, individually or in the aggregate, a</w:t>
      </w:r>
    </w:p>
    <w:p>
      <w:pPr>
        <w:spacing w:after="0"/>
        <w:rPr>
          <w:sz w:val="20"/>
          <w:szCs w:val="20"/>
          <w:color w:val="auto"/>
        </w:rPr>
      </w:pPr>
      <w:r>
        <w:rPr>
          <w:rFonts w:ascii="Arial" w:cs="Arial" w:eastAsia="Arial" w:hAnsi="Arial"/>
          <w:sz w:val="21"/>
          <w:szCs w:val="21"/>
          <w:color w:val="auto"/>
        </w:rPr>
        <w:t>Material Adverse Effect:</w:t>
      </w:r>
    </w:p>
    <w:p>
      <w:pPr>
        <w:spacing w:after="0" w:line="153" w:lineRule="exact"/>
        <w:rPr>
          <w:sz w:val="20"/>
          <w:szCs w:val="20"/>
          <w:color w:val="auto"/>
        </w:rPr>
      </w:pPr>
    </w:p>
    <w:p>
      <w:pPr>
        <w:jc w:val="both"/>
        <w:ind w:firstLine="622"/>
        <w:spacing w:after="0" w:line="230" w:lineRule="auto"/>
        <w:tabs>
          <w:tab w:leader="none" w:pos="116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each Loan Party and its Restricted Subsidiaries and their respective properties and operations are and, other than any matters which have been finally resolved without further liability or obligation, have been in compliance with all Environmental Laws, which includes obtaining, maintaining and complying with all applicable Environmental Permits required under such Environmental Laws to carry on the business of the Loan Parties and their respective Restricted Subsidiaries;</w:t>
      </w:r>
    </w:p>
    <w:p>
      <w:pPr>
        <w:spacing w:after="0" w:line="149" w:lineRule="exact"/>
        <w:rPr>
          <w:rFonts w:ascii="Arial" w:cs="Arial" w:eastAsia="Arial" w:hAnsi="Arial"/>
          <w:sz w:val="20"/>
          <w:szCs w:val="20"/>
          <w:color w:val="auto"/>
        </w:rPr>
      </w:pPr>
    </w:p>
    <w:p>
      <w:pPr>
        <w:jc w:val="both"/>
        <w:ind w:firstLine="622"/>
        <w:spacing w:after="0" w:line="216" w:lineRule="auto"/>
        <w:tabs>
          <w:tab w:leader="none" w:pos="1134" w:val="left"/>
        </w:tabs>
        <w:numPr>
          <w:ilvl w:val="0"/>
          <w:numId w:val="171"/>
        </w:numPr>
        <w:rPr>
          <w:rFonts w:ascii="Arial" w:cs="Arial" w:eastAsia="Arial" w:hAnsi="Arial"/>
          <w:sz w:val="21"/>
          <w:szCs w:val="21"/>
          <w:color w:val="auto"/>
        </w:rPr>
      </w:pPr>
      <w:r>
        <w:rPr>
          <w:rFonts w:ascii="Arial" w:cs="Arial" w:eastAsia="Arial" w:hAnsi="Arial"/>
          <w:sz w:val="21"/>
          <w:szCs w:val="21"/>
          <w:color w:val="auto"/>
        </w:rPr>
        <w:t>none of the Loan Parties or their respective Restricted Subsidiaries have received any written notice that alleges any of them is in violation of or potentially liable under any Environmental Laws and none of the Loan Parties or their respective Restricted Subsidiaries nor any of the Real Property owned, leased or operated by any Loan Party or its Restricted Subsidiaries is the subject of any claims, investigations, liens, demands, or judicial, administrative or arbitral proceedings pending or, to the knowledge of the Borrower, threatened, under or relating to any Environmental Law;</w:t>
      </w:r>
    </w:p>
    <w:p>
      <w:pPr>
        <w:spacing w:after="0" w:line="150" w:lineRule="exact"/>
        <w:rPr>
          <w:rFonts w:ascii="Arial" w:cs="Arial" w:eastAsia="Arial" w:hAnsi="Arial"/>
          <w:sz w:val="21"/>
          <w:szCs w:val="21"/>
          <w:color w:val="auto"/>
        </w:rPr>
      </w:pPr>
    </w:p>
    <w:p>
      <w:pPr>
        <w:jc w:val="both"/>
        <w:ind w:firstLine="622"/>
        <w:spacing w:after="0" w:line="251" w:lineRule="auto"/>
        <w:tabs>
          <w:tab w:leader="none" w:pos="118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there has been no Release of Hazardous Materials on, at, under or from any Real Property or facilities currently or formerly owned, leased or operated by any Loan Party or its Restricted Subsidiaries, or arising out of the conduct of the Loan Parties or their respective Restricted Subsidiaries, in each case that would reasonably be expected to result in any Environmental Liability;</w:t>
      </w:r>
    </w:p>
    <w:p>
      <w:pPr>
        <w:spacing w:after="0" w:line="139" w:lineRule="exact"/>
        <w:rPr>
          <w:rFonts w:ascii="Arial" w:cs="Arial" w:eastAsia="Arial" w:hAnsi="Arial"/>
          <w:sz w:val="19"/>
          <w:szCs w:val="19"/>
          <w:color w:val="auto"/>
        </w:rPr>
      </w:pPr>
    </w:p>
    <w:p>
      <w:pPr>
        <w:jc w:val="both"/>
        <w:ind w:firstLine="622"/>
        <w:spacing w:after="0" w:line="227" w:lineRule="auto"/>
        <w:tabs>
          <w:tab w:leader="none" w:pos="111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there are no facts, circumstances or conditions arising out of or relating to the Loan Parties or their respective Restricted Subsidiaries or any of their respective operations or any facilities currently or, to the knowledge of the Borrower, formerly owned, leased or operated by any of the Loan Parties or their respective Restricted Subsidiaries that would reasonably be expected to require investigation, remedial activity, corrective action or cleanup by, or on behalf of, any Loan Party or its Restricted Subsidiaries or would reasonably be expected to result in an Environmental Liability;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158</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24" w:lineRule="auto"/>
        <w:tabs>
          <w:tab w:leader="none" w:pos="1125"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the Borrower has made available to the Administrative Agent all environmental reports, studies, assessments, audits, or other similar documents containing information regarding any Environmental Liability that are in the possession of any Loan Party or its Subsidiary.</w:t>
      </w:r>
    </w:p>
    <w:p>
      <w:pPr>
        <w:spacing w:after="0" w:line="149"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i w:val="1"/>
          <w:iCs w:val="1"/>
          <w:color w:val="auto"/>
        </w:rPr>
        <w:t>Taxes</w:t>
      </w:r>
      <w:r>
        <w:rPr>
          <w:rFonts w:ascii="Arial" w:cs="Arial" w:eastAsia="Arial" w:hAnsi="Arial"/>
          <w:sz w:val="21"/>
          <w:szCs w:val="21"/>
          <w:color w:val="auto"/>
        </w:rPr>
        <w:t>. Except as would not, either individually or in the aggregate, reasonably be expected to result in a Material Adverse Effect, each of the Loan Parties and their Subsidiaries have filed all tax returns required to be filed, and have paid all Taxes levied or imposed upon them or their properties, that are due and payable (including in their capacity as a withholding agent), except those that are being contested in good faith by appropriate proceedings diligently conducted. There is no proposed Tax deficiency or assessment known to any of the Loan Parties against any of the Loan Parties that would, if made, individually or in the aggregate, have a Material Adverse Effect.</w:t>
      </w:r>
    </w:p>
    <w:p>
      <w:pPr>
        <w:spacing w:after="0" w:line="152"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 xml:space="preserve">Section 5.10. </w:t>
      </w:r>
      <w:r>
        <w:rPr>
          <w:rFonts w:ascii="Arial" w:cs="Arial" w:eastAsia="Arial" w:hAnsi="Arial"/>
          <w:sz w:val="21"/>
          <w:szCs w:val="21"/>
          <w:i w:val="1"/>
          <w:iCs w:val="1"/>
          <w:color w:val="auto"/>
        </w:rPr>
        <w:t>ERISA Compliance</w:t>
      </w:r>
      <w:r>
        <w:rPr>
          <w:rFonts w:ascii="Arial" w:cs="Arial" w:eastAsia="Arial" w:hAnsi="Arial"/>
          <w:sz w:val="21"/>
          <w:szCs w:val="21"/>
          <w:color w:val="auto"/>
        </w:rPr>
        <w:t>. (a) Except as would not, either individually or in the aggregate, reasonably be expected to result in a Material Adverse Effect, each Plan maintained by a Loan Party, any Restricted Subsidiary or any ERISA Affiliate is in compliance with the applicable provisions of ERISA and the Code and the regulations and published interpretations thereunder and other federal or state Laws.</w:t>
      </w:r>
    </w:p>
    <w:p>
      <w:pPr>
        <w:spacing w:after="0" w:line="150" w:lineRule="exact"/>
        <w:rPr>
          <w:sz w:val="20"/>
          <w:szCs w:val="20"/>
          <w:color w:val="auto"/>
        </w:rPr>
      </w:pPr>
    </w:p>
    <w:p>
      <w:pPr>
        <w:jc w:val="both"/>
        <w:ind w:firstLine="622"/>
        <w:spacing w:after="0" w:line="248" w:lineRule="auto"/>
        <w:tabs>
          <w:tab w:leader="none" w:pos="112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No ERISA Event has occurred during the six-year period prior to the date on which this representation is made or deemed made or is reasonably expected to occur; (ii) neither any Loan Party nor any ERISA Affiliate has incurred, or reasonably expects to incur, any liability under Title IV of ERISA with respect to any Pension Plan (other than premiums due and not delinquent under Section 4007 of ERISA); (iii) neither any Loan Party nor any ERISA Affiliate has incurred, or reasonably expects to incur, any liability (and no event has occurred which, with the giving of notice under Section 4219 of ERISA, would result in such liability) under Section 4201 of ERISA with respect to a Multiemployer Plan; and (iv) neither any Loan Party nor any ERISA Affiliate has engaged in a transaction that would be subject to Section 4069 or Section 4212(c) of ERISA, except, with respect to each of the foregoing clauses of this Section 5.10(b), as would not reasonably be expected, individually or in the aggregate, to result in a Material Adverse Effect.</w:t>
      </w:r>
    </w:p>
    <w:p>
      <w:pPr>
        <w:spacing w:after="0" w:line="145" w:lineRule="exact"/>
        <w:rPr>
          <w:rFonts w:ascii="Arial" w:cs="Arial" w:eastAsia="Arial" w:hAnsi="Arial"/>
          <w:sz w:val="18"/>
          <w:szCs w:val="18"/>
          <w:color w:val="auto"/>
        </w:rPr>
      </w:pPr>
    </w:p>
    <w:p>
      <w:pPr>
        <w:jc w:val="both"/>
        <w:ind w:firstLine="622"/>
        <w:spacing w:after="0" w:line="225" w:lineRule="auto"/>
        <w:tabs>
          <w:tab w:leader="none" w:pos="113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With respect to each Pension Plan, the adjusted funding target attainment percentage (as defined in Section 436 of the Code), as determined by the applicable Pension Plan’s Enrolled Actuary under Sections 436(j) and 430(d)(2) of the Code and all applicable regulatory guidance promulgated thereunder, would not reasonably be expected to result, individually or in the aggregate, in a Material Adverse Effect. Neither any Loan Party nor any ERISA Affiliate maintains or contributes to a Plan that is, or is expected to be, in at-risk status (as defined in Section 303(i)(4) of ERISA or Section 430(i)(4) of the Code) in each case, except as would not reasonably be expected, individually or in the aggregate, to have a Material Adverse Effect.</w:t>
      </w:r>
    </w:p>
    <w:p>
      <w:pPr>
        <w:spacing w:after="0" w:line="150"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i w:val="1"/>
          <w:iCs w:val="1"/>
          <w:color w:val="auto"/>
        </w:rPr>
        <w:t>Subsidiaries; Equity Interests</w:t>
      </w:r>
      <w:r>
        <w:rPr>
          <w:rFonts w:ascii="Arial" w:cs="Arial" w:eastAsia="Arial" w:hAnsi="Arial"/>
          <w:sz w:val="19"/>
          <w:szCs w:val="19"/>
          <w:color w:val="auto"/>
        </w:rPr>
        <w:t>. As of the Restatement Date (after giving effect to the Transactions), no Loan Party has any Subsidiaries (other than Excluded Subsidiaries pursuant to clause (b) of the definition thereof) other than those specifically disclosed in Schedule 5.11, and all of the outstanding Equity Interests owned by the Loan Parties (or a Subsidiary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159</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316" w:lineRule="exact"/>
        <w:rPr>
          <w:sz w:val="20"/>
          <w:szCs w:val="20"/>
          <w:color w:val="auto"/>
        </w:rPr>
      </w:pPr>
    </w:p>
    <w:p>
      <w:pPr>
        <w:jc w:val="both"/>
        <w:ind w:firstLine="6"/>
        <w:spacing w:after="0" w:line="225" w:lineRule="auto"/>
        <w:rPr>
          <w:sz w:val="20"/>
          <w:szCs w:val="20"/>
          <w:color w:val="auto"/>
        </w:rPr>
      </w:pPr>
      <w:r>
        <w:rPr>
          <w:rFonts w:ascii="Arial" w:cs="Arial" w:eastAsia="Arial" w:hAnsi="Arial"/>
          <w:sz w:val="20"/>
          <w:szCs w:val="20"/>
          <w:color w:val="auto"/>
        </w:rPr>
        <w:t>Loan Party) in such material Subsidiaries have been validly issued and are fully paid and all Equity Interests owned by a Loan Party in such material Subsidiaries are owned free and clear of all Liens except (i) those created under the Collateral Documents and (ii) any Lien that is permitted under Section 7.01. As of the Restatement Date, Schedules 1(a) and 8(a) to the Perfection Certificate (a) set forth the name and jurisdiction of each Domestic Subsidiary that is a Loan Party and (b) set forth the ownership interest of the Borrower and any other Guarantor in each wholly owned Subsidiary (other than Excluded Subsidiaries pursuant to clause (b) of the definition thereof), including the percentage of such ownership.</w:t>
      </w:r>
    </w:p>
    <w:p>
      <w:pPr>
        <w:spacing w:after="0" w:line="176"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i w:val="1"/>
          <w:iCs w:val="1"/>
          <w:color w:val="auto"/>
        </w:rPr>
        <w:t>Margin Regulations; Investment Company Act</w:t>
      </w:r>
      <w:r>
        <w:rPr>
          <w:rFonts w:ascii="Arial" w:cs="Arial" w:eastAsia="Arial" w:hAnsi="Arial"/>
          <w:sz w:val="21"/>
          <w:szCs w:val="21"/>
          <w:color w:val="auto"/>
        </w:rPr>
        <w:t>. (a) (i) The Borrower is not engaged nor will it engage, principally or as one of its important activities, in the business of (1) purchasing or carrying Margin Stock or (2) extending credit for the purpose of purchasing or carrying Margin Stock, in each case of the foregoing clauses (1) and (2) in a manner that violates Regulation U of the Board of Governors of the United States Federal Reserve System, and (ii) no proceeds of any Borrowings or drawings under any Letter of Credit will be used for any purpose that violates Regulation U of the Board of Governors of the United States Federal Reserve System.</w:t>
      </w:r>
    </w:p>
    <w:p>
      <w:pPr>
        <w:spacing w:after="0" w:line="146" w:lineRule="exact"/>
        <w:rPr>
          <w:sz w:val="20"/>
          <w:szCs w:val="20"/>
          <w:color w:val="auto"/>
        </w:rPr>
      </w:pPr>
    </w:p>
    <w:p>
      <w:pPr>
        <w:ind w:left="1060" w:hanging="438"/>
        <w:spacing w:after="0"/>
        <w:tabs>
          <w:tab w:leader="none" w:pos="10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No Loan Party is required to be registered as an “</w:t>
      </w:r>
      <w:r>
        <w:rPr>
          <w:rFonts w:ascii="Arial" w:cs="Arial" w:eastAsia="Arial" w:hAnsi="Arial"/>
          <w:sz w:val="19"/>
          <w:szCs w:val="19"/>
          <w:b w:val="1"/>
          <w:bCs w:val="1"/>
          <w:color w:val="auto"/>
        </w:rPr>
        <w:t>investment company</w:t>
      </w:r>
      <w:r>
        <w:rPr>
          <w:rFonts w:ascii="Arial" w:cs="Arial" w:eastAsia="Arial" w:hAnsi="Arial"/>
          <w:sz w:val="19"/>
          <w:szCs w:val="19"/>
          <w:color w:val="auto"/>
        </w:rPr>
        <w:t>” under the Investment Company Act of 1940.</w:t>
      </w:r>
    </w:p>
    <w:p>
      <w:pPr>
        <w:spacing w:after="0" w:line="200"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 xml:space="preserve">Section 5.13. </w:t>
      </w:r>
      <w:r>
        <w:rPr>
          <w:rFonts w:ascii="Arial" w:cs="Arial" w:eastAsia="Arial" w:hAnsi="Arial"/>
          <w:sz w:val="20"/>
          <w:szCs w:val="20"/>
          <w:i w:val="1"/>
          <w:iCs w:val="1"/>
          <w:color w:val="auto"/>
        </w:rPr>
        <w:t>Disclosure</w:t>
      </w:r>
      <w:r>
        <w:rPr>
          <w:rFonts w:ascii="Arial" w:cs="Arial" w:eastAsia="Arial" w:hAnsi="Arial"/>
          <w:sz w:val="20"/>
          <w:szCs w:val="20"/>
          <w:color w:val="auto"/>
        </w:rPr>
        <w:t xml:space="preserve">. To the best of the Borrower’s knowledge, no report, financial statement, certificate or other written information furnished by or on behalf of any Loan Party (other than projected financial information,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financial information and information of a general economic or industry nature) to any Agent or any Lender in connection with the transactions contemplated hereby and the negotiation of this Agreement or delivered hereunder or under any other Loan Document (as modified or supplemented by other information so furnished), when taken as a whole, contains any untrue statement of a material fact or omits to state any material fact necessary to make the statements therein (when taken as a whole), in the light of the circumstances under which they were made, not materially misleading.</w:t>
      </w:r>
    </w:p>
    <w:p>
      <w:pPr>
        <w:spacing w:after="0" w:line="154"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i w:val="1"/>
          <w:iCs w:val="1"/>
          <w:color w:val="auto"/>
        </w:rPr>
        <w:t>Labor Matters</w:t>
      </w:r>
      <w:r>
        <w:rPr>
          <w:rFonts w:ascii="Arial" w:cs="Arial" w:eastAsia="Arial" w:hAnsi="Arial"/>
          <w:sz w:val="19"/>
          <w:szCs w:val="19"/>
          <w:color w:val="auto"/>
        </w:rPr>
        <w:t>. Except as, in the aggregate, would not reasonably be expected to have a Material Adverse Effect as of the Restatement Date (a) there are no strikes or other labor disputes against the Borrower or any of its Restricted Subsidiaries pending or, to the knowledge of the Borrower, threatened, (b) hours worked by and payment made to employees of the Borrower or any of its Restricted Subsidiaries have not been in violation of the Fair Labor Standards Act or any other applicable Laws, (c) the Borrower and the other Loan Parties have complied with all applicable labor Laws including work authorization and immigration and (d) all payments due from the Borrower or any of its Restricted Subsidiaries on account of employee wages and health and welfare and other benefits insurance have been paid or accrued as a liability on the books of the relevant party.</w:t>
      </w:r>
    </w:p>
    <w:p>
      <w:pPr>
        <w:spacing w:after="0" w:line="153"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i w:val="1"/>
          <w:iCs w:val="1"/>
          <w:color w:val="auto"/>
        </w:rPr>
        <w:t>Intellectual Property; Licenses, Etc.</w:t>
      </w:r>
      <w:r>
        <w:rPr>
          <w:rFonts w:ascii="Arial" w:cs="Arial" w:eastAsia="Arial" w:hAnsi="Arial"/>
          <w:sz w:val="20"/>
          <w:szCs w:val="20"/>
          <w:color w:val="auto"/>
        </w:rPr>
        <w:t>. The Borrower and its Restricted Subsidiaries own, license or possess the right to use all of the trademarks, service marks, trade names, domain names, copyrights, patents, copyrights in software, know-how, database rights and other intellectual property rights (collectively, “</w:t>
      </w:r>
      <w:r>
        <w:rPr>
          <w:rFonts w:ascii="Arial" w:cs="Arial" w:eastAsia="Arial" w:hAnsi="Arial"/>
          <w:sz w:val="20"/>
          <w:szCs w:val="20"/>
          <w:b w:val="1"/>
          <w:bCs w:val="1"/>
          <w:color w:val="auto"/>
        </w:rPr>
        <w:t>IP Rights</w:t>
      </w:r>
      <w:r>
        <w:rPr>
          <w:rFonts w:ascii="Arial" w:cs="Arial" w:eastAsia="Arial" w:hAnsi="Arial"/>
          <w:sz w:val="20"/>
          <w:szCs w:val="20"/>
          <w:color w:val="auto"/>
        </w:rPr>
        <w:t>”) that are reasonably necessary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160</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316" w:lineRule="exact"/>
        <w:rPr>
          <w:sz w:val="20"/>
          <w:szCs w:val="20"/>
          <w:color w:val="auto"/>
        </w:rPr>
      </w:pPr>
    </w:p>
    <w:p>
      <w:pPr>
        <w:jc w:val="both"/>
        <w:ind w:firstLine="6"/>
        <w:spacing w:after="0" w:line="234" w:lineRule="auto"/>
        <w:rPr>
          <w:sz w:val="20"/>
          <w:szCs w:val="20"/>
          <w:color w:val="auto"/>
        </w:rPr>
      </w:pPr>
      <w:r>
        <w:rPr>
          <w:rFonts w:ascii="Arial" w:cs="Arial" w:eastAsia="Arial" w:hAnsi="Arial"/>
          <w:sz w:val="19"/>
          <w:szCs w:val="19"/>
          <w:color w:val="auto"/>
        </w:rPr>
        <w:t>operation of their respective businesses as currently conducted, and, to the knowledge of the Borrower, such IP Rights do not conflict with the rights of any Person, except to the extent such failure to own, license or possess or such conflicts, either individually or in the aggregate, would not reasonably be expected to have a Material Adverse Effect. To the knowledge of the Borrower, the business of any Loan Party or any of its Subsidiaries as currently conducted does not infringe upon, misappropriate or otherwise violate any IP Rights held by any Person except for such infringements, misappropriations and violations, individually or in the aggregate, which would not reasonably be expected to have a Material Adverse Effect. No claim or litigation regarding any of the IP Rights, is filed and presently pending or, to the knowledge of the Borrower, presently threatened in writing against any Loan Party or any of its Subsidiaries, which, either individually or in the aggregate, would reasonably be expected to have a Material Adverse Effect.</w:t>
      </w:r>
    </w:p>
    <w:p>
      <w:pPr>
        <w:spacing w:after="0" w:line="178"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All registrations and applications for registration of IP Rights listed in Schedule 8 to the Perfection Certificate are subsisting and, to the knowledge of the Borrower, valid, except, in each case, to the extent failure of such registrations and applications for registration of IP Rights to be valid and subsisting would not reasonably be expected, individually or in the aggregate, to have a Material Adverse Effect.</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5.16. </w:t>
      </w:r>
      <w:r>
        <w:rPr>
          <w:rFonts w:ascii="Arial" w:cs="Arial" w:eastAsia="Arial" w:hAnsi="Arial"/>
          <w:sz w:val="21"/>
          <w:szCs w:val="21"/>
          <w:i w:val="1"/>
          <w:iCs w:val="1"/>
          <w:color w:val="auto"/>
        </w:rPr>
        <w:t>Solvency</w:t>
      </w:r>
      <w:r>
        <w:rPr>
          <w:rFonts w:ascii="Arial" w:cs="Arial" w:eastAsia="Arial" w:hAnsi="Arial"/>
          <w:sz w:val="21"/>
          <w:szCs w:val="21"/>
          <w:color w:val="auto"/>
        </w:rPr>
        <w:t>. On the Restatement Date, after giving effect to the Transactions, the Borrower and its Subsidiaries, on a consolidated basis, are Solvent.</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color w:val="auto"/>
        </w:rPr>
        <w:t xml:space="preserve">Section 5.17. </w:t>
      </w:r>
      <w:r>
        <w:rPr>
          <w:rFonts w:ascii="Arial" w:cs="Arial" w:eastAsia="Arial" w:hAnsi="Arial"/>
          <w:sz w:val="21"/>
          <w:szCs w:val="21"/>
          <w:i w:val="1"/>
          <w:iCs w:val="1"/>
          <w:color w:val="auto"/>
        </w:rPr>
        <w:t>Subordination of Junior Financing</w:t>
      </w:r>
      <w:r>
        <w:rPr>
          <w:rFonts w:ascii="Arial" w:cs="Arial" w:eastAsia="Arial" w:hAnsi="Arial"/>
          <w:sz w:val="21"/>
          <w:szCs w:val="21"/>
          <w:color w:val="auto"/>
        </w:rPr>
        <w:t>. The Obligations are “</w:t>
      </w:r>
      <w:r>
        <w:rPr>
          <w:rFonts w:ascii="Arial" w:cs="Arial" w:eastAsia="Arial" w:hAnsi="Arial"/>
          <w:sz w:val="21"/>
          <w:szCs w:val="21"/>
          <w:b w:val="1"/>
          <w:bCs w:val="1"/>
          <w:color w:val="auto"/>
        </w:rPr>
        <w:t>Senior Debt,</w:t>
      </w:r>
      <w:r>
        <w:rPr>
          <w:rFonts w:ascii="Arial" w:cs="Arial" w:eastAsia="Arial" w:hAnsi="Arial"/>
          <w:sz w:val="21"/>
          <w:szCs w:val="21"/>
          <w:color w:val="auto"/>
        </w:rPr>
        <w:t>” “</w:t>
      </w:r>
      <w:r>
        <w:rPr>
          <w:rFonts w:ascii="Arial" w:cs="Arial" w:eastAsia="Arial" w:hAnsi="Arial"/>
          <w:sz w:val="21"/>
          <w:szCs w:val="21"/>
          <w:b w:val="1"/>
          <w:bCs w:val="1"/>
          <w:color w:val="auto"/>
        </w:rPr>
        <w:t>Senior Indebtedness,</w:t>
      </w:r>
      <w:r>
        <w:rPr>
          <w:rFonts w:ascii="Arial" w:cs="Arial" w:eastAsia="Arial" w:hAnsi="Arial"/>
          <w:sz w:val="21"/>
          <w:szCs w:val="21"/>
          <w:color w:val="auto"/>
        </w:rPr>
        <w:t>” “</w:t>
      </w:r>
      <w:r>
        <w:rPr>
          <w:rFonts w:ascii="Arial" w:cs="Arial" w:eastAsia="Arial" w:hAnsi="Arial"/>
          <w:sz w:val="21"/>
          <w:szCs w:val="21"/>
          <w:b w:val="1"/>
          <w:bCs w:val="1"/>
          <w:color w:val="auto"/>
        </w:rPr>
        <w:t>Guarantor</w:t>
      </w:r>
      <w:r>
        <w:rPr>
          <w:rFonts w:ascii="Arial" w:cs="Arial" w:eastAsia="Arial" w:hAnsi="Arial"/>
          <w:sz w:val="21"/>
          <w:szCs w:val="21"/>
          <w:color w:val="auto"/>
        </w:rPr>
        <w:t xml:space="preserve"> </w:t>
      </w:r>
      <w:r>
        <w:rPr>
          <w:rFonts w:ascii="Arial" w:cs="Arial" w:eastAsia="Arial" w:hAnsi="Arial"/>
          <w:sz w:val="21"/>
          <w:szCs w:val="21"/>
          <w:b w:val="1"/>
          <w:bCs w:val="1"/>
          <w:color w:val="auto"/>
        </w:rPr>
        <w:t>Senior Debt</w:t>
      </w:r>
      <w:r>
        <w:rPr>
          <w:rFonts w:ascii="Arial" w:cs="Arial" w:eastAsia="Arial" w:hAnsi="Arial"/>
          <w:sz w:val="21"/>
          <w:szCs w:val="21"/>
          <w:color w:val="auto"/>
        </w:rPr>
        <w:t>” or “</w:t>
      </w:r>
      <w:r>
        <w:rPr>
          <w:rFonts w:ascii="Arial" w:cs="Arial" w:eastAsia="Arial" w:hAnsi="Arial"/>
          <w:sz w:val="21"/>
          <w:szCs w:val="21"/>
          <w:b w:val="1"/>
          <w:bCs w:val="1"/>
          <w:color w:val="auto"/>
        </w:rPr>
        <w:t>Senior Secured Financing</w:t>
      </w:r>
      <w:r>
        <w:rPr>
          <w:rFonts w:ascii="Arial" w:cs="Arial" w:eastAsia="Arial" w:hAnsi="Arial"/>
          <w:sz w:val="21"/>
          <w:szCs w:val="21"/>
          <w:color w:val="auto"/>
        </w:rPr>
        <w:t>” (or any comparable term) under, and as defined in, any Junior Financing</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Documentation.</w:t>
      </w:r>
    </w:p>
    <w:p>
      <w:pPr>
        <w:spacing w:after="0" w:line="149"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 xml:space="preserve">Section 5.18. </w:t>
      </w:r>
      <w:r>
        <w:rPr>
          <w:rFonts w:ascii="Arial" w:cs="Arial" w:eastAsia="Arial" w:hAnsi="Arial"/>
          <w:sz w:val="21"/>
          <w:szCs w:val="21"/>
          <w:i w:val="1"/>
          <w:iCs w:val="1"/>
          <w:color w:val="auto"/>
        </w:rPr>
        <w:t>OFAC; USA PATRIOT Act; FCPA</w:t>
      </w:r>
      <w:r>
        <w:rPr>
          <w:rFonts w:ascii="Arial" w:cs="Arial" w:eastAsia="Arial" w:hAnsi="Arial"/>
          <w:sz w:val="21"/>
          <w:szCs w:val="21"/>
          <w:color w:val="auto"/>
        </w:rPr>
        <w:t>. (a) To the extent applicable, each of Holdings, the Borrower and its Subsidiaries is in compliance, in all material respects,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151" w:lineRule="exact"/>
        <w:rPr>
          <w:sz w:val="20"/>
          <w:szCs w:val="20"/>
          <w:color w:val="auto"/>
        </w:rPr>
      </w:pPr>
    </w:p>
    <w:p>
      <w:pPr>
        <w:jc w:val="both"/>
        <w:ind w:firstLine="622"/>
        <w:spacing w:after="0" w:line="219" w:lineRule="auto"/>
        <w:tabs>
          <w:tab w:leader="none" w:pos="1128" w:val="left"/>
        </w:tabs>
        <w:numPr>
          <w:ilvl w:val="0"/>
          <w:numId w:val="175"/>
        </w:numPr>
        <w:rPr>
          <w:rFonts w:ascii="Arial" w:cs="Arial" w:eastAsia="Arial" w:hAnsi="Arial"/>
          <w:sz w:val="21"/>
          <w:szCs w:val="21"/>
          <w:color w:val="auto"/>
        </w:rPr>
      </w:pPr>
      <w:r>
        <w:rPr>
          <w:rFonts w:ascii="Arial" w:cs="Arial" w:eastAsia="Arial" w:hAnsi="Arial"/>
          <w:sz w:val="21"/>
          <w:szCs w:val="21"/>
          <w:color w:val="auto"/>
        </w:rPr>
        <w:t>Neither the Borrower nor any of its Subsidiaries nor, to the knowledge of the Borrower and the other Loan Parties, any director, officer, employee, agent or controlled affiliate of the Borrower or any of its Subsidiaries is currently the target of any Sanctions, nor is the Borrower or any of its Subsidiaries located, organized or resident in any country or territory that is the target of Sanctions, except to the extent authorized under applicable Sanctions laws.</w:t>
      </w:r>
    </w:p>
    <w:p>
      <w:pPr>
        <w:spacing w:after="0" w:line="149" w:lineRule="exact"/>
        <w:rPr>
          <w:rFonts w:ascii="Arial" w:cs="Arial" w:eastAsia="Arial" w:hAnsi="Arial"/>
          <w:sz w:val="21"/>
          <w:szCs w:val="21"/>
          <w:color w:val="auto"/>
        </w:rPr>
      </w:pPr>
    </w:p>
    <w:p>
      <w:pPr>
        <w:jc w:val="both"/>
        <w:ind w:firstLine="622"/>
        <w:spacing w:after="0" w:line="219" w:lineRule="auto"/>
        <w:tabs>
          <w:tab w:leader="none" w:pos="1129" w:val="left"/>
        </w:tabs>
        <w:numPr>
          <w:ilvl w:val="0"/>
          <w:numId w:val="175"/>
        </w:numPr>
        <w:rPr>
          <w:rFonts w:ascii="Arial" w:cs="Arial" w:eastAsia="Arial" w:hAnsi="Arial"/>
          <w:sz w:val="21"/>
          <w:szCs w:val="21"/>
          <w:color w:val="auto"/>
        </w:rPr>
      </w:pPr>
      <w:r>
        <w:rPr>
          <w:rFonts w:ascii="Arial" w:cs="Arial" w:eastAsia="Arial" w:hAnsi="Arial"/>
          <w:sz w:val="21"/>
          <w:szCs w:val="21"/>
          <w:color w:val="auto"/>
        </w:rPr>
        <w:t>No part of the proceeds of the Loans will be used, directly or indirectly, by the Borrower (i) in violation of the United States Foreign Corrupt Practices Act of 1977, as amended or (ii) for the purpose of financing any activities or business of or with any Person that, at the time of such financing, is the target of any Sanctions, except to the extent authorized under applicable Sanctions laws.</w:t>
      </w:r>
    </w:p>
    <w:p>
      <w:pPr>
        <w:spacing w:after="0" w:line="150" w:lineRule="exact"/>
        <w:rPr>
          <w:sz w:val="20"/>
          <w:szCs w:val="20"/>
          <w:color w:val="auto"/>
        </w:rPr>
      </w:pPr>
    </w:p>
    <w:p>
      <w:pPr>
        <w:ind w:firstLine="619"/>
        <w:spacing w:after="0" w:line="233" w:lineRule="auto"/>
        <w:rPr>
          <w:sz w:val="20"/>
          <w:szCs w:val="20"/>
          <w:color w:val="auto"/>
        </w:rPr>
      </w:pPr>
      <w:r>
        <w:rPr>
          <w:rFonts w:ascii="Arial" w:cs="Arial" w:eastAsia="Arial" w:hAnsi="Arial"/>
          <w:sz w:val="21"/>
          <w:szCs w:val="21"/>
          <w:color w:val="auto"/>
        </w:rPr>
        <w:t xml:space="preserve">Section 5.19. </w:t>
      </w:r>
      <w:r>
        <w:rPr>
          <w:rFonts w:ascii="Arial" w:cs="Arial" w:eastAsia="Arial" w:hAnsi="Arial"/>
          <w:sz w:val="21"/>
          <w:szCs w:val="21"/>
          <w:i w:val="1"/>
          <w:iCs w:val="1"/>
          <w:color w:val="auto"/>
        </w:rPr>
        <w:t>Security Documents</w:t>
      </w:r>
      <w:r>
        <w:rPr>
          <w:rFonts w:ascii="Arial" w:cs="Arial" w:eastAsia="Arial" w:hAnsi="Arial"/>
          <w:sz w:val="21"/>
          <w:szCs w:val="21"/>
          <w:color w:val="auto"/>
        </w:rPr>
        <w:t xml:space="preserve">. (a) </w:t>
      </w:r>
      <w:r>
        <w:rPr>
          <w:rFonts w:ascii="Arial" w:cs="Arial" w:eastAsia="Arial" w:hAnsi="Arial"/>
          <w:sz w:val="21"/>
          <w:szCs w:val="21"/>
          <w:i w:val="1"/>
          <w:iCs w:val="1"/>
          <w:color w:val="auto"/>
        </w:rPr>
        <w:t>Valid Liens</w:t>
      </w:r>
      <w:r>
        <w:rPr>
          <w:rFonts w:ascii="Arial" w:cs="Arial" w:eastAsia="Arial" w:hAnsi="Arial"/>
          <w:sz w:val="21"/>
          <w:szCs w:val="21"/>
          <w:color w:val="auto"/>
        </w:rPr>
        <w:t>. Each Collateral Document delivered pursuant to the Original Credit Agreement, Section 4.01 and Sections 6.11, 6.13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161</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0" w:lineRule="exact"/>
        <w:rPr>
          <w:sz w:val="20"/>
          <w:szCs w:val="20"/>
          <w:color w:val="auto"/>
        </w:rPr>
      </w:pPr>
    </w:p>
    <w:p>
      <w:pPr>
        <w:spacing w:after="0" w:line="348" w:lineRule="exact"/>
        <w:rPr>
          <w:sz w:val="20"/>
          <w:szCs w:val="20"/>
          <w:color w:val="auto"/>
        </w:rPr>
      </w:pPr>
    </w:p>
    <w:p>
      <w:pPr>
        <w:jc w:val="both"/>
        <w:ind w:firstLine="6"/>
        <w:spacing w:after="0" w:line="233" w:lineRule="auto"/>
        <w:rPr>
          <w:sz w:val="20"/>
          <w:szCs w:val="20"/>
          <w:color w:val="auto"/>
        </w:rPr>
      </w:pPr>
      <w:r>
        <w:rPr>
          <w:rFonts w:ascii="Arial" w:cs="Arial" w:eastAsia="Arial" w:hAnsi="Arial"/>
          <w:sz w:val="19"/>
          <w:szCs w:val="19"/>
          <w:color w:val="auto"/>
        </w:rPr>
        <w:t>6.16 will, upon execution 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appropriate form are filed in the offices specified on Schedule 1(a) to the Perfection Certificate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the Liens created by the Collateral Documents shall constitute fully perfected Liens on, and security interests in (to the extent intended to be created thereby), all right, title and interest of the grantors in such Collateral to the extent perfection can be obtained by filing financing statements or the taking of possession or control, in each case subject to no Liens other than Liens permitted by Section 7.01.</w:t>
      </w:r>
    </w:p>
    <w:p>
      <w:pPr>
        <w:spacing w:after="0" w:line="179" w:lineRule="exact"/>
        <w:rPr>
          <w:sz w:val="20"/>
          <w:szCs w:val="20"/>
          <w:color w:val="auto"/>
        </w:rPr>
      </w:pPr>
    </w:p>
    <w:p>
      <w:pPr>
        <w:jc w:val="both"/>
        <w:ind w:firstLine="622"/>
        <w:spacing w:after="0" w:line="233" w:lineRule="auto"/>
        <w:tabs>
          <w:tab w:leader="none" w:pos="1078"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PTO Filing; Copyright Office Filing</w:t>
      </w:r>
      <w:r>
        <w:rPr>
          <w:rFonts w:ascii="Arial" w:cs="Arial" w:eastAsia="Arial" w:hAnsi="Arial"/>
          <w:sz w:val="19"/>
          <w:szCs w:val="19"/>
          <w:color w:val="auto"/>
        </w:rPr>
        <w:t>. When the Intellectual Property Security Agreements are properly filed in the United</w:t>
      </w:r>
      <w:r>
        <w:rPr>
          <w:rFonts w:ascii="Arial" w:cs="Arial" w:eastAsia="Arial" w:hAnsi="Arial"/>
          <w:sz w:val="19"/>
          <w:szCs w:val="19"/>
          <w:i w:val="1"/>
          <w:iCs w:val="1"/>
          <w:color w:val="auto"/>
        </w:rPr>
        <w:t xml:space="preserve"> </w:t>
      </w:r>
      <w:r>
        <w:rPr>
          <w:rFonts w:ascii="Arial" w:cs="Arial" w:eastAsia="Arial" w:hAnsi="Arial"/>
          <w:sz w:val="19"/>
          <w:szCs w:val="19"/>
          <w:color w:val="auto"/>
        </w:rPr>
        <w:t>States Patent and Trademark Office and the United States Copyright Office, as applicable, to the extent such filings may perfect such interests, the Liens created by the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and Copyrights (as defined in the Security Agreement) registered or applied for with the United States Copyright Office, as the case may be, in each case subject to no Liens other than Liens permitted hereunder (it being understood that subsequent recordings in the United States Patent and Trademark Office and the United States Copyright Office may be necessary to perfect the Collateral Agent’s Lien on registered Patents, Trademarks and Copyrights (each as defined in the Security Agreement) acquired by the grantors thereof after the Restatement Date).</w:t>
      </w:r>
    </w:p>
    <w:p>
      <w:pPr>
        <w:spacing w:after="0" w:line="154"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color w:val="auto"/>
        </w:rPr>
        <w:t>Notwithstanding anything herein (including this Section 5.19) or in any other Loan Document to the contrary, neither the Borrower nor any other Loan Party makes any representation or warranty as to (A) the effects of perfection or non-perfection, the priority or the enforceability of any pledge of or security interest in any Equity Interests of any Foreign Subsidiary, or as to the rights and remedies of the Agents or any Lender with respect thereto, under foreign Law or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6</w:t>
      </w:r>
    </w:p>
    <w:p>
      <w:pPr>
        <w:jc w:val="center"/>
        <w:spacing w:after="0"/>
        <w:rPr>
          <w:sz w:val="20"/>
          <w:szCs w:val="20"/>
          <w:color w:val="auto"/>
        </w:rPr>
      </w:pPr>
      <w:r>
        <w:rPr>
          <w:rFonts w:ascii="Arial" w:cs="Arial" w:eastAsia="Arial" w:hAnsi="Arial"/>
          <w:sz w:val="21"/>
          <w:szCs w:val="21"/>
          <w:color w:val="auto"/>
        </w:rPr>
        <w:t>AFFIRMATIVE COVENANTS</w:t>
      </w:r>
    </w:p>
    <w:p>
      <w:pPr>
        <w:spacing w:after="0" w:line="153"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20"/>
          <w:szCs w:val="20"/>
          <w:color w:val="auto"/>
        </w:rPr>
        <w:t>So long as any Lender shall have any Commitment hereunder, any Loan or other Obligation (other than obligations under Treasury Services Agreements or obligations under Secured Hedge Agreements) hereunder which is accrued and payable shall remain unpaid or unsatisfied, or any Letter of Credit shall remain outstanding (unless the Outstanding Amount of the L/C Obligations related thereto has been Cash Collateralized or a backstop letter of credit reasonably satisfactory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162</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to the applicable L/C Issuer is in place), then from and after the Restatement Date, the Borrower shall, and shall (except in the case of the covenants set forth in Sections 6.01, 6.02 and 6.03) cause each of its Restricted Subsidiaries to:</w:t>
      </w:r>
    </w:p>
    <w:p>
      <w:pPr>
        <w:spacing w:after="0" w:line="176"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(a) Deliver to the Administrative Agent for prompt further distribution to each Lender, within one hundred twenty (120) days after the end of each fiscal year ending after the Restatement Date, a consolidated balance sheet of the Borrower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any independent registered public accounting firm of nationally recognized standing, which report and opinion shall be prepared in accordance with generally accepted auditing standards and shall not contain any qualifications or exceptions as to the scope of such audit or any “going concern” explanatory paragraph or like qualification </w:t>
      </w:r>
      <w:r>
        <w:rPr>
          <w:rFonts w:ascii="Arial" w:cs="Arial" w:eastAsia="Arial" w:hAnsi="Arial"/>
          <w:sz w:val="15"/>
          <w:szCs w:val="15"/>
          <w:color w:val="auto"/>
        </w:rPr>
        <w:t>(other than an emphasis of matter paragraph that does not contain a</w:t>
      </w:r>
      <w:r>
        <w:rPr>
          <w:rFonts w:ascii="Arial" w:cs="Arial" w:eastAsia="Arial" w:hAnsi="Arial"/>
          <w:sz w:val="18"/>
          <w:szCs w:val="18"/>
          <w:color w:val="auto"/>
        </w:rPr>
        <w:t xml:space="preserve"> </w:t>
      </w:r>
      <w:r>
        <w:rPr>
          <w:rFonts w:ascii="Arial" w:cs="Arial" w:eastAsia="Arial" w:hAnsi="Arial"/>
          <w:sz w:val="15"/>
          <w:szCs w:val="15"/>
          <w:color w:val="auto"/>
        </w:rPr>
        <w:t xml:space="preserve">“going concern” qualification) </w:t>
      </w:r>
      <w:r>
        <w:rPr>
          <w:rFonts w:ascii="Arial" w:cs="Arial" w:eastAsia="Arial" w:hAnsi="Arial"/>
          <w:sz w:val="17"/>
          <w:szCs w:val="17"/>
          <w:color w:val="auto"/>
        </w:rPr>
        <w:t>(other than resulting from (x) activities, operations, financial results, assets or liabilities of any Unrestricted</w:t>
      </w:r>
      <w:r>
        <w:rPr>
          <w:rFonts w:ascii="Arial" w:cs="Arial" w:eastAsia="Arial" w:hAnsi="Arial"/>
          <w:sz w:val="15"/>
          <w:szCs w:val="15"/>
          <w:color w:val="auto"/>
        </w:rPr>
        <w:t xml:space="preserve"> </w:t>
      </w:r>
      <w:r>
        <w:rPr>
          <w:rFonts w:ascii="Arial" w:cs="Arial" w:eastAsia="Arial" w:hAnsi="Arial"/>
          <w:sz w:val="17"/>
          <w:szCs w:val="17"/>
          <w:color w:val="auto"/>
        </w:rPr>
        <w:t>Subsidiary, (y) the impending maturity of any Indebtedness and (z) any actual or prospective default under any financial covenant).</w:t>
      </w:r>
    </w:p>
    <w:p>
      <w:pPr>
        <w:spacing w:after="0" w:line="145" w:lineRule="exact"/>
        <w:rPr>
          <w:sz w:val="20"/>
          <w:szCs w:val="20"/>
          <w:color w:val="auto"/>
        </w:rPr>
      </w:pPr>
    </w:p>
    <w:p>
      <w:pPr>
        <w:jc w:val="both"/>
        <w:ind w:firstLine="622"/>
        <w:spacing w:after="0" w:line="232" w:lineRule="auto"/>
        <w:tabs>
          <w:tab w:leader="none" w:pos="1092" w:val="left"/>
        </w:tabs>
        <w:numPr>
          <w:ilvl w:val="0"/>
          <w:numId w:val="177"/>
        </w:numPr>
        <w:rPr>
          <w:rFonts w:ascii="Arial" w:cs="Arial" w:eastAsia="Arial" w:hAnsi="Arial"/>
          <w:sz w:val="19"/>
          <w:szCs w:val="19"/>
          <w:color w:val="auto"/>
        </w:rPr>
      </w:pPr>
      <w:r>
        <w:rPr>
          <w:rFonts w:ascii="Arial" w:cs="Arial" w:eastAsia="Arial" w:hAnsi="Arial"/>
          <w:sz w:val="19"/>
          <w:szCs w:val="19"/>
          <w:color w:val="auto"/>
        </w:rPr>
        <w:t>Deliver to the Administrative Agent for prompt further distribution to each Lender, within sixty (60) days after the end of each of the first three fiscal quarters of each fiscal year of the Borrower ending after the Restatement Date, an unaudited consolidated balance sheet of the Borrower and its Subsidiaries as at the end of such fiscal quarter and the related unaudited consolidated statements of income or operations for such fiscal quarter and the portion of the fiscal year then ended, setting forth in comparative form the figures for the corresponding fiscal quarter of the previous fiscal year and the corresponding portion of the previous fiscal year, and statements of stockholders’ equity for the current fiscal quarter and consolidated statement of cash flows for the portion of the fiscal year then ended, setting forth in each case in comparative form the figures for the corresponding portion of the previous fiscal year, all in reasonable detail and certified by a Responsible Officer of the Borrower as fairly presenting in all material respects the financial condition, results of operations, stockholders’ equity and cash flows of the Borrower and its Subsidiaries in accordance with GAAP, subject only to normal year-end audit adjustments and the absence of footnotes;</w:t>
      </w:r>
    </w:p>
    <w:p>
      <w:pPr>
        <w:spacing w:after="0" w:line="156" w:lineRule="exact"/>
        <w:rPr>
          <w:rFonts w:ascii="Arial" w:cs="Arial" w:eastAsia="Arial" w:hAnsi="Arial"/>
          <w:sz w:val="19"/>
          <w:szCs w:val="19"/>
          <w:color w:val="auto"/>
        </w:rPr>
      </w:pPr>
    </w:p>
    <w:p>
      <w:pPr>
        <w:ind w:left="1060" w:hanging="438"/>
        <w:spacing w:after="0"/>
        <w:tabs>
          <w:tab w:leader="none" w:pos="1060" w:val="left"/>
        </w:tabs>
        <w:numPr>
          <w:ilvl w:val="0"/>
          <w:numId w:val="177"/>
        </w:numPr>
        <w:rPr>
          <w:rFonts w:ascii="Arial" w:cs="Arial" w:eastAsia="Arial" w:hAnsi="Arial"/>
          <w:sz w:val="21"/>
          <w:szCs w:val="21"/>
          <w:color w:val="auto"/>
        </w:rPr>
      </w:pPr>
      <w:r>
        <w:rPr>
          <w:rFonts w:ascii="Arial" w:cs="Arial" w:eastAsia="Arial" w:hAnsi="Arial"/>
          <w:sz w:val="21"/>
          <w:szCs w:val="21"/>
          <w:color w:val="auto"/>
        </w:rPr>
        <w:t>[reserved]; and</w:t>
      </w:r>
    </w:p>
    <w:p>
      <w:pPr>
        <w:spacing w:after="0" w:line="171" w:lineRule="exact"/>
        <w:rPr>
          <w:rFonts w:ascii="Arial" w:cs="Arial" w:eastAsia="Arial" w:hAnsi="Arial"/>
          <w:sz w:val="21"/>
          <w:szCs w:val="21"/>
          <w:color w:val="auto"/>
        </w:rPr>
      </w:pPr>
    </w:p>
    <w:p>
      <w:pPr>
        <w:jc w:val="both"/>
        <w:ind w:firstLine="622"/>
        <w:spacing w:after="0" w:line="224" w:lineRule="auto"/>
        <w:tabs>
          <w:tab w:leader="none" w:pos="1100" w:val="left"/>
        </w:tabs>
        <w:numPr>
          <w:ilvl w:val="0"/>
          <w:numId w:val="177"/>
        </w:numPr>
        <w:rPr>
          <w:rFonts w:ascii="Arial" w:cs="Arial" w:eastAsia="Arial" w:hAnsi="Arial"/>
          <w:sz w:val="21"/>
          <w:szCs w:val="21"/>
          <w:color w:val="auto"/>
        </w:rPr>
      </w:pPr>
      <w:r>
        <w:rPr>
          <w:rFonts w:ascii="Arial" w:cs="Arial" w:eastAsia="Arial" w:hAnsi="Arial"/>
          <w:sz w:val="21"/>
          <w:szCs w:val="21"/>
          <w:color w:val="auto"/>
        </w:rPr>
        <w:t>Deliver to the Administrative Agent with each set of consolidated financial statements referred to in Sections 6.01(a) and 6.01(b) above, supplemental financial information necessary to eliminate the accounts of Unrestricted Subsidiaries (if any) from such consolidated financial statements.</w:t>
      </w:r>
    </w:p>
    <w:p>
      <w:pPr>
        <w:spacing w:after="0" w:line="149"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20"/>
          <w:szCs w:val="20"/>
          <w:color w:val="auto"/>
        </w:rPr>
        <w:t>Notwithstanding the foregoing, the obligations in paragraphs (a) and (b) of this Section 6.01 may be satisfied with respect to financial information of the Borrower and the Subsidiaries by furnishing (A) the applicable financial statements of the Borrower (or any direct or indirect parent of the Borrower) or (B) the Borrower’s (or any direct or indirect parent thereof),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163</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316" w:lineRule="exact"/>
        <w:rPr>
          <w:sz w:val="20"/>
          <w:szCs w:val="20"/>
          <w:color w:val="auto"/>
        </w:rPr>
      </w:pPr>
    </w:p>
    <w:p>
      <w:pPr>
        <w:jc w:val="both"/>
        <w:ind w:firstLine="6"/>
        <w:spacing w:after="0" w:line="232" w:lineRule="auto"/>
        <w:rPr>
          <w:sz w:val="20"/>
          <w:szCs w:val="20"/>
          <w:color w:val="auto"/>
        </w:rPr>
      </w:pPr>
      <w:r>
        <w:rPr>
          <w:rFonts w:ascii="Arial" w:cs="Arial" w:eastAsia="Arial" w:hAnsi="Arial"/>
          <w:sz w:val="19"/>
          <w:szCs w:val="19"/>
          <w:color w:val="auto"/>
        </w:rPr>
        <w:t xml:space="preserve">applicable, Form 10-K or 10-Q, as applicable, filed with the SEC;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clauses (A) and (B), (i) to the extent such information relates to a parent of the Borrower, such information is accompanied by consolidating information that explains in reasonable detail the differences between the information relating to the Borrower (or such parent), on the one hand, and the information relating to the Borrower and the Subsidiaries on a stand-alone basis, on the other hand and (ii) to the extent such information is in lieu of information required to be provided under Section 6.01(a), such materials are accompanied by a report and opinion of any independent registered public accounting firm of nationally recognized standing, which report and opinion shall be prepared in accordance with generally accepted auditing standards and, except as permitted in Section 6.01(a), shall not contain any qualifications or exceptions as to the scope of such audit or any “going concern” explanatory paragraph or like qualification (other than resulting from (x) activities, operations, financial results, assets or liabilities of any Unrestricted Subsidiary, (y) the impending maturity of any Indebtedness and (z) any actual or prospective default under any financial covenant).</w:t>
      </w:r>
    </w:p>
    <w:p>
      <w:pPr>
        <w:spacing w:after="0" w:line="183"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20"/>
          <w:szCs w:val="20"/>
          <w:color w:val="auto"/>
        </w:rPr>
        <w:t xml:space="preserve">Documents required to be delivered pursuant to this Section 6.01 and Sections 6.02(b) and (c) may be delivered electronically and if so delivered, shall be deemed to have been delivered on the date (i) on which the Borrower (or any direct or indirect parent of the Borrower) posts such documents, or provides a link thereto on the website on the Internet at the Borrower’s website; or (ii) on which such documents are posted on the Borrower’s behalf on Debtdomain, Roadshow Access (if applicable) or another relevant website, if any, to which each Lender and the Administrative Agent have access (whether a commercial, third-party website or whether sponsored by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50" w:lineRule="exact"/>
        <w:rPr>
          <w:sz w:val="20"/>
          <w:szCs w:val="20"/>
          <w:color w:val="auto"/>
        </w:rPr>
      </w:pPr>
    </w:p>
    <w:p>
      <w:pPr>
        <w:jc w:val="both"/>
        <w:ind w:left="620" w:firstLine="621"/>
        <w:spacing w:after="0" w:line="224" w:lineRule="auto"/>
        <w:tabs>
          <w:tab w:leader="none" w:pos="1645" w:val="left"/>
        </w:tabs>
        <w:numPr>
          <w:ilvl w:val="0"/>
          <w:numId w:val="178"/>
        </w:numPr>
        <w:rPr>
          <w:rFonts w:ascii="Arial" w:cs="Arial" w:eastAsia="Arial" w:hAnsi="Arial"/>
          <w:sz w:val="21"/>
          <w:szCs w:val="21"/>
          <w:color w:val="auto"/>
        </w:rPr>
      </w:pPr>
      <w:r>
        <w:rPr>
          <w:rFonts w:ascii="Arial" w:cs="Arial" w:eastAsia="Arial" w:hAnsi="Arial"/>
          <w:sz w:val="21"/>
          <w:szCs w:val="21"/>
          <w:color w:val="auto"/>
        </w:rPr>
        <w:t>upon written request by the Administrative Agent, the Borrower shall deliver paper copies of such documents to the Administrative Agent for further distribution to each Lender until a written request to cease delivering paper copies is given by the Administrative Agent; and</w:t>
      </w:r>
    </w:p>
    <w:p>
      <w:pPr>
        <w:spacing w:after="0" w:line="148" w:lineRule="exact"/>
        <w:rPr>
          <w:rFonts w:ascii="Arial" w:cs="Arial" w:eastAsia="Arial" w:hAnsi="Arial"/>
          <w:sz w:val="21"/>
          <w:szCs w:val="21"/>
          <w:color w:val="auto"/>
        </w:rPr>
      </w:pPr>
    </w:p>
    <w:p>
      <w:pPr>
        <w:jc w:val="both"/>
        <w:ind w:left="620" w:firstLine="621"/>
        <w:spacing w:after="0" w:line="243" w:lineRule="auto"/>
        <w:tabs>
          <w:tab w:leader="none" w:pos="173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29" w:lineRule="exact"/>
        <w:rPr>
          <w:sz w:val="20"/>
          <w:szCs w:val="20"/>
          <w:color w:val="auto"/>
        </w:rPr>
      </w:pPr>
    </w:p>
    <w:p>
      <w:pPr>
        <w:ind w:left="620"/>
        <w:spacing w:after="0"/>
        <w:tabs>
          <w:tab w:leader="none" w:pos="2000" w:val="left"/>
        </w:tabs>
        <w:rPr>
          <w:sz w:val="20"/>
          <w:szCs w:val="20"/>
          <w:color w:val="auto"/>
        </w:rPr>
      </w:pPr>
      <w:r>
        <w:rPr>
          <w:rFonts w:ascii="Arial" w:cs="Arial" w:eastAsia="Arial" w:hAnsi="Arial"/>
          <w:sz w:val="21"/>
          <w:szCs w:val="21"/>
          <w:color w:val="auto"/>
        </w:rPr>
        <w:t>Section 6.02.</w:t>
      </w:r>
      <w:r>
        <w:rPr>
          <w:sz w:val="20"/>
          <w:szCs w:val="20"/>
          <w:color w:val="auto"/>
        </w:rPr>
        <w:tab/>
      </w:r>
      <w:r>
        <w:rPr>
          <w:rFonts w:ascii="Arial" w:cs="Arial" w:eastAsia="Arial" w:hAnsi="Arial"/>
          <w:sz w:val="20"/>
          <w:szCs w:val="20"/>
          <w:i w:val="1"/>
          <w:iCs w:val="1"/>
          <w:color w:val="auto"/>
        </w:rPr>
        <w:t>Certificates; Other Information</w:t>
      </w:r>
      <w:r>
        <w:rPr>
          <w:rFonts w:ascii="Arial" w:cs="Arial" w:eastAsia="Arial" w:hAnsi="Arial"/>
          <w:sz w:val="20"/>
          <w:szCs w:val="20"/>
          <w:color w:val="auto"/>
        </w:rPr>
        <w:t>. Deliver to the Administrative Agent for prompt further distribution to each</w:t>
      </w:r>
    </w:p>
    <w:p>
      <w:pPr>
        <w:spacing w:after="0"/>
        <w:rPr>
          <w:sz w:val="20"/>
          <w:szCs w:val="20"/>
          <w:color w:val="auto"/>
        </w:rPr>
      </w:pPr>
      <w:r>
        <w:rPr>
          <w:rFonts w:ascii="Arial" w:cs="Arial" w:eastAsia="Arial" w:hAnsi="Arial"/>
          <w:sz w:val="21"/>
          <w:szCs w:val="21"/>
          <w:color w:val="auto"/>
        </w:rPr>
        <w:t>Lender:</w:t>
      </w:r>
    </w:p>
    <w:p>
      <w:pPr>
        <w:spacing w:after="0" w:line="153" w:lineRule="exact"/>
        <w:rPr>
          <w:sz w:val="20"/>
          <w:szCs w:val="20"/>
          <w:color w:val="auto"/>
        </w:rPr>
      </w:pPr>
    </w:p>
    <w:p>
      <w:pPr>
        <w:ind w:firstLine="622"/>
        <w:spacing w:after="0" w:line="233" w:lineRule="auto"/>
        <w:tabs>
          <w:tab w:leader="none" w:pos="1062" w:val="left"/>
        </w:tabs>
        <w:numPr>
          <w:ilvl w:val="0"/>
          <w:numId w:val="179"/>
        </w:numPr>
        <w:rPr>
          <w:rFonts w:ascii="Arial" w:cs="Arial" w:eastAsia="Arial" w:hAnsi="Arial"/>
          <w:sz w:val="21"/>
          <w:szCs w:val="21"/>
          <w:color w:val="auto"/>
        </w:rPr>
      </w:pPr>
      <w:r>
        <w:rPr>
          <w:rFonts w:ascii="Arial" w:cs="Arial" w:eastAsia="Arial" w:hAnsi="Arial"/>
          <w:sz w:val="21"/>
          <w:szCs w:val="21"/>
          <w:color w:val="auto"/>
        </w:rPr>
        <w:t>no later than five (5) days after the actual delivery of the financial statements referred to in Sections 6.01(a) and (b), a duly completed Compliance Certificate signed by a Responsible Officer of the Borrower;</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117" w:val="left"/>
        </w:tabs>
        <w:numPr>
          <w:ilvl w:val="0"/>
          <w:numId w:val="179"/>
        </w:numPr>
        <w:rPr>
          <w:rFonts w:ascii="Arial" w:cs="Arial" w:eastAsia="Arial" w:hAnsi="Arial"/>
          <w:sz w:val="21"/>
          <w:szCs w:val="21"/>
          <w:color w:val="auto"/>
        </w:rPr>
      </w:pPr>
      <w:r>
        <w:rPr>
          <w:rFonts w:ascii="Arial" w:cs="Arial" w:eastAsia="Arial" w:hAnsi="Arial"/>
          <w:sz w:val="21"/>
          <w:szCs w:val="21"/>
          <w:color w:val="auto"/>
        </w:rPr>
        <w:t>promptly after the same are publicly available, copies of all annual, regular, periodic and special reports and registration statements which Holdings, the Borrower or any Restricted Subsidiary files with the SEC or with any Governmental Authority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164</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316" w:lineRule="exact"/>
        <w:rPr>
          <w:sz w:val="20"/>
          <w:szCs w:val="20"/>
          <w:color w:val="auto"/>
        </w:rPr>
      </w:pPr>
    </w:p>
    <w:p>
      <w:pPr>
        <w:jc w:val="both"/>
        <w:ind w:firstLine="6"/>
        <w:spacing w:after="0" w:line="216" w:lineRule="auto"/>
        <w:rPr>
          <w:sz w:val="20"/>
          <w:szCs w:val="20"/>
          <w:color w:val="auto"/>
        </w:rPr>
      </w:pPr>
      <w:r>
        <w:rPr>
          <w:rFonts w:ascii="Arial" w:cs="Arial" w:eastAsia="Arial" w:hAnsi="Arial"/>
          <w:sz w:val="21"/>
          <w:szCs w:val="21"/>
          <w:color w:val="auto"/>
        </w:rPr>
        <w:t xml:space="preserve">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notwithstanding the foregoing, the obligations in this Section 6.02(b) may be satisfied so long as such information is publicly available on the SEC’s EDGAR website;</w:t>
      </w:r>
    </w:p>
    <w:p>
      <w:pPr>
        <w:spacing w:after="0" w:line="177" w:lineRule="exact"/>
        <w:rPr>
          <w:sz w:val="20"/>
          <w:szCs w:val="20"/>
          <w:color w:val="auto"/>
        </w:rPr>
      </w:pPr>
    </w:p>
    <w:p>
      <w:pPr>
        <w:jc w:val="both"/>
        <w:ind w:firstLine="622"/>
        <w:spacing w:after="0" w:line="255" w:lineRule="auto"/>
        <w:tabs>
          <w:tab w:leader="none" w:pos="106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material requests or material notices received by any Loan Party (other than in the ordinary course of business) or material statements or material reports furnished to any holder of debt securities (other than in connection with any board observer rights) of any Loan Party or of any of its Restricted Subsidiaries pursuant to the terms of any Junior Financing Documentation with a principal amount in excess of the Threshold Amount and, in each case, any Permitted Refinancing thereof, and not otherwise required to be furnished to the Lenders pursuant to any other clause of this Section 6.02;</w:t>
      </w:r>
    </w:p>
    <w:p>
      <w:pPr>
        <w:spacing w:after="0" w:line="138" w:lineRule="exact"/>
        <w:rPr>
          <w:rFonts w:ascii="Arial" w:cs="Arial" w:eastAsia="Arial" w:hAnsi="Arial"/>
          <w:sz w:val="18"/>
          <w:szCs w:val="18"/>
          <w:color w:val="auto"/>
        </w:rPr>
      </w:pPr>
    </w:p>
    <w:p>
      <w:pPr>
        <w:jc w:val="both"/>
        <w:ind w:firstLine="622"/>
        <w:spacing w:after="0" w:line="211" w:lineRule="auto"/>
        <w:tabs>
          <w:tab w:leader="none" w:pos="1073"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together with the delivery of each Compliance Certificate pursuant to Section 6.02(a), (i) in the case of annual Compliance Certificates only, a report setting forth the information required by sections describing the legal name and the jurisdiction of formation of each Loan Party and the location of the chief executive office of each Loan Party of the Perfection Certificate or confirming that there has been no change in such information since the later of the Restatement Date or the date of the last such report, (ii) a description of each event, condition or circumstance during the last fiscal quarter covered by such Compliance Certificate requiring a mandatory prepayment under Section 2.05(b) and (iii) a list of each Subsidiary of the Borrower that identifies each Subsidiary as a Restricted Subsidiary, an Unrestricted Subsidiary or an Excluded Subsidiary as of the date of delivery of such Compliance Certificate or confirmation that there has been no change in such information since the later of the Restatement Date or the date of the last such list; and</w:t>
      </w:r>
    </w:p>
    <w:p>
      <w:pPr>
        <w:spacing w:after="0" w:line="151" w:lineRule="exact"/>
        <w:rPr>
          <w:rFonts w:ascii="Arial" w:cs="Arial" w:eastAsia="Arial" w:hAnsi="Arial"/>
          <w:sz w:val="21"/>
          <w:szCs w:val="21"/>
          <w:color w:val="auto"/>
        </w:rPr>
      </w:pPr>
    </w:p>
    <w:p>
      <w:pPr>
        <w:jc w:val="both"/>
        <w:ind w:firstLine="622"/>
        <w:spacing w:after="0" w:line="224" w:lineRule="auto"/>
        <w:tabs>
          <w:tab w:leader="none" w:pos="1056" w:val="left"/>
        </w:tabs>
        <w:numPr>
          <w:ilvl w:val="0"/>
          <w:numId w:val="180"/>
        </w:numPr>
        <w:rPr>
          <w:rFonts w:ascii="Arial" w:cs="Arial" w:eastAsia="Arial" w:hAnsi="Arial"/>
          <w:sz w:val="21"/>
          <w:szCs w:val="21"/>
          <w:color w:val="auto"/>
        </w:rPr>
      </w:pPr>
      <w:r>
        <w:rPr>
          <w:rFonts w:ascii="Arial" w:cs="Arial" w:eastAsia="Arial" w:hAnsi="Arial"/>
          <w:sz w:val="21"/>
          <w:szCs w:val="21"/>
          <w:color w:val="auto"/>
        </w:rPr>
        <w:t>promptly, such additional information regarding the business, legal, financial or corporate affairs of the Loan Parties or any of their respective Restricted Subsidiaries, or compliance with the terms of the Loan Documents, as the Administrative Agent or any Lender through the Administrative Agent may from time to time reasonably request.</w:t>
      </w:r>
    </w:p>
    <w:p>
      <w:pPr>
        <w:spacing w:after="0" w:line="149"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19"/>
          <w:szCs w:val="19"/>
          <w:color w:val="auto"/>
        </w:rPr>
        <w:t>The Borrower hereby acknowledges that (a) the Administrative Agent and/or the Lead Arrangers will make available to the Lenders and the L/C Issuers materials and/or information provided by or on behalf of the Borrower hereunder (collectively, “</w:t>
      </w:r>
      <w:r>
        <w:rPr>
          <w:rFonts w:ascii="Arial" w:cs="Arial" w:eastAsia="Arial" w:hAnsi="Arial"/>
          <w:sz w:val="19"/>
          <w:szCs w:val="19"/>
          <w:b w:val="1"/>
          <w:bCs w:val="1"/>
          <w:color w:val="auto"/>
        </w:rPr>
        <w:t>Borrower</w:t>
      </w:r>
      <w:r>
        <w:rPr>
          <w:rFonts w:ascii="Arial" w:cs="Arial" w:eastAsia="Arial" w:hAnsi="Arial"/>
          <w:sz w:val="19"/>
          <w:szCs w:val="19"/>
          <w:color w:val="auto"/>
        </w:rPr>
        <w:t xml:space="preserve"> </w:t>
      </w:r>
      <w:r>
        <w:rPr>
          <w:rFonts w:ascii="Arial" w:cs="Arial" w:eastAsia="Arial" w:hAnsi="Arial"/>
          <w:sz w:val="19"/>
          <w:szCs w:val="19"/>
          <w:b w:val="1"/>
          <w:bCs w:val="1"/>
          <w:color w:val="auto"/>
        </w:rPr>
        <w:t>Materials</w:t>
      </w:r>
      <w:r>
        <w:rPr>
          <w:rFonts w:ascii="Arial" w:cs="Arial" w:eastAsia="Arial" w:hAnsi="Arial"/>
          <w:sz w:val="19"/>
          <w:szCs w:val="19"/>
          <w:color w:val="auto"/>
        </w:rPr>
        <w:t>”) by posting the Borrower Materials on Debtdomain, Roadshow Access (if applicable) or another similar electronic system</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Platform</w:t>
      </w:r>
      <w:r>
        <w:rPr>
          <w:rFonts w:ascii="Arial" w:cs="Arial" w:eastAsia="Arial" w:hAnsi="Arial"/>
          <w:sz w:val="19"/>
          <w:szCs w:val="19"/>
          <w:color w:val="auto"/>
        </w:rPr>
        <w:t>”) and (b) certain of the Lenders may be “</w:t>
      </w:r>
      <w:r>
        <w:rPr>
          <w:rFonts w:ascii="Arial" w:cs="Arial" w:eastAsia="Arial" w:hAnsi="Arial"/>
          <w:sz w:val="19"/>
          <w:szCs w:val="19"/>
          <w:b w:val="1"/>
          <w:bCs w:val="1"/>
          <w:color w:val="auto"/>
        </w:rPr>
        <w:t>public-side</w:t>
      </w:r>
      <w:r>
        <w:rPr>
          <w:rFonts w:ascii="Arial" w:cs="Arial" w:eastAsia="Arial" w:hAnsi="Arial"/>
          <w:sz w:val="19"/>
          <w:szCs w:val="19"/>
          <w:color w:val="auto"/>
        </w:rPr>
        <w:t>” Lenders (i.e., Lenders that do not wish to receive material non-public information with respect to the Borrower or its securities) (each, a “</w:t>
      </w:r>
      <w:r>
        <w:rPr>
          <w:rFonts w:ascii="Arial" w:cs="Arial" w:eastAsia="Arial" w:hAnsi="Arial"/>
          <w:sz w:val="19"/>
          <w:szCs w:val="19"/>
          <w:b w:val="1"/>
          <w:bCs w:val="1"/>
          <w:color w:val="auto"/>
        </w:rPr>
        <w:t>Public Lender</w:t>
      </w:r>
      <w:r>
        <w:rPr>
          <w:rFonts w:ascii="Arial" w:cs="Arial" w:eastAsia="Arial" w:hAnsi="Arial"/>
          <w:sz w:val="19"/>
          <w:szCs w:val="19"/>
          <w:color w:val="auto"/>
        </w:rPr>
        <w:t>”). The Borrower hereby agrees to make all Borrower Materials that the Borrower intends to be made available to Public Lenders clearly and conspicuously designated as “</w:t>
      </w:r>
      <w:r>
        <w:rPr>
          <w:rFonts w:ascii="Arial" w:cs="Arial" w:eastAsia="Arial" w:hAnsi="Arial"/>
          <w:sz w:val="19"/>
          <w:szCs w:val="19"/>
          <w:b w:val="1"/>
          <w:bCs w:val="1"/>
          <w:color w:val="auto"/>
        </w:rPr>
        <w:t>PUBLIC.</w:t>
      </w:r>
      <w:r>
        <w:rPr>
          <w:rFonts w:ascii="Arial" w:cs="Arial" w:eastAsia="Arial" w:hAnsi="Arial"/>
          <w:sz w:val="19"/>
          <w:szCs w:val="19"/>
          <w:color w:val="auto"/>
        </w:rPr>
        <w:t>” By designating Borrower Materials as “</w:t>
      </w:r>
      <w:r>
        <w:rPr>
          <w:rFonts w:ascii="Arial" w:cs="Arial" w:eastAsia="Arial" w:hAnsi="Arial"/>
          <w:sz w:val="19"/>
          <w:szCs w:val="19"/>
          <w:b w:val="1"/>
          <w:bCs w:val="1"/>
          <w:color w:val="auto"/>
        </w:rPr>
        <w:t>PUBLIC,</w:t>
      </w:r>
      <w:r>
        <w:rPr>
          <w:rFonts w:ascii="Arial" w:cs="Arial" w:eastAsia="Arial" w:hAnsi="Arial"/>
          <w:sz w:val="19"/>
          <w:szCs w:val="19"/>
          <w:color w:val="auto"/>
        </w:rPr>
        <w:t>” the Borrower authorizes such Borrower Materials to be made available to a portion of the Platform designated “</w:t>
      </w:r>
      <w:r>
        <w:rPr>
          <w:rFonts w:ascii="Arial" w:cs="Arial" w:eastAsia="Arial" w:hAnsi="Arial"/>
          <w:sz w:val="19"/>
          <w:szCs w:val="19"/>
          <w:b w:val="1"/>
          <w:bCs w:val="1"/>
          <w:color w:val="auto"/>
        </w:rPr>
        <w:t>Public Investor,</w:t>
      </w:r>
      <w:r>
        <w:rPr>
          <w:rFonts w:ascii="Arial" w:cs="Arial" w:eastAsia="Arial" w:hAnsi="Arial"/>
          <w:sz w:val="19"/>
          <w:szCs w:val="19"/>
          <w:color w:val="auto"/>
        </w:rPr>
        <w:t>” which is intended to contain only information that is publicly available or not material information (though it may be sensitive and proprietary)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165</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316" w:lineRule="exact"/>
        <w:rPr>
          <w:sz w:val="20"/>
          <w:szCs w:val="20"/>
          <w:color w:val="auto"/>
        </w:rPr>
      </w:pPr>
    </w:p>
    <w:p>
      <w:pPr>
        <w:jc w:val="both"/>
        <w:ind w:firstLine="6"/>
        <w:spacing w:after="0" w:line="214" w:lineRule="auto"/>
        <w:rPr>
          <w:sz w:val="20"/>
          <w:szCs w:val="20"/>
          <w:color w:val="auto"/>
        </w:rPr>
      </w:pPr>
      <w:r>
        <w:rPr>
          <w:rFonts w:ascii="Arial" w:cs="Arial" w:eastAsia="Arial" w:hAnsi="Arial"/>
          <w:sz w:val="21"/>
          <w:szCs w:val="21"/>
          <w:color w:val="auto"/>
        </w:rPr>
        <w:t>the Borrower or its securities for purposes of United States federal and state securities laws or is of a type that would be publicly available if the Borrower were a public reporting company (as reasonably determined by the Borrower). Notwithstanding the foregoing, the Borrower shall not be under any obligation to mark any Borrower Materials “</w:t>
      </w:r>
      <w:r>
        <w:rPr>
          <w:rFonts w:ascii="Arial" w:cs="Arial" w:eastAsia="Arial" w:hAnsi="Arial"/>
          <w:sz w:val="21"/>
          <w:szCs w:val="21"/>
          <w:b w:val="1"/>
          <w:bCs w:val="1"/>
          <w:color w:val="auto"/>
        </w:rPr>
        <w:t>PUBLIC.</w:t>
      </w:r>
      <w:r>
        <w:rPr>
          <w:rFonts w:ascii="Arial" w:cs="Arial" w:eastAsia="Arial" w:hAnsi="Arial"/>
          <w:sz w:val="21"/>
          <w:szCs w:val="21"/>
          <w:color w:val="auto"/>
        </w:rPr>
        <w:t>” The Borrower agrees that (i) any Loan Documents, (ii) any financial statements delivered pursuant to Section 6.01 and (iii) any Compliance Certificates delivered pursuant to Section 6.02(a) and (iv) notices delivered pursuant to Section 6.03(a) will be deemed to be “</w:t>
      </w:r>
      <w:r>
        <w:rPr>
          <w:rFonts w:ascii="Arial" w:cs="Arial" w:eastAsia="Arial" w:hAnsi="Arial"/>
          <w:sz w:val="21"/>
          <w:szCs w:val="21"/>
          <w:b w:val="1"/>
          <w:bCs w:val="1"/>
          <w:color w:val="auto"/>
        </w:rPr>
        <w:t>public-side</w:t>
      </w:r>
      <w:r>
        <w:rPr>
          <w:rFonts w:ascii="Arial" w:cs="Arial" w:eastAsia="Arial" w:hAnsi="Arial"/>
          <w:sz w:val="21"/>
          <w:szCs w:val="21"/>
          <w:color w:val="auto"/>
        </w:rPr>
        <w:t>” Borrower Materials and may be made available to Public Lenders.</w:t>
      </w:r>
    </w:p>
    <w:p>
      <w:pPr>
        <w:spacing w:after="0" w:line="178"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20"/>
          <w:szCs w:val="20"/>
          <w:color w:val="auto"/>
        </w:rPr>
        <w:t>Each Public Lender agrees to cause at least one individual at or on behalf of such Public Lender to at all times have selected the “</w:t>
      </w:r>
      <w:r>
        <w:rPr>
          <w:rFonts w:ascii="Arial" w:cs="Arial" w:eastAsia="Arial" w:hAnsi="Arial"/>
          <w:sz w:val="20"/>
          <w:szCs w:val="20"/>
          <w:b w:val="1"/>
          <w:bCs w:val="1"/>
          <w:color w:val="auto"/>
        </w:rPr>
        <w:t>Private Side Information</w:t>
      </w:r>
      <w:r>
        <w:rPr>
          <w:rFonts w:ascii="Arial" w:cs="Arial" w:eastAsia="Arial" w:hAnsi="Arial"/>
          <w:sz w:val="20"/>
          <w:szCs w:val="20"/>
          <w:color w:val="auto"/>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w:t>
      </w:r>
      <w:r>
        <w:rPr>
          <w:rFonts w:ascii="Arial" w:cs="Arial" w:eastAsia="Arial" w:hAnsi="Arial"/>
          <w:sz w:val="20"/>
          <w:szCs w:val="20"/>
          <w:b w:val="1"/>
          <w:bCs w:val="1"/>
          <w:color w:val="auto"/>
        </w:rPr>
        <w:t>Public Side</w:t>
      </w:r>
      <w:r>
        <w:rPr>
          <w:rFonts w:ascii="Arial" w:cs="Arial" w:eastAsia="Arial" w:hAnsi="Arial"/>
          <w:sz w:val="20"/>
          <w:szCs w:val="20"/>
          <w:color w:val="auto"/>
        </w:rPr>
        <w:t xml:space="preserve"> </w:t>
      </w:r>
      <w:r>
        <w:rPr>
          <w:rFonts w:ascii="Arial" w:cs="Arial" w:eastAsia="Arial" w:hAnsi="Arial"/>
          <w:sz w:val="20"/>
          <w:szCs w:val="20"/>
          <w:b w:val="1"/>
          <w:bCs w:val="1"/>
          <w:color w:val="auto"/>
        </w:rPr>
        <w:t>Information</w:t>
      </w:r>
      <w:r>
        <w:rPr>
          <w:rFonts w:ascii="Arial" w:cs="Arial" w:eastAsia="Arial" w:hAnsi="Arial"/>
          <w:sz w:val="20"/>
          <w:szCs w:val="20"/>
          <w:color w:val="auto"/>
        </w:rPr>
        <w:t>” portion of the Platform and that may contain material non-public information with respect to the Borrower or its</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for purposes of United States federal or state securities laws.</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i w:val="1"/>
          <w:iCs w:val="1"/>
          <w:color w:val="auto"/>
        </w:rPr>
        <w:t>Notices</w:t>
      </w:r>
      <w:r>
        <w:rPr>
          <w:rFonts w:ascii="Arial" w:cs="Arial" w:eastAsia="Arial" w:hAnsi="Arial"/>
          <w:sz w:val="21"/>
          <w:szCs w:val="21"/>
          <w:color w:val="auto"/>
        </w:rPr>
        <w:t>. Promptly after a Responsible Officer of Holdings or the Borrower has obtained knowledge thereof, notify the Administrative Agent for further distribution to each Lender:</w:t>
      </w:r>
    </w:p>
    <w:p>
      <w:pPr>
        <w:spacing w:after="0" w:line="150" w:lineRule="exact"/>
        <w:rPr>
          <w:sz w:val="20"/>
          <w:szCs w:val="20"/>
          <w:color w:val="auto"/>
        </w:rPr>
      </w:pPr>
    </w:p>
    <w:p>
      <w:pPr>
        <w:ind w:left="1060" w:hanging="438"/>
        <w:spacing w:after="0"/>
        <w:tabs>
          <w:tab w:leader="none" w:pos="106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of the occurrence of any Default;</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of any matter that has resulted or would reasonably be expected to result in a Material Adverse Effect; and</w:t>
      </w:r>
    </w:p>
    <w:p>
      <w:pPr>
        <w:spacing w:after="0" w:line="171" w:lineRule="exact"/>
        <w:rPr>
          <w:rFonts w:ascii="Arial" w:cs="Arial" w:eastAsia="Arial" w:hAnsi="Arial"/>
          <w:sz w:val="21"/>
          <w:szCs w:val="21"/>
          <w:color w:val="auto"/>
        </w:rPr>
      </w:pPr>
    </w:p>
    <w:p>
      <w:pPr>
        <w:jc w:val="both"/>
        <w:ind w:firstLine="622"/>
        <w:spacing w:after="0" w:line="219" w:lineRule="auto"/>
        <w:tabs>
          <w:tab w:leader="none" w:pos="1108" w:val="left"/>
        </w:tabs>
        <w:numPr>
          <w:ilvl w:val="0"/>
          <w:numId w:val="181"/>
        </w:numPr>
        <w:rPr>
          <w:rFonts w:ascii="Arial" w:cs="Arial" w:eastAsia="Arial" w:hAnsi="Arial"/>
          <w:sz w:val="21"/>
          <w:szCs w:val="21"/>
          <w:color w:val="auto"/>
        </w:rPr>
      </w:pPr>
      <w:r>
        <w:rPr>
          <w:rFonts w:ascii="Arial" w:cs="Arial" w:eastAsia="Arial" w:hAnsi="Arial"/>
          <w:sz w:val="21"/>
          <w:szCs w:val="21"/>
          <w:color w:val="auto"/>
        </w:rPr>
        <w:t>of the filing or commencement of any action, suit, litigation or proceeding, whether at law or in equity by or before any Governmental Authority, (i) against Holdings, the Borrower or any of its Subsidiaries thereof that would reasonably be expected to result in a Material Adverse Effect or (ii) with respect to any Loan Document affecting the rights or obligations of the Borrower or any other Loan Party.</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notice pursuant to this Section 6.03 shall be accompanied by a written statement of a Responsible Officer of the Borrower</w:t>
      </w:r>
    </w:p>
    <w:p>
      <w:pPr>
        <w:spacing w:after="0" w:line="17" w:lineRule="exact"/>
        <w:rPr>
          <w:sz w:val="20"/>
          <w:szCs w:val="20"/>
          <w:color w:val="auto"/>
        </w:rPr>
      </w:pPr>
    </w:p>
    <w:p>
      <w:pPr>
        <w:ind w:firstLine="3"/>
        <w:spacing w:after="0" w:line="235" w:lineRule="auto"/>
        <w:tabs>
          <w:tab w:leader="none" w:pos="331"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that such notice is being delivered pursuant to Sections 6.03(a), (b) or (c) (as applicable) and (y) setting forth details of the occurrence referred to therein and stating what action the Borrower has taken and proposes to take with respect thereto.</w:t>
      </w:r>
    </w:p>
    <w:p>
      <w:pPr>
        <w:spacing w:after="0" w:line="150"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i w:val="1"/>
          <w:iCs w:val="1"/>
          <w:color w:val="auto"/>
        </w:rPr>
        <w:t>Payment of Taxes</w:t>
      </w:r>
      <w:r>
        <w:rPr>
          <w:rFonts w:ascii="Arial" w:cs="Arial" w:eastAsia="Arial" w:hAnsi="Arial"/>
          <w:sz w:val="21"/>
          <w:szCs w:val="21"/>
          <w:color w:val="auto"/>
        </w:rPr>
        <w:t>. Pay, discharge or otherwise satisfy as the same shall become due and payable in the normal conduct of its business, all its obligations and liabilities in respect of Taxes imposed upon it or upon its income or profits or in respect of its property (including in its capacity as a withholding agent), except, in each case, (i) to the extent any such Tax is being contested in good faith and by appropriate proceedings for which appropriate reserves have been established in accordance with GAAP or (ii) if such failure to pay or discharge such obligations and liabilities would not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166</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31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i w:val="1"/>
          <w:iCs w:val="1"/>
          <w:color w:val="auto"/>
        </w:rPr>
        <w:t>Preservation of Existence, Etc.</w:t>
      </w:r>
      <w:r>
        <w:rPr>
          <w:rFonts w:ascii="Arial" w:cs="Arial" w:eastAsia="Arial" w:hAnsi="Arial"/>
          <w:sz w:val="21"/>
          <w:szCs w:val="21"/>
          <w:color w:val="auto"/>
        </w:rPr>
        <w:t xml:space="preserve"> (a) Preserve, renew and maintain in full force and effect its legal existence under the Laws of the jurisdiction of its organization except (x) in a transaction permitted by Sections 7.04 or 7.05 and (y) any Restricted Subsidiary may merge or consolidate with any other Restricted Subsidiary and</w:t>
      </w:r>
    </w:p>
    <w:p>
      <w:pPr>
        <w:spacing w:after="0" w:line="149" w:lineRule="exact"/>
        <w:rPr>
          <w:sz w:val="20"/>
          <w:szCs w:val="20"/>
          <w:color w:val="auto"/>
        </w:rPr>
      </w:pPr>
    </w:p>
    <w:p>
      <w:pPr>
        <w:jc w:val="both"/>
        <w:ind w:firstLine="622"/>
        <w:spacing w:after="0" w:line="249" w:lineRule="auto"/>
        <w:tabs>
          <w:tab w:leader="none" w:pos="113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take all reasonable action to maintain all rights, privileges (including its good standing where applicable in the relevant jurisdiction), permits, licenses and franchises necessary or desirable in the normal conduct of its business, except, in the case of clause</w:t>
      </w:r>
    </w:p>
    <w:p>
      <w:pPr>
        <w:spacing w:after="0" w:line="1" w:lineRule="exact"/>
        <w:rPr>
          <w:rFonts w:ascii="Arial" w:cs="Arial" w:eastAsia="Arial" w:hAnsi="Arial"/>
          <w:sz w:val="18"/>
          <w:szCs w:val="18"/>
          <w:color w:val="auto"/>
        </w:rPr>
      </w:pPr>
    </w:p>
    <w:p>
      <w:pPr>
        <w:jc w:val="both"/>
        <w:ind w:firstLine="3"/>
        <w:spacing w:after="0" w:line="218" w:lineRule="auto"/>
        <w:tabs>
          <w:tab w:leader="none" w:pos="30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(other than with respect to the Borrower) or (b), (i) to the extent that failure to do so would not reasonably be expected to have, individually or in the aggregate, a Material Adverse Effect or (ii) pursuant to a transaction permitted by Article 7 or clause (a)(y) of this Section 6.05.</w:t>
      </w:r>
    </w:p>
    <w:p>
      <w:pPr>
        <w:spacing w:after="0" w:line="149"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 xml:space="preserve">Section 6.06. </w:t>
      </w:r>
      <w:r>
        <w:rPr>
          <w:rFonts w:ascii="Arial" w:cs="Arial" w:eastAsia="Arial" w:hAnsi="Arial"/>
          <w:sz w:val="21"/>
          <w:szCs w:val="21"/>
          <w:i w:val="1"/>
          <w:iCs w:val="1"/>
          <w:color w:val="auto"/>
        </w:rPr>
        <w:t>Maintenance of Properties</w:t>
      </w:r>
      <w:r>
        <w:rPr>
          <w:rFonts w:ascii="Arial" w:cs="Arial" w:eastAsia="Arial" w:hAnsi="Arial"/>
          <w:sz w:val="21"/>
          <w:szCs w:val="21"/>
          <w:color w:val="auto"/>
        </w:rPr>
        <w:t>. Except if the failure to do so would not reasonably be expected to have, individually or in the aggregate, a Material Adverse Effect, maintain, preserve and protect all of its material tangible or intangible properties and equipment necessary in the operation of its business in good working order, repair and condition, ordinary wear and tear excepted and fire, casualty or condemnation excepted.</w:t>
      </w:r>
    </w:p>
    <w:p>
      <w:pPr>
        <w:spacing w:after="0" w:line="150" w:lineRule="exact"/>
        <w:rPr>
          <w:sz w:val="20"/>
          <w:szCs w:val="20"/>
          <w:color w:val="auto"/>
        </w:rPr>
      </w:pPr>
    </w:p>
    <w:p>
      <w:pPr>
        <w:jc w:val="both"/>
        <w:ind w:firstLine="619"/>
        <w:spacing w:after="0" w:line="227" w:lineRule="auto"/>
        <w:rPr>
          <w:sz w:val="20"/>
          <w:szCs w:val="20"/>
          <w:color w:val="auto"/>
        </w:rPr>
      </w:pPr>
      <w:r>
        <w:rPr>
          <w:rFonts w:ascii="Arial" w:cs="Arial" w:eastAsia="Arial" w:hAnsi="Arial"/>
          <w:sz w:val="20"/>
          <w:szCs w:val="20"/>
          <w:color w:val="auto"/>
        </w:rPr>
        <w:t xml:space="preserve">Section 6.07. </w:t>
      </w:r>
      <w:r>
        <w:rPr>
          <w:rFonts w:ascii="Arial" w:cs="Arial" w:eastAsia="Arial" w:hAnsi="Arial"/>
          <w:sz w:val="20"/>
          <w:szCs w:val="20"/>
          <w:i w:val="1"/>
          <w:iCs w:val="1"/>
          <w:color w:val="auto"/>
        </w:rPr>
        <w:t>Maintenance of Insurance</w:t>
      </w:r>
      <w:r>
        <w:rPr>
          <w:rFonts w:ascii="Arial" w:cs="Arial" w:eastAsia="Arial" w:hAnsi="Arial"/>
          <w:sz w:val="20"/>
          <w:szCs w:val="20"/>
          <w:color w:val="auto"/>
        </w:rPr>
        <w:t xml:space="preserve">. (a) </w:t>
      </w:r>
      <w:r>
        <w:rPr>
          <w:rFonts w:ascii="Arial" w:cs="Arial" w:eastAsia="Arial" w:hAnsi="Arial"/>
          <w:sz w:val="20"/>
          <w:szCs w:val="20"/>
          <w:i w:val="1"/>
          <w:iCs w:val="1"/>
          <w:color w:val="auto"/>
        </w:rPr>
        <w:t>Generally</w:t>
      </w:r>
      <w:r>
        <w:rPr>
          <w:rFonts w:ascii="Arial" w:cs="Arial" w:eastAsia="Arial" w:hAnsi="Arial"/>
          <w:sz w:val="20"/>
          <w:szCs w:val="20"/>
          <w:color w:val="auto"/>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w:t>
      </w:r>
    </w:p>
    <w:p>
      <w:pPr>
        <w:spacing w:after="0" w:line="150" w:lineRule="exact"/>
        <w:rPr>
          <w:sz w:val="20"/>
          <w:szCs w:val="20"/>
          <w:color w:val="auto"/>
        </w:rPr>
      </w:pPr>
    </w:p>
    <w:p>
      <w:pPr>
        <w:jc w:val="both"/>
        <w:ind w:firstLine="622"/>
        <w:spacing w:after="0" w:line="222" w:lineRule="auto"/>
        <w:tabs>
          <w:tab w:leader="none" w:pos="1169" w:val="left"/>
        </w:tabs>
        <w:numPr>
          <w:ilvl w:val="0"/>
          <w:numId w:val="185"/>
        </w:numPr>
        <w:rPr>
          <w:rFonts w:ascii="Arial" w:cs="Arial" w:eastAsia="Arial" w:hAnsi="Arial"/>
          <w:sz w:val="20"/>
          <w:szCs w:val="20"/>
          <w:color w:val="auto"/>
        </w:rPr>
      </w:pPr>
      <w:r>
        <w:rPr>
          <w:rFonts w:ascii="Arial" w:cs="Arial" w:eastAsia="Arial" w:hAnsi="Arial"/>
          <w:sz w:val="20"/>
          <w:szCs w:val="20"/>
          <w:i w:val="1"/>
          <w:iCs w:val="1"/>
          <w:color w:val="auto"/>
        </w:rPr>
        <w:t>Requirements of Insurance</w:t>
      </w:r>
      <w:r>
        <w:rPr>
          <w:rFonts w:ascii="Arial" w:cs="Arial" w:eastAsia="Arial" w:hAnsi="Arial"/>
          <w:sz w:val="20"/>
          <w:szCs w:val="20"/>
          <w:color w:val="auto"/>
        </w:rPr>
        <w:t>. All such insurance shall (i) provide that no cancellation, material reduction in amount or</w:t>
      </w:r>
      <w:r>
        <w:rPr>
          <w:rFonts w:ascii="Arial" w:cs="Arial" w:eastAsia="Arial" w:hAnsi="Arial"/>
          <w:sz w:val="20"/>
          <w:szCs w:val="20"/>
          <w:i w:val="1"/>
          <w:iCs w:val="1"/>
          <w:color w:val="auto"/>
        </w:rPr>
        <w:t xml:space="preserve"> </w:t>
      </w:r>
      <w:r>
        <w:rPr>
          <w:rFonts w:ascii="Arial" w:cs="Arial" w:eastAsia="Arial" w:hAnsi="Arial"/>
          <w:sz w:val="20"/>
          <w:szCs w:val="20"/>
          <w:color w:val="auto"/>
        </w:rPr>
        <w:t>material change in coverage thereof shall be effective until at least 10 days (or, to the extent reasonably available, 30 days) after receipt by the Collateral Agent of written notice thereof (the Borrower shall deliver a copy of the policy (and to the extent any such policy is cancelled or renewed, a renewal or replacement policy) or other evidence thereof to the Administrative Agent and the Collateral Agent, or insurance certificate with respect thereto) and (ii) name the Collateral Agent as loss payee (in the case of property insurance) or additional insured on behalf of the Secured Parties (in the case of liability insurance) (it being understood that, absent an Event of Default, any proceeds of any such property insurance shall be delivered by the insurer(s) to the Borrower or one of its Subsidiaries and applied in accordance with this Agreement), as applicable.</w:t>
      </w:r>
    </w:p>
    <w:p>
      <w:pPr>
        <w:spacing w:after="0" w:line="155"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6.08. </w:t>
      </w:r>
      <w:r>
        <w:rPr>
          <w:rFonts w:ascii="Arial" w:cs="Arial" w:eastAsia="Arial" w:hAnsi="Arial"/>
          <w:sz w:val="21"/>
          <w:szCs w:val="21"/>
          <w:i w:val="1"/>
          <w:iCs w:val="1"/>
          <w:color w:val="auto"/>
        </w:rPr>
        <w:t>Compliance with Laws</w:t>
      </w:r>
      <w:r>
        <w:rPr>
          <w:rFonts w:ascii="Arial" w:cs="Arial" w:eastAsia="Arial" w:hAnsi="Arial"/>
          <w:sz w:val="21"/>
          <w:szCs w:val="21"/>
          <w:color w:val="auto"/>
        </w:rPr>
        <w:t>. Comply with, 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spacing w:after="0" w:line="149"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6.09. </w:t>
      </w:r>
      <w:r>
        <w:rPr>
          <w:rFonts w:ascii="Arial" w:cs="Arial" w:eastAsia="Arial" w:hAnsi="Arial"/>
          <w:sz w:val="21"/>
          <w:szCs w:val="21"/>
          <w:i w:val="1"/>
          <w:iCs w:val="1"/>
          <w:color w:val="auto"/>
        </w:rPr>
        <w:t>Books and Records</w:t>
      </w:r>
      <w:r>
        <w:rPr>
          <w:rFonts w:ascii="Arial" w:cs="Arial" w:eastAsia="Arial" w:hAnsi="Arial"/>
          <w:sz w:val="21"/>
          <w:szCs w:val="21"/>
          <w:color w:val="auto"/>
        </w:rPr>
        <w:t>. Maintain proper books of record and account, in which entries that are full, true and correct in all material respects and are in conformity with GAAP consistently applied and which reflect all material financial transactions and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167</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316" w:lineRule="exact"/>
        <w:rPr>
          <w:sz w:val="20"/>
          <w:szCs w:val="20"/>
          <w:color w:val="auto"/>
        </w:rPr>
      </w:pPr>
    </w:p>
    <w:p>
      <w:pPr>
        <w:jc w:val="both"/>
        <w:ind w:firstLine="6"/>
        <w:spacing w:after="0" w:line="219" w:lineRule="auto"/>
        <w:rPr>
          <w:sz w:val="20"/>
          <w:szCs w:val="20"/>
          <w:color w:val="auto"/>
        </w:rPr>
      </w:pPr>
      <w:r>
        <w:rPr>
          <w:rFonts w:ascii="Arial" w:cs="Arial" w:eastAsia="Arial" w:hAnsi="Arial"/>
          <w:sz w:val="21"/>
          <w:szCs w:val="21"/>
          <w:color w:val="auto"/>
        </w:rPr>
        <w:t>involving the assets and business of the Borrower or a Restricted Subsidiary, as the case may be (it being understood and agreed that certain Foreign Subsidiaries maintain individual books and records in conformity with generally accepted accounting principles in their respective countries of organization and that such maintenance shall not constitute a breach of the representations, warranties or covenants hereunder).</w:t>
      </w:r>
    </w:p>
    <w:p>
      <w:pPr>
        <w:spacing w:after="0" w:line="176"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i w:val="1"/>
          <w:iCs w:val="1"/>
          <w:color w:val="auto"/>
        </w:rPr>
        <w:t>Inspection Rights</w:t>
      </w:r>
      <w:r>
        <w:rPr>
          <w:rFonts w:ascii="Arial" w:cs="Arial" w:eastAsia="Arial" w:hAnsi="Arial"/>
          <w:sz w:val="19"/>
          <w:szCs w:val="19"/>
          <w:color w:val="auto"/>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excluding any such visits and inspections during the continuation of an Event of Default, only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on behalf of the Lenders may exercise rights of the Administrative Agent and the Lenders under this Section 6.10 and the Administrative Agent shall not exercise such rights more often than two times during any calendar year and only one (1) such time shall be at the Borrower’s expense; </w:t>
      </w:r>
      <w:r>
        <w:rPr>
          <w:rFonts w:ascii="Arial" w:cs="Arial" w:eastAsia="Arial" w:hAnsi="Arial"/>
          <w:sz w:val="19"/>
          <w:szCs w:val="19"/>
          <w:i w:val="1"/>
          <w:iCs w:val="1"/>
          <w:color w:val="auto"/>
        </w:rPr>
        <w:t>provided, further</w:t>
      </w:r>
      <w:r>
        <w:rPr>
          <w:rFonts w:ascii="Arial" w:cs="Arial" w:eastAsia="Arial" w:hAnsi="Arial"/>
          <w:sz w:val="19"/>
          <w:szCs w:val="19"/>
          <w:color w:val="auto"/>
        </w:rPr>
        <w:t>, that when an Event of Default exists, the Administrative Agent or any Lender (or any of their respective representatives or independent contractors) may do any of the foregoing at the expense of the Borrower at any time during normal business hours and upon reasonable advance notice.</w:t>
      </w:r>
    </w:p>
    <w:p>
      <w:pPr>
        <w:spacing w:after="0" w:line="152"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color w:val="auto"/>
        </w:rPr>
        <w:t>The Administrative Agent and the Lenders shall give the Borrower the opportunity to participate in any discussions with the Borrower’s independent public accountants. Notwithstanding anything to the contrary in this Section 6.10, none of the Borrower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(iii) is subject to attorney-client or similar privilege or constitutes attorney work-product.</w:t>
      </w:r>
    </w:p>
    <w:p>
      <w:pPr>
        <w:spacing w:after="0" w:line="149"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i w:val="1"/>
          <w:iCs w:val="1"/>
          <w:color w:val="auto"/>
        </w:rPr>
        <w:t>Additional Collateral; Additional Guarantors</w:t>
      </w:r>
      <w:r>
        <w:rPr>
          <w:rFonts w:ascii="Arial" w:cs="Arial" w:eastAsia="Arial" w:hAnsi="Arial"/>
          <w:sz w:val="20"/>
          <w:szCs w:val="20"/>
          <w:color w:val="auto"/>
        </w:rPr>
        <w:t>. At the Borrower’s expense, take all action either necessary or as reasonably requested by the Administrative Agent or the Collateral Agent to ensure that the Collateral and Guarantee Requirement continues to be satisfied, including upon (x) the formation or acquisition of any new direct or indirect wholly owned Domestic Subsidiary (in each case, other than an Excluded Subsidiary) by the Borrower (including, without limitation, upon the formation of any Subsidiary that is a Delaware Divided LLC and is not otherwise an Excluded Subsidiary), (y) any Excluded Subsidiary ceasing to constitute an Excluded Subsidiary or (z) the designation in accordance with Section 6.14 of an existing direct or indirect wholly owned Domestic Subsidiary (other than an Excluded Subsidiary) as a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168</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316" w:lineRule="exact"/>
        <w:rPr>
          <w:sz w:val="20"/>
          <w:szCs w:val="20"/>
          <w:color w:val="auto"/>
        </w:rPr>
      </w:pPr>
    </w:p>
    <w:p>
      <w:pPr>
        <w:ind w:left="620" w:firstLine="621"/>
        <w:spacing w:after="0" w:line="233" w:lineRule="auto"/>
        <w:tabs>
          <w:tab w:leader="none" w:pos="1756" w:val="left"/>
        </w:tabs>
        <w:numPr>
          <w:ilvl w:val="0"/>
          <w:numId w:val="186"/>
        </w:numPr>
        <w:rPr>
          <w:rFonts w:ascii="Arial" w:cs="Arial" w:eastAsia="Arial" w:hAnsi="Arial"/>
          <w:sz w:val="21"/>
          <w:szCs w:val="21"/>
          <w:color w:val="auto"/>
        </w:rPr>
      </w:pPr>
      <w:r>
        <w:rPr>
          <w:rFonts w:ascii="Arial" w:cs="Arial" w:eastAsia="Arial" w:hAnsi="Arial"/>
          <w:sz w:val="21"/>
          <w:szCs w:val="21"/>
          <w:color w:val="auto"/>
        </w:rPr>
        <w:t>within sixty (60) days after such formation, acquisition, cessation or designation, or such longer period as the Administrative Agent may agree in writing in its discretion, notify the Administrative Agent thereof and:</w:t>
      </w:r>
    </w:p>
    <w:p>
      <w:pPr>
        <w:spacing w:after="0" w:line="149" w:lineRule="exact"/>
        <w:rPr>
          <w:rFonts w:ascii="Arial" w:cs="Arial" w:eastAsia="Arial" w:hAnsi="Arial"/>
          <w:sz w:val="21"/>
          <w:szCs w:val="21"/>
          <w:color w:val="auto"/>
        </w:rPr>
      </w:pPr>
    </w:p>
    <w:p>
      <w:pPr>
        <w:jc w:val="both"/>
        <w:ind w:left="1240" w:firstLine="620"/>
        <w:spacing w:after="0" w:line="213" w:lineRule="auto"/>
        <w:tabs>
          <w:tab w:leader="none" w:pos="2482" w:val="left"/>
        </w:tabs>
        <w:numPr>
          <w:ilvl w:val="1"/>
          <w:numId w:val="186"/>
        </w:numPr>
        <w:rPr>
          <w:rFonts w:ascii="Arial" w:cs="Arial" w:eastAsia="Arial" w:hAnsi="Arial"/>
          <w:sz w:val="21"/>
          <w:szCs w:val="21"/>
          <w:color w:val="auto"/>
        </w:rPr>
      </w:pPr>
      <w:r>
        <w:rPr>
          <w:rFonts w:ascii="Arial" w:cs="Arial" w:eastAsia="Arial" w:hAnsi="Arial"/>
          <w:sz w:val="21"/>
          <w:szCs w:val="21"/>
          <w:color w:val="auto"/>
        </w:rPr>
        <w:t>cause each such Domestic Subsidiary to duly execute and deliver to the Administrative Agent or the Collateral Agent (as appropriate) joinders to this Agreement as Guarantors, Security Agreement Supplements, Intellectual Property Security Agreements, a counterpart of the Intercompany Note, each Intercreditor Agreement, if applicable, and other security agreements and documents, as reasonably requested by and in form and substance reasonably satisfactory to the Administrative Agent (consistent with the, Security Agreement and other security agreements in effect on the Closing Date), in each case granting Liens required by the Collateral and Guarantee Requirement;</w:t>
      </w:r>
    </w:p>
    <w:p>
      <w:pPr>
        <w:spacing w:after="0" w:line="149" w:lineRule="exact"/>
        <w:rPr>
          <w:rFonts w:ascii="Arial" w:cs="Arial" w:eastAsia="Arial" w:hAnsi="Arial"/>
          <w:sz w:val="21"/>
          <w:szCs w:val="21"/>
          <w:color w:val="auto"/>
        </w:rPr>
      </w:pPr>
    </w:p>
    <w:p>
      <w:pPr>
        <w:jc w:val="both"/>
        <w:ind w:left="1240" w:firstLine="620"/>
        <w:spacing w:after="0" w:line="243" w:lineRule="auto"/>
        <w:tabs>
          <w:tab w:leader="none" w:pos="2343" w:val="left"/>
        </w:tabs>
        <w:numPr>
          <w:ilvl w:val="1"/>
          <w:numId w:val="186"/>
        </w:numPr>
        <w:rPr>
          <w:rFonts w:ascii="Arial" w:cs="Arial" w:eastAsia="Arial" w:hAnsi="Arial"/>
          <w:sz w:val="19"/>
          <w:szCs w:val="19"/>
          <w:color w:val="auto"/>
        </w:rPr>
      </w:pPr>
      <w:r>
        <w:rPr>
          <w:rFonts w:ascii="Arial" w:cs="Arial" w:eastAsia="Arial" w:hAnsi="Arial"/>
          <w:sz w:val="19"/>
          <w:szCs w:val="19"/>
          <w:color w:val="auto"/>
        </w:rPr>
        <w:t>cause each such Domestic Subsidiary (and the parent of each such Domestic Subsidiary that is a Guarantor) to deliver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spacing w:after="0" w:line="146" w:lineRule="exact"/>
        <w:rPr>
          <w:rFonts w:ascii="Arial" w:cs="Arial" w:eastAsia="Arial" w:hAnsi="Arial"/>
          <w:sz w:val="19"/>
          <w:szCs w:val="19"/>
          <w:color w:val="auto"/>
        </w:rPr>
      </w:pPr>
    </w:p>
    <w:p>
      <w:pPr>
        <w:jc w:val="both"/>
        <w:ind w:left="1240" w:firstLine="620"/>
        <w:spacing w:after="0" w:line="237" w:lineRule="auto"/>
        <w:tabs>
          <w:tab w:leader="none" w:pos="2355" w:val="left"/>
        </w:tabs>
        <w:numPr>
          <w:ilvl w:val="1"/>
          <w:numId w:val="186"/>
        </w:numPr>
        <w:rPr>
          <w:rFonts w:ascii="Arial" w:cs="Arial" w:eastAsia="Arial" w:hAnsi="Arial"/>
          <w:sz w:val="19"/>
          <w:szCs w:val="19"/>
          <w:color w:val="auto"/>
        </w:rPr>
      </w:pPr>
      <w:r>
        <w:rPr>
          <w:rFonts w:ascii="Arial" w:cs="Arial" w:eastAsia="Arial" w:hAnsi="Arial"/>
          <w:sz w:val="19"/>
          <w:szCs w:val="19"/>
          <w:color w:val="auto"/>
        </w:rPr>
        <w:t>take and cause such Domestic Subsidiary and each direct or indirect parent of such Domestic Subsidiary to take whatever action (including the filing of Uniform Commercial Code financing statements and Intellectual Property Security Agreements, and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spacing w:after="0" w:line="149" w:lineRule="exact"/>
        <w:rPr>
          <w:rFonts w:ascii="Arial" w:cs="Arial" w:eastAsia="Arial" w:hAnsi="Arial"/>
          <w:sz w:val="19"/>
          <w:szCs w:val="19"/>
          <w:color w:val="auto"/>
        </w:rPr>
      </w:pPr>
    </w:p>
    <w:p>
      <w:pPr>
        <w:ind w:left="1700" w:hanging="459"/>
        <w:spacing w:after="0"/>
        <w:tabs>
          <w:tab w:leader="none" w:pos="170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[reserved]; and</w:t>
      </w:r>
    </w:p>
    <w:p>
      <w:pPr>
        <w:spacing w:after="0" w:line="171" w:lineRule="exact"/>
        <w:rPr>
          <w:rFonts w:ascii="Arial" w:cs="Arial" w:eastAsia="Arial" w:hAnsi="Arial"/>
          <w:sz w:val="21"/>
          <w:szCs w:val="21"/>
          <w:color w:val="auto"/>
        </w:rPr>
      </w:pPr>
    </w:p>
    <w:p>
      <w:pPr>
        <w:jc w:val="both"/>
        <w:ind w:left="620" w:firstLine="621"/>
        <w:spacing w:after="0" w:line="239" w:lineRule="auto"/>
        <w:tabs>
          <w:tab w:leader="none" w:pos="1845" w:val="left"/>
        </w:tabs>
        <w:numPr>
          <w:ilvl w:val="0"/>
          <w:numId w:val="186"/>
        </w:numPr>
        <w:rPr>
          <w:rFonts w:ascii="Arial" w:cs="Arial" w:eastAsia="Arial" w:hAnsi="Arial"/>
          <w:sz w:val="19"/>
          <w:szCs w:val="19"/>
          <w:color w:val="auto"/>
        </w:rPr>
      </w:pPr>
      <w:r>
        <w:rPr>
          <w:rFonts w:ascii="Arial" w:cs="Arial" w:eastAsia="Arial" w:hAnsi="Arial"/>
          <w:sz w:val="19"/>
          <w:szCs w:val="19"/>
          <w:color w:val="auto"/>
        </w:rPr>
        <w:t>if reasonably requested by the Administrative Agent or the Collateral Agent, within sixty (60) days after such request (or such longer period as the Administrative Agent may agree in writing in its discretion),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clause (i).</w:t>
      </w:r>
    </w:p>
    <w:p>
      <w:pPr>
        <w:spacing w:after="0" w:line="150"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 xml:space="preserve">Section 6.12. </w:t>
      </w:r>
      <w:r>
        <w:rPr>
          <w:rFonts w:ascii="Arial" w:cs="Arial" w:eastAsia="Arial" w:hAnsi="Arial"/>
          <w:sz w:val="21"/>
          <w:szCs w:val="21"/>
          <w:i w:val="1"/>
          <w:iCs w:val="1"/>
          <w:color w:val="auto"/>
        </w:rPr>
        <w:t>Compliance with Environmental Laws</w:t>
      </w:r>
      <w:r>
        <w:rPr>
          <w:rFonts w:ascii="Arial" w:cs="Arial" w:eastAsia="Arial" w:hAnsi="Arial"/>
          <w:sz w:val="21"/>
          <w:szCs w:val="21"/>
          <w:color w:val="auto"/>
        </w:rPr>
        <w:t>. Except, in each case, to the extent that the failure to do so would not reasonably be expected to have, individually or in the aggregate, a Material Adverse Effect, comply, and take all commercially reasonable actions to cause all lessees and other Persons operating or occupying its properties to comply with all applicable Environmental Laws and Environmental Permits; obtain, maintain and renew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169</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316" w:lineRule="exact"/>
        <w:rPr>
          <w:sz w:val="20"/>
          <w:szCs w:val="20"/>
          <w:color w:val="auto"/>
        </w:rPr>
      </w:pPr>
    </w:p>
    <w:p>
      <w:pPr>
        <w:jc w:val="both"/>
        <w:ind w:firstLine="6"/>
        <w:spacing w:after="0" w:line="235" w:lineRule="auto"/>
        <w:rPr>
          <w:sz w:val="20"/>
          <w:szCs w:val="20"/>
          <w:color w:val="auto"/>
        </w:rPr>
      </w:pPr>
      <w:r>
        <w:rPr>
          <w:rFonts w:ascii="Arial" w:cs="Arial" w:eastAsia="Arial" w:hAnsi="Arial"/>
          <w:sz w:val="20"/>
          <w:szCs w:val="20"/>
          <w:color w:val="auto"/>
        </w:rPr>
        <w:t>Environmental Permits necessary for its operations and properties; and, in each case to the extent the Loan Parties or their respective Subsidiaries are required by Environmental Laws, conduct any investigation, remedial or other corrective action necessary to address Hazardous Materials at any property or facility in accordance with applicable Environmental Laws.</w:t>
      </w:r>
    </w:p>
    <w:p>
      <w:pPr>
        <w:spacing w:after="0" w:line="175"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i w:val="1"/>
          <w:iCs w:val="1"/>
          <w:color w:val="auto"/>
        </w:rPr>
        <w:t>Further Assurances</w:t>
      </w:r>
      <w:r>
        <w:rPr>
          <w:rFonts w:ascii="Arial" w:cs="Arial" w:eastAsia="Arial" w:hAnsi="Arial"/>
          <w:sz w:val="19"/>
          <w:szCs w:val="19"/>
          <w:color w:val="auto"/>
        </w:rPr>
        <w:t>. Promptly upon reasonable request by the Administrative Agent (i) correct any material defect or error that may be discovered in the execution, acknowledgment, filing or recordation of any Intercreditor Agreement or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any Intercreditor Agreement or the Collateral Documents, to the extent required pursuant to the Collateral and Guarantee Requirement.</w:t>
      </w:r>
    </w:p>
    <w:p>
      <w:pPr>
        <w:spacing w:after="0" w:line="149"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i w:val="1"/>
          <w:iCs w:val="1"/>
          <w:color w:val="auto"/>
        </w:rPr>
        <w:t>Designation of Subsidiaries</w:t>
      </w:r>
      <w:r>
        <w:rPr>
          <w:rFonts w:ascii="Arial" w:cs="Arial" w:eastAsia="Arial" w:hAnsi="Arial"/>
          <w:sz w:val="19"/>
          <w:szCs w:val="19"/>
          <w:color w:val="auto"/>
        </w:rPr>
        <w:t xml:space="preserve">. The Borrower may at any time designate any Restricted Subsidiary of the Borrower as an Unrestricted Subsidiary or any Unrestricted Subsidiary as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immediately before and after such designation, no Event of Default shall have occurred and be continuing and (y) the Borrower shall be in compliance with the Financial Covenant on a Pro Forma Basis after giving effect to such designation. The designation of any Subsidiary as an Unrestricted Subsidiary after the Restatement Date shall constitute an Investment by the Borrower therein at the date of designation in an amount equal to the fair market value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Subsidiary’s (as applicable) Investment in such Subsidiary.</w:t>
      </w:r>
    </w:p>
    <w:p>
      <w:pPr>
        <w:spacing w:after="0" w:line="157"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6.15.</w:t>
      </w:r>
      <w:r>
        <w:rPr>
          <w:sz w:val="20"/>
          <w:szCs w:val="20"/>
          <w:color w:val="auto"/>
        </w:rPr>
        <w:tab/>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71"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8"/>
          <w:szCs w:val="18"/>
          <w:color w:val="auto"/>
        </w:rPr>
        <w:t>Section 6.16. [</w:t>
      </w:r>
      <w:r>
        <w:rPr>
          <w:rFonts w:ascii="Arial" w:cs="Arial" w:eastAsia="Arial" w:hAnsi="Arial"/>
          <w:sz w:val="18"/>
          <w:szCs w:val="18"/>
          <w:i w:val="1"/>
          <w:iCs w:val="1"/>
          <w:color w:val="auto"/>
        </w:rPr>
        <w:t>Post-Closing Covenants</w:t>
      </w:r>
      <w:r>
        <w:rPr>
          <w:rFonts w:ascii="Arial" w:cs="Arial" w:eastAsia="Arial" w:hAnsi="Arial"/>
          <w:sz w:val="18"/>
          <w:szCs w:val="18"/>
          <w:color w:val="auto"/>
        </w:rPr>
        <w:t>. Except as otherwise agreed by the Administrative Agent in its reasonable discretion, the Borrower shall, and shall cause each of the other Loan Parties to, deliver each of the documents, instruments and agreements and take each of the actions set forth on Schedule 6.16 to the Original Credit Agreement and Schedule 6.16 hereto, in each case, within the time periods set forth therein (or such longer time periods as determined by the Administrative Agent in its reasonable discretion).]</w:t>
      </w:r>
    </w:p>
    <w:p>
      <w:pPr>
        <w:spacing w:after="0" w:line="131"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 xml:space="preserve">Section 6.17. </w:t>
      </w:r>
      <w:r>
        <w:rPr>
          <w:rFonts w:ascii="Arial" w:cs="Arial" w:eastAsia="Arial" w:hAnsi="Arial"/>
          <w:sz w:val="21"/>
          <w:szCs w:val="21"/>
          <w:i w:val="1"/>
          <w:iCs w:val="1"/>
          <w:color w:val="auto"/>
        </w:rPr>
        <w:t>Change in Nature of Business</w:t>
      </w:r>
      <w:r>
        <w:rPr>
          <w:rFonts w:ascii="Arial" w:cs="Arial" w:eastAsia="Arial" w:hAnsi="Arial"/>
          <w:sz w:val="21"/>
          <w:szCs w:val="21"/>
          <w:color w:val="auto"/>
        </w:rPr>
        <w:t>. The Borrower shall not, nor shall the Borrower permit any of the Restricted Subsidiaries to, directly or indirectly, engage in any material line of business substantially different from those lines of business conducted by the Borrower and the Restricted Subsidiaries on the Restatement Date or any business reasonably related, complementary, synergistic or ancillary thereto or reasonable extensions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170</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316"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i w:val="1"/>
          <w:iCs w:val="1"/>
          <w:color w:val="auto"/>
        </w:rPr>
        <w:t>Use of Proceeds</w:t>
      </w:r>
      <w:r>
        <w:rPr>
          <w:rFonts w:ascii="Arial" w:cs="Arial" w:eastAsia="Arial" w:hAnsi="Arial"/>
          <w:sz w:val="19"/>
          <w:szCs w:val="19"/>
          <w:color w:val="auto"/>
        </w:rPr>
        <w:t>. The proceeds of the Restatement Date Term Loans received on the Restatement Date shall not be used for any purpose other than for the Transactions and to fund cash to the Borrower’s balance sheet. After the Restatement Date, the proceeds of the Revolving Credit Loans and Swing Line Loans shall be used for working capital, general corporate purposes and any other purpose not prohibited by this Agreement, including Permitted Acquisitions and other Investments. The Letters of Credit shall be used to support obligations of the Borrower and its Subsidiaries incurred for working capital, general corporate purposes and any other purpose not prohibited by this Agreement (including Permitted Acquisitions and other Investments).</w:t>
      </w:r>
    </w:p>
    <w:p>
      <w:pPr>
        <w:spacing w:after="0" w:line="149"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20"/>
          <w:szCs w:val="20"/>
          <w:color w:val="auto"/>
        </w:rPr>
        <w:t xml:space="preserve">Section 6.19. </w:t>
      </w:r>
      <w:r>
        <w:rPr>
          <w:rFonts w:ascii="Arial" w:cs="Arial" w:eastAsia="Arial" w:hAnsi="Arial"/>
          <w:sz w:val="20"/>
          <w:szCs w:val="20"/>
          <w:i w:val="1"/>
          <w:iCs w:val="1"/>
          <w:color w:val="auto"/>
        </w:rPr>
        <w:t>Accounting Changes</w:t>
      </w:r>
      <w:r>
        <w:rPr>
          <w:rFonts w:ascii="Arial" w:cs="Arial" w:eastAsia="Arial" w:hAnsi="Arial"/>
          <w:sz w:val="20"/>
          <w:szCs w:val="20"/>
          <w:color w:val="auto"/>
        </w:rPr>
        <w:t xml:space="preserve">. The Borrower shall not make any change in its fiscal year;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7</w:t>
      </w:r>
    </w:p>
    <w:p>
      <w:pPr>
        <w:jc w:val="center"/>
        <w:spacing w:after="0"/>
        <w:rPr>
          <w:sz w:val="20"/>
          <w:szCs w:val="20"/>
          <w:color w:val="auto"/>
        </w:rPr>
      </w:pPr>
      <w:r>
        <w:rPr>
          <w:rFonts w:ascii="Arial" w:cs="Arial" w:eastAsia="Arial" w:hAnsi="Arial"/>
          <w:sz w:val="21"/>
          <w:szCs w:val="21"/>
          <w:color w:val="auto"/>
        </w:rPr>
        <w:t>NEGATIVE COVENANTS</w:t>
      </w:r>
    </w:p>
    <w:p>
      <w:pPr>
        <w:spacing w:after="0" w:line="153"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So long as any Lender shall have any Commitment hereunder, any Loan or other Obligation hereunder (other than obligations under Treasury Services Agreements or obligations under Secured Hedge Agreements) which is accrued and payable shall remain unpaid or unsatisfied, or any Letter of Credit shall remain outstanding (unless the Outstanding Amount of the L/C Obligations related thereto has been Cash Collateralized or a backstop letter of credit reasonably satisfactory to the applicable L/C Issuer is in place), then from and after the Restatement Date:</w:t>
      </w:r>
    </w:p>
    <w:p>
      <w:pPr>
        <w:spacing w:after="0" w:line="151"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i w:val="1"/>
          <w:iCs w:val="1"/>
          <w:color w:val="auto"/>
        </w:rPr>
        <w:t>Liens</w:t>
      </w:r>
      <w:r>
        <w:rPr>
          <w:rFonts w:ascii="Arial" w:cs="Arial" w:eastAsia="Arial" w:hAnsi="Arial"/>
          <w:sz w:val="21"/>
          <w:szCs w:val="21"/>
          <w:color w:val="auto"/>
        </w:rPr>
        <w:t>. Neither the Borrower nor the Restricted Subsidiaries shall, directly or indirectly, create, incur, assume or suffer to exist any Lien that secures any obligations under Indebtedness upon any of its property, assets or revenues, whether now owned or hereafter acquired, other than the following:</w:t>
      </w:r>
    </w:p>
    <w:p>
      <w:pPr>
        <w:spacing w:after="0" w:line="149" w:lineRule="exact"/>
        <w:rPr>
          <w:sz w:val="20"/>
          <w:szCs w:val="20"/>
          <w:color w:val="auto"/>
        </w:rPr>
      </w:pPr>
    </w:p>
    <w:p>
      <w:pPr>
        <w:ind w:left="1060" w:hanging="438"/>
        <w:spacing w:after="0"/>
        <w:tabs>
          <w:tab w:leader="none" w:pos="106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Liens pursuant to any Loan Document;</w:t>
      </w:r>
    </w:p>
    <w:p>
      <w:pPr>
        <w:spacing w:after="0" w:line="171" w:lineRule="exact"/>
        <w:rPr>
          <w:rFonts w:ascii="Arial" w:cs="Arial" w:eastAsia="Arial" w:hAnsi="Arial"/>
          <w:sz w:val="21"/>
          <w:szCs w:val="21"/>
          <w:color w:val="auto"/>
        </w:rPr>
      </w:pPr>
    </w:p>
    <w:p>
      <w:pPr>
        <w:jc w:val="both"/>
        <w:ind w:firstLine="622"/>
        <w:spacing w:after="0" w:line="239" w:lineRule="auto"/>
        <w:tabs>
          <w:tab w:leader="none" w:pos="115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Liens existing on the Restatement Date and listed on Schedule 7.01(b) and any modifications, replacements, renewals, refinancings or extensions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Lien does not extend to any additional property other than (A) after-acquired property that is affixed or incorporated into the property covered by such Lien or financed by Indebtedness permitted under Section 7.03, and (B) proceeds and products thereof, and (ii) the replacement, renewal, extension or refinancing of the obligations secured or benefited by such Liens, to the extent constituting Indebtedness, is permitted by Section 7.03;</w:t>
      </w:r>
    </w:p>
    <w:p>
      <w:pPr>
        <w:spacing w:after="0" w:line="149" w:lineRule="exact"/>
        <w:rPr>
          <w:rFonts w:ascii="Arial" w:cs="Arial" w:eastAsia="Arial" w:hAnsi="Arial"/>
          <w:sz w:val="19"/>
          <w:szCs w:val="19"/>
          <w:color w:val="auto"/>
        </w:rPr>
      </w:pPr>
    </w:p>
    <w:p>
      <w:pPr>
        <w:jc w:val="both"/>
        <w:ind w:firstLine="622"/>
        <w:spacing w:after="0" w:line="251" w:lineRule="auto"/>
        <w:tabs>
          <w:tab w:leader="none" w:pos="1061" w:val="left"/>
        </w:tabs>
        <w:numPr>
          <w:ilvl w:val="0"/>
          <w:numId w:val="187"/>
        </w:numPr>
        <w:rPr>
          <w:rFonts w:ascii="Arial" w:cs="Arial" w:eastAsia="Arial" w:hAnsi="Arial"/>
          <w:sz w:val="19"/>
          <w:szCs w:val="19"/>
          <w:color w:val="auto"/>
        </w:rPr>
      </w:pPr>
      <w:r>
        <w:rPr>
          <w:rFonts w:ascii="Arial" w:cs="Arial" w:eastAsia="Arial" w:hAnsi="Arial"/>
          <w:sz w:val="19"/>
          <w:szCs w:val="19"/>
          <w:color w:val="auto"/>
        </w:rPr>
        <w:t>Liens for taxes, governmental duties, levies, assessments and charges (including any Lien imposed by the PBGC or similar Liens) that are not overdue for a period of more than sixty (60) days or not yet payable or subject to penalties for nonpayment or that are being contested in good faith and by appropriate actions diligently conducted, if adequate reserves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171</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thereto are maintained on the books of the applicable Person to the extent required in accordance with GAAP (as determined by the Borrower in good faith);</w:t>
      </w:r>
    </w:p>
    <w:p>
      <w:pPr>
        <w:spacing w:after="0" w:line="176" w:lineRule="exact"/>
        <w:rPr>
          <w:sz w:val="20"/>
          <w:szCs w:val="20"/>
          <w:color w:val="auto"/>
        </w:rPr>
      </w:pPr>
    </w:p>
    <w:p>
      <w:pPr>
        <w:jc w:val="both"/>
        <w:ind w:firstLine="622"/>
        <w:spacing w:after="0" w:line="239" w:lineRule="auto"/>
        <w:tabs>
          <w:tab w:leader="none" w:pos="112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statutory or common law Liens of landlords, sublandlords, carriers, warehousemen, mechanics, materialmen, repairmen, construction contractors or other like Liens that secure amounts not overdue for a period of more than sixty (60) days or if more than sixty (60) days overdue, that are unfiled and no other action has been taken to enforce such Lien or that are being contested in good faith and by appropriate actions diligently conducted, if adequate reserves with respect thereto are maintained on the books of the applicable Person to the extent required in accordance with GAAP (as determined by the Borrower in good faith);</w:t>
      </w:r>
    </w:p>
    <w:p>
      <w:pPr>
        <w:spacing w:after="0" w:line="149" w:lineRule="exact"/>
        <w:rPr>
          <w:rFonts w:ascii="Arial" w:cs="Arial" w:eastAsia="Arial" w:hAnsi="Arial"/>
          <w:sz w:val="19"/>
          <w:szCs w:val="19"/>
          <w:color w:val="auto"/>
        </w:rPr>
      </w:pPr>
    </w:p>
    <w:p>
      <w:pPr>
        <w:jc w:val="both"/>
        <w:ind w:firstLine="622"/>
        <w:spacing w:after="0" w:line="216" w:lineRule="auto"/>
        <w:tabs>
          <w:tab w:leader="none" w:pos="1064" w:val="left"/>
        </w:tabs>
        <w:numPr>
          <w:ilvl w:val="0"/>
          <w:numId w:val="188"/>
        </w:numPr>
        <w:rPr>
          <w:rFonts w:ascii="Arial" w:cs="Arial" w:eastAsia="Arial" w:hAnsi="Arial"/>
          <w:sz w:val="21"/>
          <w:szCs w:val="21"/>
          <w:color w:val="auto"/>
        </w:rPr>
      </w:pPr>
      <w:r>
        <w:rPr>
          <w:rFonts w:ascii="Arial" w:cs="Arial" w:eastAsia="Arial" w:hAnsi="Arial"/>
          <w:sz w:val="21"/>
          <w:szCs w:val="21"/>
          <w:color w:val="auto"/>
        </w:rPr>
        <w:t>(i) pledges, deposits or Liens in the ordinary course of business in connection with workers’ compensation,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or self-insurance to the Borrower or any of its Restricted Subsidiaries;</w:t>
      </w:r>
    </w:p>
    <w:p>
      <w:pPr>
        <w:spacing w:after="0" w:line="150" w:lineRule="exact"/>
        <w:rPr>
          <w:rFonts w:ascii="Arial" w:cs="Arial" w:eastAsia="Arial" w:hAnsi="Arial"/>
          <w:sz w:val="21"/>
          <w:szCs w:val="21"/>
          <w:color w:val="auto"/>
        </w:rPr>
      </w:pPr>
    </w:p>
    <w:p>
      <w:pPr>
        <w:jc w:val="both"/>
        <w:ind w:firstLine="622"/>
        <w:spacing w:after="0" w:line="255" w:lineRule="auto"/>
        <w:tabs>
          <w:tab w:leader="none" w:pos="104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Pledges, deposits or Liens to secure the performance of bids, trade contracts, governmental contracts and leases (other than Indebtedness for borrowed money), statutory or regulatory obligations, surety, stay, customs and appeal bonds, performance bonds and other obligations of a like nature (including (i) those to secure health, safety and environmental obligations and (ii) letters of credit and bank guarantees required or requested by any Governmental Authority in connection with any contract or Law) and letters of credit, bank guarantees or bankers acceptances and completion guarantees, in each case, issued or incurred in the ordinary course of business;</w:t>
      </w:r>
    </w:p>
    <w:p>
      <w:pPr>
        <w:spacing w:after="0" w:line="138" w:lineRule="exact"/>
        <w:rPr>
          <w:rFonts w:ascii="Arial" w:cs="Arial" w:eastAsia="Arial" w:hAnsi="Arial"/>
          <w:sz w:val="18"/>
          <w:szCs w:val="18"/>
          <w:color w:val="auto"/>
        </w:rPr>
      </w:pPr>
    </w:p>
    <w:p>
      <w:pPr>
        <w:jc w:val="both"/>
        <w:ind w:firstLine="622"/>
        <w:spacing w:after="0" w:line="224" w:lineRule="auto"/>
        <w:tabs>
          <w:tab w:leader="none" w:pos="1140" w:val="left"/>
        </w:tabs>
        <w:numPr>
          <w:ilvl w:val="0"/>
          <w:numId w:val="188"/>
        </w:numPr>
        <w:rPr>
          <w:rFonts w:ascii="Arial" w:cs="Arial" w:eastAsia="Arial" w:hAnsi="Arial"/>
          <w:sz w:val="21"/>
          <w:szCs w:val="21"/>
          <w:color w:val="auto"/>
        </w:rPr>
      </w:pPr>
      <w:r>
        <w:rPr>
          <w:rFonts w:ascii="Arial" w:cs="Arial" w:eastAsia="Arial" w:hAnsi="Arial"/>
          <w:sz w:val="21"/>
          <w:szCs w:val="21"/>
          <w:color w:val="auto"/>
        </w:rPr>
        <w:t>easements, rights-of-way, restrictions, encroachments, protrusions and other similar encumbrances and other minor title defects affecting Real Property, that do not in the aggregate materially interfere with the ordinary conduct of the business of the Borrower or any of its Restricted Subsidiaries, taken as a whole;</w:t>
      </w:r>
    </w:p>
    <w:p>
      <w:pPr>
        <w:spacing w:after="0" w:line="148" w:lineRule="exact"/>
        <w:rPr>
          <w:rFonts w:ascii="Arial" w:cs="Arial" w:eastAsia="Arial" w:hAnsi="Arial"/>
          <w:sz w:val="21"/>
          <w:szCs w:val="21"/>
          <w:color w:val="auto"/>
        </w:rPr>
      </w:pPr>
    </w:p>
    <w:p>
      <w:pPr>
        <w:ind w:firstLine="622"/>
        <w:spacing w:after="0" w:line="233" w:lineRule="auto"/>
        <w:tabs>
          <w:tab w:leader="none" w:pos="1178" w:val="left"/>
        </w:tabs>
        <w:numPr>
          <w:ilvl w:val="0"/>
          <w:numId w:val="188"/>
        </w:numPr>
        <w:rPr>
          <w:rFonts w:ascii="Arial" w:cs="Arial" w:eastAsia="Arial" w:hAnsi="Arial"/>
          <w:sz w:val="21"/>
          <w:szCs w:val="21"/>
          <w:color w:val="auto"/>
        </w:rPr>
      </w:pPr>
      <w:r>
        <w:rPr>
          <w:rFonts w:ascii="Arial" w:cs="Arial" w:eastAsia="Arial" w:hAnsi="Arial"/>
          <w:sz w:val="21"/>
          <w:szCs w:val="21"/>
          <w:color w:val="auto"/>
        </w:rPr>
        <w:t>Liens (i) securing judgments or orders for the payment of money not constituting an Event of Default under Section 8.01(h) or (ii) securing appeal or other surety bonds related to such judgments;</w:t>
      </w:r>
    </w:p>
    <w:p>
      <w:pPr>
        <w:spacing w:after="0" w:line="149" w:lineRule="exact"/>
        <w:rPr>
          <w:rFonts w:ascii="Arial" w:cs="Arial" w:eastAsia="Arial" w:hAnsi="Arial"/>
          <w:sz w:val="21"/>
          <w:szCs w:val="21"/>
          <w:color w:val="auto"/>
        </w:rPr>
      </w:pPr>
    </w:p>
    <w:p>
      <w:pPr>
        <w:jc w:val="both"/>
        <w:ind w:firstLine="622"/>
        <w:spacing w:after="0" w:line="251" w:lineRule="auto"/>
        <w:tabs>
          <w:tab w:leader="none" w:pos="109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(x) leases, licenses, subleases or sublicenses granted to others in the ordinary course of business or consistent with past practice which do not interfere in any material respect with the business of the Borrower and its Restricted Subsidiaries, taken as a whole and (y) leases, licenses, subleases or sublicenses constituting a Disposition permitted under Section 7.05;</w:t>
      </w:r>
    </w:p>
    <w:p>
      <w:pPr>
        <w:spacing w:after="0" w:line="139" w:lineRule="exact"/>
        <w:rPr>
          <w:rFonts w:ascii="Arial" w:cs="Arial" w:eastAsia="Arial" w:hAnsi="Arial"/>
          <w:sz w:val="19"/>
          <w:szCs w:val="19"/>
          <w:color w:val="auto"/>
        </w:rPr>
      </w:pPr>
    </w:p>
    <w:p>
      <w:pPr>
        <w:jc w:val="both"/>
        <w:ind w:firstLine="622"/>
        <w:spacing w:after="0" w:line="230" w:lineRule="auto"/>
        <w:tabs>
          <w:tab w:leader="none" w:pos="108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Liens (i) in favor of customs and revenue authorities arising as a matter of Law to secure payment of customs duties in connection with the importation of goods in the ordinary course of business or consistent with past practice and (ii) Liens on specific items of inventory or other goods and proceeds thereof of any Person securing such Person’s obligations in respect of bankers’ acceptances or letters of credit issued or created for the account of such Person to facilitate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172</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316" w:lineRule="exact"/>
        <w:rPr>
          <w:sz w:val="20"/>
          <w:szCs w:val="20"/>
          <w:color w:val="auto"/>
        </w:rPr>
      </w:pPr>
    </w:p>
    <w:p>
      <w:pPr>
        <w:spacing w:after="0"/>
        <w:rPr>
          <w:sz w:val="20"/>
          <w:szCs w:val="20"/>
          <w:color w:val="auto"/>
        </w:rPr>
      </w:pPr>
      <w:r>
        <w:rPr>
          <w:rFonts w:ascii="Arial" w:cs="Arial" w:eastAsia="Arial" w:hAnsi="Arial"/>
          <w:sz w:val="21"/>
          <w:szCs w:val="21"/>
          <w:color w:val="auto"/>
        </w:rPr>
        <w:t>the purchase, shipment or storage of such inventory or other goods in the ordinary course of business;</w:t>
      </w:r>
    </w:p>
    <w:p>
      <w:pPr>
        <w:spacing w:after="0" w:line="197" w:lineRule="exact"/>
        <w:rPr>
          <w:sz w:val="20"/>
          <w:szCs w:val="20"/>
          <w:color w:val="auto"/>
        </w:rPr>
      </w:pPr>
    </w:p>
    <w:p>
      <w:pPr>
        <w:jc w:val="both"/>
        <w:ind w:firstLine="622"/>
        <w:spacing w:after="0" w:line="255" w:lineRule="auto"/>
        <w:tabs>
          <w:tab w:leader="none" w:pos="115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38" w:lineRule="exact"/>
        <w:rPr>
          <w:rFonts w:ascii="Arial" w:cs="Arial" w:eastAsia="Arial" w:hAnsi="Arial"/>
          <w:sz w:val="18"/>
          <w:szCs w:val="18"/>
          <w:color w:val="auto"/>
        </w:rPr>
      </w:pPr>
    </w:p>
    <w:p>
      <w:pPr>
        <w:jc w:val="both"/>
        <w:ind w:firstLine="622"/>
        <w:spacing w:after="0" w:line="214" w:lineRule="auto"/>
        <w:tabs>
          <w:tab w:leader="none" w:pos="1071" w:val="left"/>
        </w:tabs>
        <w:numPr>
          <w:ilvl w:val="0"/>
          <w:numId w:val="189"/>
        </w:numPr>
        <w:rPr>
          <w:rFonts w:ascii="Arial" w:cs="Arial" w:eastAsia="Arial" w:hAnsi="Arial"/>
          <w:sz w:val="21"/>
          <w:szCs w:val="21"/>
          <w:color w:val="auto"/>
        </w:rPr>
      </w:pPr>
      <w:r>
        <w:rPr>
          <w:rFonts w:ascii="Arial" w:cs="Arial" w:eastAsia="Arial" w:hAnsi="Arial"/>
          <w:sz w:val="21"/>
          <w:szCs w:val="21"/>
          <w:color w:val="auto"/>
        </w:rPr>
        <w:t>Liens (i) on cash advances or Cash Equivalents in favor of (x) the seller of any property to be acquired in an Investment permitted pursuant to Sections 7.02(i) and (n) to be applied against the purchase price for such Investment or (y) the buyer of any property to be Disposed of pursuant to Sections 7.05(j), (o) or (t) to secure obligations in respect of indemnification, termination fee or similar seller obligations and (ii) consisting of an agreement to Dispose of any property in a Disposition permitted under Section 7.05, in each case, solely to the extent such Investment or Disposition, as the case may be, would have been permitted on the date of the creation of such Lien;</w:t>
      </w:r>
    </w:p>
    <w:p>
      <w:pPr>
        <w:spacing w:after="0" w:line="151" w:lineRule="exact"/>
        <w:rPr>
          <w:rFonts w:ascii="Arial" w:cs="Arial" w:eastAsia="Arial" w:hAnsi="Arial"/>
          <w:sz w:val="21"/>
          <w:szCs w:val="21"/>
          <w:color w:val="auto"/>
        </w:rPr>
      </w:pPr>
    </w:p>
    <w:p>
      <w:pPr>
        <w:ind w:firstLine="622"/>
        <w:spacing w:after="0" w:line="233" w:lineRule="auto"/>
        <w:tabs>
          <w:tab w:leader="none" w:pos="1155" w:val="left"/>
        </w:tabs>
        <w:numPr>
          <w:ilvl w:val="0"/>
          <w:numId w:val="189"/>
        </w:numPr>
        <w:rPr>
          <w:rFonts w:ascii="Arial" w:cs="Arial" w:eastAsia="Arial" w:hAnsi="Arial"/>
          <w:sz w:val="21"/>
          <w:szCs w:val="21"/>
          <w:color w:val="auto"/>
        </w:rPr>
      </w:pPr>
      <w:r>
        <w:rPr>
          <w:rFonts w:ascii="Arial" w:cs="Arial" w:eastAsia="Arial" w:hAnsi="Arial"/>
          <w:sz w:val="21"/>
          <w:szCs w:val="21"/>
          <w:color w:val="auto"/>
        </w:rPr>
        <w:t>Liens (i) in favor of the Borrower or a Restricted Subsidiary on assets of a Restricted Subsidiary that is not a Loan Party securing permitted intercompany Indebtedness and (ii) in favor of the Borrower or any Subsidiary Guarantor;</w:t>
      </w:r>
    </w:p>
    <w:p>
      <w:pPr>
        <w:spacing w:after="0" w:line="149" w:lineRule="exact"/>
        <w:rPr>
          <w:rFonts w:ascii="Arial" w:cs="Arial" w:eastAsia="Arial" w:hAnsi="Arial"/>
          <w:sz w:val="21"/>
          <w:szCs w:val="21"/>
          <w:color w:val="auto"/>
        </w:rPr>
      </w:pPr>
    </w:p>
    <w:p>
      <w:pPr>
        <w:jc w:val="both"/>
        <w:ind w:firstLine="622"/>
        <w:spacing w:after="0" w:line="219" w:lineRule="auto"/>
        <w:tabs>
          <w:tab w:leader="none" w:pos="1127" w:val="left"/>
        </w:tabs>
        <w:numPr>
          <w:ilvl w:val="0"/>
          <w:numId w:val="189"/>
        </w:numPr>
        <w:rPr>
          <w:rFonts w:ascii="Arial" w:cs="Arial" w:eastAsia="Arial" w:hAnsi="Arial"/>
          <w:sz w:val="21"/>
          <w:szCs w:val="21"/>
          <w:color w:val="auto"/>
        </w:rPr>
      </w:pPr>
      <w:r>
        <w:rPr>
          <w:rFonts w:ascii="Arial" w:cs="Arial" w:eastAsia="Arial" w:hAnsi="Arial"/>
          <w:sz w:val="21"/>
          <w:szCs w:val="21"/>
          <w:color w:val="auto"/>
        </w:rPr>
        <w:t>any interest or title of a lessor, sublessor, licensor or sublicensor under leases, subleases, licenses or sublicenses entered into by the Borrower or any of its Restricted Subsidiaries in the ordinary course of business, or with respect to intellectual property that is not material to the conduct of the business or consistent with past practice of the Borrower and its Restricted Subsidiaries, taken as a whole;</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087" w:val="left"/>
        </w:tabs>
        <w:numPr>
          <w:ilvl w:val="0"/>
          <w:numId w:val="189"/>
        </w:numPr>
        <w:rPr>
          <w:rFonts w:ascii="Arial" w:cs="Arial" w:eastAsia="Arial" w:hAnsi="Arial"/>
          <w:sz w:val="21"/>
          <w:szCs w:val="21"/>
          <w:color w:val="auto"/>
        </w:rPr>
      </w:pPr>
      <w:r>
        <w:rPr>
          <w:rFonts w:ascii="Arial" w:cs="Arial" w:eastAsia="Arial" w:hAnsi="Arial"/>
          <w:sz w:val="21"/>
          <w:szCs w:val="21"/>
          <w:color w:val="auto"/>
        </w:rPr>
        <w:t>Liens arising out of conditional sale, title retention, consignment or similar arrangements for sale of goods entered into by the Borrower or any of its Restricted Subsidiaries in the ordinary course of business or consistent with past practice permitted by this Agreement;</w:t>
      </w:r>
    </w:p>
    <w:p>
      <w:pPr>
        <w:spacing w:after="0" w:line="148" w:lineRule="exact"/>
        <w:rPr>
          <w:rFonts w:ascii="Arial" w:cs="Arial" w:eastAsia="Arial" w:hAnsi="Arial"/>
          <w:sz w:val="21"/>
          <w:szCs w:val="21"/>
          <w:color w:val="auto"/>
        </w:rPr>
      </w:pPr>
    </w:p>
    <w:p>
      <w:pPr>
        <w:ind w:left="1060" w:hanging="438"/>
        <w:spacing w:after="0"/>
        <w:tabs>
          <w:tab w:leader="none" w:pos="106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Liens deemed to exist in connection with Investments in repurchase agreements under Section 7.02;</w:t>
      </w:r>
    </w:p>
    <w:p>
      <w:pPr>
        <w:spacing w:after="0" w:line="171" w:lineRule="exact"/>
        <w:rPr>
          <w:rFonts w:ascii="Arial" w:cs="Arial" w:eastAsia="Arial" w:hAnsi="Arial"/>
          <w:sz w:val="21"/>
          <w:szCs w:val="21"/>
          <w:color w:val="auto"/>
        </w:rPr>
      </w:pPr>
    </w:p>
    <w:p>
      <w:pPr>
        <w:jc w:val="both"/>
        <w:ind w:firstLine="622"/>
        <w:spacing w:after="0" w:line="224" w:lineRule="auto"/>
        <w:tabs>
          <w:tab w:leader="none" w:pos="1126" w:val="left"/>
        </w:tabs>
        <w:numPr>
          <w:ilvl w:val="0"/>
          <w:numId w:val="189"/>
        </w:numPr>
        <w:rPr>
          <w:rFonts w:ascii="Arial" w:cs="Arial" w:eastAsia="Arial" w:hAnsi="Arial"/>
          <w:sz w:val="21"/>
          <w:szCs w:val="21"/>
          <w:color w:val="auto"/>
        </w:rPr>
      </w:pPr>
      <w:r>
        <w:rPr>
          <w:rFonts w:ascii="Arial" w:cs="Arial" w:eastAsia="Arial" w:hAnsi="Arial"/>
          <w:sz w:val="21"/>
          <w:szCs w:val="21"/>
          <w:color w:val="auto"/>
        </w:rPr>
        <w:t>Liens encumbering reasonable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148" w:lineRule="exact"/>
        <w:rPr>
          <w:rFonts w:ascii="Arial" w:cs="Arial" w:eastAsia="Arial" w:hAnsi="Arial"/>
          <w:sz w:val="21"/>
          <w:szCs w:val="21"/>
          <w:color w:val="auto"/>
        </w:rPr>
      </w:pPr>
    </w:p>
    <w:p>
      <w:pPr>
        <w:jc w:val="both"/>
        <w:ind w:firstLine="622"/>
        <w:spacing w:after="0" w:line="235" w:lineRule="auto"/>
        <w:tabs>
          <w:tab w:leader="none" w:pos="107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Liens that are contractual rights of set-off or rights of pledge (i) relating to the establishment of depository relations with banks not given in connection with the issuance of Indebtedness, (ii) relating to pooled deposit or sweep accounts of the Borrower or any of its Restricted Subsidiaries to permit satisfaction of overdraft or similar obligations incurred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173</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316"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color w:val="auto"/>
        </w:rPr>
        <w:t>ordinary course of business of the Borrower or any of its Restricted Subsidiaries or (iii) relating to purchase orders and other agreements entered into with customers of the Borrower or any of its Restricted Subsidiaries in the ordinary course of business or consistent with past practice;</w:t>
      </w:r>
    </w:p>
    <w:p>
      <w:pPr>
        <w:spacing w:after="0" w:line="149" w:lineRule="exact"/>
        <w:rPr>
          <w:sz w:val="20"/>
          <w:szCs w:val="20"/>
          <w:color w:val="auto"/>
        </w:rPr>
      </w:pPr>
    </w:p>
    <w:p>
      <w:pPr>
        <w:ind w:firstLine="622"/>
        <w:spacing w:after="0" w:line="233" w:lineRule="auto"/>
        <w:tabs>
          <w:tab w:leader="none" w:pos="1065" w:val="left"/>
        </w:tabs>
        <w:numPr>
          <w:ilvl w:val="0"/>
          <w:numId w:val="190"/>
        </w:numPr>
        <w:rPr>
          <w:rFonts w:ascii="Arial" w:cs="Arial" w:eastAsia="Arial" w:hAnsi="Arial"/>
          <w:sz w:val="21"/>
          <w:szCs w:val="21"/>
          <w:color w:val="auto"/>
        </w:rPr>
      </w:pPr>
      <w:r>
        <w:rPr>
          <w:rFonts w:ascii="Arial" w:cs="Arial" w:eastAsia="Arial" w:hAnsi="Arial"/>
          <w:sz w:val="21"/>
          <w:szCs w:val="21"/>
          <w:color w:val="auto"/>
        </w:rPr>
        <w:t>Liens solely on any cash earnest money deposits made by the Borrower or any of its Restricted Subsidiaries in connection with any letter of intent or purchase agreement permitted hereunder;</w:t>
      </w:r>
    </w:p>
    <w:p>
      <w:pPr>
        <w:spacing w:after="0" w:line="149" w:lineRule="exact"/>
        <w:rPr>
          <w:rFonts w:ascii="Arial" w:cs="Arial" w:eastAsia="Arial" w:hAnsi="Arial"/>
          <w:sz w:val="21"/>
          <w:szCs w:val="21"/>
          <w:color w:val="auto"/>
        </w:rPr>
      </w:pPr>
    </w:p>
    <w:p>
      <w:pPr>
        <w:ind w:firstLine="622"/>
        <w:spacing w:after="0" w:line="233" w:lineRule="auto"/>
        <w:tabs>
          <w:tab w:leader="none" w:pos="1108" w:val="left"/>
        </w:tabs>
        <w:numPr>
          <w:ilvl w:val="0"/>
          <w:numId w:val="190"/>
        </w:numPr>
        <w:rPr>
          <w:rFonts w:ascii="Arial" w:cs="Arial" w:eastAsia="Arial" w:hAnsi="Arial"/>
          <w:sz w:val="21"/>
          <w:szCs w:val="21"/>
          <w:color w:val="auto"/>
        </w:rPr>
      </w:pPr>
      <w:r>
        <w:rPr>
          <w:rFonts w:ascii="Arial" w:cs="Arial" w:eastAsia="Arial" w:hAnsi="Arial"/>
          <w:sz w:val="21"/>
          <w:szCs w:val="21"/>
          <w:color w:val="auto"/>
        </w:rPr>
        <w:t>ground leases in respect of Real Property on which facilities owned or leased by the Borrower or any of its Restricted Subsidiaries are located;</w:t>
      </w:r>
    </w:p>
    <w:p>
      <w:pPr>
        <w:spacing w:after="0" w:line="149" w:lineRule="exact"/>
        <w:rPr>
          <w:rFonts w:ascii="Arial" w:cs="Arial" w:eastAsia="Arial" w:hAnsi="Arial"/>
          <w:sz w:val="21"/>
          <w:szCs w:val="21"/>
          <w:color w:val="auto"/>
        </w:rPr>
      </w:pPr>
    </w:p>
    <w:p>
      <w:pPr>
        <w:jc w:val="both"/>
        <w:ind w:firstLine="622"/>
        <w:spacing w:after="0" w:line="234" w:lineRule="auto"/>
        <w:tabs>
          <w:tab w:leader="none" w:pos="110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Liens to secure Indebtedness permitted under Section 7.03(e);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Liens are created within 365 days of the acquisition, construction, repair, replacement, lease, expansion, development, installation, relocation, renewal, maintenance, upgrade or improvement of the property subject to such Liens, such Liens do not at any time encumber property (except for replacements, additions and accessions to such property) other than the property financed by such Indebtedness and the proceeds and products thereof and customary security deposits and (ii) with respect to Financing Leases, such Liens do not at any time extend to or cover any assets (except for replacements, additions and accessions to such assets) other than the assets subject to such Financing Leases and the proceeds and products thereof and customary security deposits;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individual financings of equipment provided by one lender may be cross collateralized to other financings of equipment provided by such lender;</w:t>
      </w:r>
    </w:p>
    <w:p>
      <w:pPr>
        <w:spacing w:after="0" w:line="152" w:lineRule="exact"/>
        <w:rPr>
          <w:rFonts w:ascii="Arial" w:cs="Arial" w:eastAsia="Arial" w:hAnsi="Arial"/>
          <w:sz w:val="19"/>
          <w:szCs w:val="19"/>
          <w:color w:val="auto"/>
        </w:rPr>
      </w:pPr>
    </w:p>
    <w:p>
      <w:pPr>
        <w:ind w:firstLine="622"/>
        <w:spacing w:after="0" w:line="233" w:lineRule="auto"/>
        <w:tabs>
          <w:tab w:leader="none" w:pos="1074" w:val="left"/>
        </w:tabs>
        <w:numPr>
          <w:ilvl w:val="0"/>
          <w:numId w:val="190"/>
        </w:numPr>
        <w:rPr>
          <w:rFonts w:ascii="Arial" w:cs="Arial" w:eastAsia="Arial" w:hAnsi="Arial"/>
          <w:sz w:val="21"/>
          <w:szCs w:val="21"/>
          <w:color w:val="auto"/>
        </w:rPr>
      </w:pPr>
      <w:r>
        <w:rPr>
          <w:rFonts w:ascii="Arial" w:cs="Arial" w:eastAsia="Arial" w:hAnsi="Arial"/>
          <w:sz w:val="21"/>
          <w:szCs w:val="21"/>
          <w:color w:val="auto"/>
        </w:rPr>
        <w:t>Liens on property of any Restricted Subsidiary that is not a Loan Party and that does not constitute Collateral, which Liens secure Indebtedness permitted under Section 7.03;</w:t>
      </w:r>
    </w:p>
    <w:p>
      <w:pPr>
        <w:spacing w:after="0" w:line="149" w:lineRule="exact"/>
        <w:rPr>
          <w:rFonts w:ascii="Arial" w:cs="Arial" w:eastAsia="Arial" w:hAnsi="Arial"/>
          <w:sz w:val="21"/>
          <w:szCs w:val="21"/>
          <w:color w:val="auto"/>
        </w:rPr>
      </w:pPr>
    </w:p>
    <w:p>
      <w:pPr>
        <w:jc w:val="both"/>
        <w:ind w:firstLine="622"/>
        <w:spacing w:after="0" w:line="233" w:lineRule="auto"/>
        <w:tabs>
          <w:tab w:leader="none" w:pos="1145"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Liens existing on property at the time of its acquisition or existing on the property of any Person at the time such Person becomes a Restricted Subsidiary (other than by designation as a Restricted Subsidiary pursuant to Section 6.14), in each case after the Restatement Date (other than Liens on the Equity Interests of any Person that becomes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Section 7.03;</w:t>
      </w:r>
    </w:p>
    <w:p>
      <w:pPr>
        <w:spacing w:after="0" w:line="153" w:lineRule="exact"/>
        <w:rPr>
          <w:rFonts w:ascii="Arial" w:cs="Arial" w:eastAsia="Arial" w:hAnsi="Arial"/>
          <w:sz w:val="19"/>
          <w:szCs w:val="19"/>
          <w:color w:val="auto"/>
        </w:rPr>
      </w:pPr>
    </w:p>
    <w:p>
      <w:pPr>
        <w:jc w:val="both"/>
        <w:ind w:firstLine="622"/>
        <w:spacing w:after="0" w:line="219" w:lineRule="auto"/>
        <w:tabs>
          <w:tab w:leader="none" w:pos="1199" w:val="left"/>
        </w:tabs>
        <w:numPr>
          <w:ilvl w:val="0"/>
          <w:numId w:val="190"/>
        </w:numPr>
        <w:rPr>
          <w:rFonts w:ascii="Arial" w:cs="Arial" w:eastAsia="Arial" w:hAnsi="Arial"/>
          <w:sz w:val="21"/>
          <w:szCs w:val="21"/>
          <w:color w:val="auto"/>
        </w:rPr>
      </w:pPr>
      <w:r>
        <w:rPr>
          <w:rFonts w:ascii="Arial" w:cs="Arial" w:eastAsia="Arial" w:hAnsi="Arial"/>
          <w:sz w:val="21"/>
          <w:szCs w:val="21"/>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its Restricted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174</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60" w:hanging="438"/>
        <w:spacing w:after="0"/>
        <w:tabs>
          <w:tab w:leader="none" w:pos="106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Liens arising from precautionary Uniform Commercial Code financing statement or similar filings;</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securing the financing of the premiums with respect thereto;</w:t>
      </w:r>
    </w:p>
    <w:p>
      <w:pPr>
        <w:spacing w:after="0" w:line="183" w:lineRule="exact"/>
        <w:rPr>
          <w:sz w:val="20"/>
          <w:szCs w:val="20"/>
          <w:color w:val="auto"/>
        </w:rPr>
      </w:pPr>
    </w:p>
    <w:p>
      <w:pPr>
        <w:jc w:val="both"/>
        <w:ind w:firstLine="622"/>
        <w:spacing w:after="0" w:line="261" w:lineRule="auto"/>
        <w:tabs>
          <w:tab w:leader="none" w:pos="12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modification, replacement, renewal or extension of any Lien permitted by clauses (u) and (w) of this Section 7.01;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Lien does not extend to any additional property, other than (A) after-acquired property that is affixed or</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into the property covered by such Lien and (B) proceeds and products thereof, and (ii) the renewal, extension or refinancing of the obligations secured or benefited by such Liens is permitted by Section 7.03 (to the extent constituting Indebtedness);</w:t>
      </w:r>
    </w:p>
    <w:p>
      <w:pPr>
        <w:spacing w:after="0" w:line="130" w:lineRule="exact"/>
        <w:rPr>
          <w:rFonts w:ascii="Arial" w:cs="Arial" w:eastAsia="Arial" w:hAnsi="Arial"/>
          <w:sz w:val="18"/>
          <w:szCs w:val="18"/>
          <w:color w:val="auto"/>
        </w:rPr>
      </w:pPr>
    </w:p>
    <w:p>
      <w:pPr>
        <w:ind w:firstLine="622"/>
        <w:spacing w:after="0" w:line="233" w:lineRule="auto"/>
        <w:tabs>
          <w:tab w:leader="none" w:pos="1267" w:val="left"/>
        </w:tabs>
        <w:numPr>
          <w:ilvl w:val="0"/>
          <w:numId w:val="192"/>
        </w:numPr>
        <w:rPr>
          <w:rFonts w:ascii="Arial" w:cs="Arial" w:eastAsia="Arial" w:hAnsi="Arial"/>
          <w:sz w:val="21"/>
          <w:szCs w:val="21"/>
          <w:color w:val="auto"/>
        </w:rPr>
      </w:pPr>
      <w:r>
        <w:rPr>
          <w:rFonts w:ascii="Arial" w:cs="Arial" w:eastAsia="Arial" w:hAnsi="Arial"/>
          <w:sz w:val="21"/>
          <w:szCs w:val="21"/>
          <w:color w:val="auto"/>
        </w:rPr>
        <w:t>Liens with respect to property or assets of the Borrower or any of its Restricted Subsidiaries securing obligations in respect of Section 7.03(y);</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202" w:val="left"/>
        </w:tabs>
        <w:numPr>
          <w:ilvl w:val="0"/>
          <w:numId w:val="192"/>
        </w:numPr>
        <w:rPr>
          <w:rFonts w:ascii="Arial" w:cs="Arial" w:eastAsia="Arial" w:hAnsi="Arial"/>
          <w:sz w:val="21"/>
          <w:szCs w:val="21"/>
          <w:color w:val="auto"/>
        </w:rPr>
      </w:pPr>
      <w:r>
        <w:rPr>
          <w:rFonts w:ascii="Arial" w:cs="Arial" w:eastAsia="Arial" w:hAnsi="Arial"/>
          <w:sz w:val="21"/>
          <w:szCs w:val="21"/>
          <w:color w:val="auto"/>
        </w:rPr>
        <w:t>Liens with respect to property or assets of the Borrower or any of its Restricted Subsidiaries securing obligations in an aggregate principal amount at the time of incurrence of such Liens not to exceed the greater of (i) $64,500,000 and (ii) 30% of LTM Consolidated EBITDA, in each case determined as of the date of incurrence;</w:t>
      </w:r>
    </w:p>
    <w:p>
      <w:pPr>
        <w:spacing w:after="0" w:line="148" w:lineRule="exact"/>
        <w:rPr>
          <w:rFonts w:ascii="Arial" w:cs="Arial" w:eastAsia="Arial" w:hAnsi="Arial"/>
          <w:sz w:val="21"/>
          <w:szCs w:val="21"/>
          <w:color w:val="auto"/>
        </w:rPr>
      </w:pPr>
    </w:p>
    <w:p>
      <w:pPr>
        <w:jc w:val="both"/>
        <w:ind w:firstLine="622"/>
        <w:spacing w:after="0" w:line="223" w:lineRule="auto"/>
        <w:tabs>
          <w:tab w:leader="none" w:pos="1246"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Liens to secure Indebtedness permitted under Sections 7.03(q) or 7.03(s);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 Other Debt Representative acting on behalf of the holders of such Indebtedness shall have become party to (1) if such Indebtedness is secured by the Collateral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(but without regard to the control of remedies) with the Obligations, the Junior Lien Intercreditor Agreement (if any) as a “Senior Representative” (or similar term, in each case, as defined in the Junior Lien Intercreditor Agreement), if applicable, and any First Lien Intercreditor Agreement or (2) if such Indebtedness is secured by the Collateral on a junior Lien basis to the Liens securing the Obligations, the Junior Lien Intercreditor Agreement as a “Junior Priority Representative” (or similar term, in each case, as defined in the Junior Lien Intercreditor Agreement);</w:t>
      </w:r>
    </w:p>
    <w:p>
      <w:pPr>
        <w:spacing w:after="0" w:line="154" w:lineRule="exact"/>
        <w:rPr>
          <w:rFonts w:ascii="Arial" w:cs="Arial" w:eastAsia="Arial" w:hAnsi="Arial"/>
          <w:sz w:val="20"/>
          <w:szCs w:val="20"/>
          <w:color w:val="auto"/>
        </w:rPr>
      </w:pPr>
    </w:p>
    <w:p>
      <w:pPr>
        <w:jc w:val="both"/>
        <w:ind w:firstLine="622"/>
        <w:spacing w:after="0" w:line="220" w:lineRule="auto"/>
        <w:tabs>
          <w:tab w:leader="none" w:pos="130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Liens on the Collateral securing obligations in respect of Credit Agreement Refinancing Indebtedness constituting Permitted First Priority Refinancing Debt or Permitted Junior Lien Refinancing Debt (and any Permitted Refinancing of any of the foregoing);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(x) in the case of any such Liens securing any Permitted First Priority Refinancing Debt (or any Permitted Refinancing in respect of such Permitted First Priority Refinancing Debt that is secured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with the Obligations), an Other Debt Representative acting on behalf of the holders of such Indebtedness shall have become party to (i) the Junior Lien Intercreditor Agreement as a “Senior Representative” (or similar term, in each case as defined in the Junior Lien Intercreditor Agreement), if applicable and (ii) any First Lien Intercreditor Agreement and (y) in the case of any such Liens securing (1) any Permitted Refinancing of Permitted First Priority Refinancing Debt that is secured on a junior Lien basis to the Restatement Date Term Loans and (2) Permitted Junior Lien Refinancing Debt (or any Permitted Refinancing in respect of such Permitted Junior Lien Refinancing Debt that is secured by a Lien on the Collateral), an Other Debt Representative acting on behalf of the holders of such Indebtedness shall have become party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175</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Junior Lien Intercreditor Agreement as a “Junior Priority Representative” (or similar term, in each case, as defined in the Junior Lien Intercreditor Agreement);</w:t>
      </w:r>
    </w:p>
    <w:p>
      <w:pPr>
        <w:spacing w:after="0" w:line="176" w:lineRule="exact"/>
        <w:rPr>
          <w:sz w:val="20"/>
          <w:szCs w:val="20"/>
          <w:color w:val="auto"/>
        </w:rPr>
      </w:pPr>
    </w:p>
    <w:p>
      <w:pPr>
        <w:ind w:firstLine="622"/>
        <w:spacing w:after="0" w:line="233" w:lineRule="auto"/>
        <w:tabs>
          <w:tab w:leader="none" w:pos="1345" w:val="left"/>
        </w:tabs>
        <w:numPr>
          <w:ilvl w:val="0"/>
          <w:numId w:val="193"/>
        </w:numPr>
        <w:rPr>
          <w:rFonts w:ascii="Arial" w:cs="Arial" w:eastAsia="Arial" w:hAnsi="Arial"/>
          <w:sz w:val="21"/>
          <w:szCs w:val="21"/>
          <w:color w:val="auto"/>
        </w:rPr>
      </w:pPr>
      <w:r>
        <w:rPr>
          <w:rFonts w:ascii="Arial" w:cs="Arial" w:eastAsia="Arial" w:hAnsi="Arial"/>
          <w:sz w:val="21"/>
          <w:szCs w:val="21"/>
          <w:color w:val="auto"/>
        </w:rPr>
        <w:t>Liens on accounts receivable, Securitization Assets and related assets incurred in connection with a Qualified Securitization Facility;</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173" w:val="left"/>
        </w:tabs>
        <w:numPr>
          <w:ilvl w:val="0"/>
          <w:numId w:val="193"/>
        </w:numPr>
        <w:rPr>
          <w:rFonts w:ascii="Arial" w:cs="Arial" w:eastAsia="Arial" w:hAnsi="Arial"/>
          <w:sz w:val="21"/>
          <w:szCs w:val="21"/>
          <w:color w:val="auto"/>
        </w:rPr>
      </w:pPr>
      <w:r>
        <w:rPr>
          <w:rFonts w:ascii="Arial" w:cs="Arial" w:eastAsia="Arial" w:hAnsi="Arial"/>
          <w:sz w:val="21"/>
          <w:szCs w:val="21"/>
          <w:color w:val="auto"/>
        </w:rPr>
        <w:t>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w:t>
      </w:r>
    </w:p>
    <w:p>
      <w:pPr>
        <w:spacing w:after="0" w:line="148" w:lineRule="exact"/>
        <w:rPr>
          <w:rFonts w:ascii="Arial" w:cs="Arial" w:eastAsia="Arial" w:hAnsi="Arial"/>
          <w:sz w:val="21"/>
          <w:szCs w:val="21"/>
          <w:color w:val="auto"/>
        </w:rPr>
      </w:pPr>
    </w:p>
    <w:p>
      <w:pPr>
        <w:ind w:firstLine="622"/>
        <w:spacing w:after="0" w:line="233" w:lineRule="auto"/>
        <w:tabs>
          <w:tab w:leader="none" w:pos="1202" w:val="left"/>
        </w:tabs>
        <w:numPr>
          <w:ilvl w:val="0"/>
          <w:numId w:val="193"/>
        </w:numPr>
        <w:rPr>
          <w:rFonts w:ascii="Arial" w:cs="Arial" w:eastAsia="Arial" w:hAnsi="Arial"/>
          <w:sz w:val="21"/>
          <w:szCs w:val="21"/>
          <w:color w:val="auto"/>
        </w:rPr>
      </w:pPr>
      <w:r>
        <w:rPr>
          <w:rFonts w:ascii="Arial" w:cs="Arial" w:eastAsia="Arial" w:hAnsi="Arial"/>
          <w:sz w:val="21"/>
          <w:szCs w:val="21"/>
          <w:color w:val="auto"/>
        </w:rPr>
        <w:t>Liens on cash or Cash Equivalents to secure Indebtedness permitted under Section 7.03(f) or (l), to the extent created in the ordinary course of business or consistent with past practice;</w:t>
      </w:r>
    </w:p>
    <w:p>
      <w:pPr>
        <w:spacing w:after="0" w:line="149" w:lineRule="exact"/>
        <w:rPr>
          <w:rFonts w:ascii="Arial" w:cs="Arial" w:eastAsia="Arial" w:hAnsi="Arial"/>
          <w:sz w:val="21"/>
          <w:szCs w:val="21"/>
          <w:color w:val="auto"/>
        </w:rPr>
      </w:pPr>
    </w:p>
    <w:p>
      <w:pPr>
        <w:jc w:val="both"/>
        <w:ind w:firstLine="622"/>
        <w:spacing w:after="0" w:line="219" w:lineRule="auto"/>
        <w:tabs>
          <w:tab w:leader="none" w:pos="1116" w:val="left"/>
        </w:tabs>
        <w:numPr>
          <w:ilvl w:val="0"/>
          <w:numId w:val="193"/>
        </w:numPr>
        <w:rPr>
          <w:rFonts w:ascii="Arial" w:cs="Arial" w:eastAsia="Arial" w:hAnsi="Arial"/>
          <w:sz w:val="21"/>
          <w:szCs w:val="21"/>
          <w:color w:val="auto"/>
        </w:rPr>
      </w:pPr>
      <w:r>
        <w:rPr>
          <w:rFonts w:ascii="Arial" w:cs="Arial" w:eastAsia="Arial" w:hAnsi="Arial"/>
          <w:sz w:val="21"/>
          <w:szCs w:val="21"/>
          <w:color w:val="auto"/>
        </w:rPr>
        <w:t>Liens securing any Permitted Refinancing directly or indirectly permitted under Section 7.03(b), (g), (m), (q), (s), (t), (v) or (y) that are secured by Liens on the same assets as the Liens securing the Indebtedness being modified, refinanced, refunded, renewed, replaced or extended by such Permitted Refinancing, plus improvements, accessions, dividends, distributions, proceeds or products thereof and after-acquired property;</w:t>
      </w:r>
    </w:p>
    <w:p>
      <w:pPr>
        <w:spacing w:after="0" w:line="149" w:lineRule="exact"/>
        <w:rPr>
          <w:rFonts w:ascii="Arial" w:cs="Arial" w:eastAsia="Arial" w:hAnsi="Arial"/>
          <w:sz w:val="21"/>
          <w:szCs w:val="21"/>
          <w:color w:val="auto"/>
        </w:rPr>
      </w:pPr>
    </w:p>
    <w:p>
      <w:pPr>
        <w:ind w:firstLine="622"/>
        <w:spacing w:after="0" w:line="233" w:lineRule="auto"/>
        <w:tabs>
          <w:tab w:leader="none" w:pos="1109" w:val="left"/>
        </w:tabs>
        <w:numPr>
          <w:ilvl w:val="0"/>
          <w:numId w:val="193"/>
        </w:numPr>
        <w:rPr>
          <w:rFonts w:ascii="Arial" w:cs="Arial" w:eastAsia="Arial" w:hAnsi="Arial"/>
          <w:sz w:val="21"/>
          <w:szCs w:val="21"/>
          <w:color w:val="auto"/>
        </w:rPr>
      </w:pPr>
      <w:r>
        <w:rPr>
          <w:rFonts w:ascii="Arial" w:cs="Arial" w:eastAsia="Arial" w:hAnsi="Arial"/>
          <w:sz w:val="21"/>
          <w:szCs w:val="21"/>
          <w:color w:val="auto"/>
        </w:rPr>
        <w:t>any encumbrance or restriction (including put and call arrangements) with respect to Equity Interests of any joint venture or similar arrangement pursuant to any joint venture or similar agreement;</w:t>
      </w:r>
    </w:p>
    <w:p>
      <w:pPr>
        <w:spacing w:after="0" w:line="149" w:lineRule="exact"/>
        <w:rPr>
          <w:rFonts w:ascii="Arial" w:cs="Arial" w:eastAsia="Arial" w:hAnsi="Arial"/>
          <w:sz w:val="21"/>
          <w:szCs w:val="21"/>
          <w:color w:val="auto"/>
        </w:rPr>
      </w:pPr>
    </w:p>
    <w:p>
      <w:pPr>
        <w:ind w:left="1180" w:hanging="558"/>
        <w:spacing w:after="0"/>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Liens on Equity Interests of an Unrestricted Subsidiary that secure Indebtedness or other obligations of such Unrestricted</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Subsidiary;</w:t>
      </w:r>
    </w:p>
    <w:p>
      <w:pPr>
        <w:spacing w:after="0" w:line="153" w:lineRule="exact"/>
        <w:rPr>
          <w:rFonts w:ascii="Arial" w:cs="Arial" w:eastAsia="Arial" w:hAnsi="Arial"/>
          <w:sz w:val="18"/>
          <w:szCs w:val="18"/>
          <w:color w:val="auto"/>
        </w:rPr>
      </w:pPr>
    </w:p>
    <w:p>
      <w:pPr>
        <w:jc w:val="both"/>
        <w:ind w:firstLine="622"/>
        <w:spacing w:after="0" w:line="235" w:lineRule="auto"/>
        <w:tabs>
          <w:tab w:leader="none" w:pos="1091" w:val="left"/>
        </w:tabs>
        <w:numPr>
          <w:ilvl w:val="0"/>
          <w:numId w:val="193"/>
        </w:numPr>
        <w:rPr>
          <w:rFonts w:ascii="Arial" w:cs="Arial" w:eastAsia="Arial" w:hAnsi="Arial"/>
          <w:sz w:val="20"/>
          <w:szCs w:val="20"/>
          <w:color w:val="auto"/>
        </w:rPr>
      </w:pPr>
      <w:r>
        <w:rPr>
          <w:rFonts w:ascii="Arial" w:cs="Arial" w:eastAsia="Arial" w:hAnsi="Arial"/>
          <w:sz w:val="20"/>
          <w:szCs w:val="20"/>
          <w:color w:val="auto"/>
        </w:rPr>
        <w:t>deposits of cash with the owner or lessor of premises leased and operated by the Borrower or any of its Subsidiaries in the ordinary course of business of the Borrower and such Subsidiary or consistent with past practice to secure the performance of the Borrower’s or such Subsidiary’s obligations under the terms of the lease for such premises;</w:t>
      </w:r>
    </w:p>
    <w:p>
      <w:pPr>
        <w:spacing w:after="0" w:line="149" w:lineRule="exact"/>
        <w:rPr>
          <w:rFonts w:ascii="Arial" w:cs="Arial" w:eastAsia="Arial" w:hAnsi="Arial"/>
          <w:sz w:val="20"/>
          <w:szCs w:val="20"/>
          <w:color w:val="auto"/>
        </w:rPr>
      </w:pPr>
    </w:p>
    <w:p>
      <w:pPr>
        <w:ind w:firstLine="622"/>
        <w:spacing w:after="0" w:line="276" w:lineRule="auto"/>
        <w:tabs>
          <w:tab w:leader="none" w:pos="142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security given to a public utility or any municipality or governmental authority when required by such utility or authority in connection with the operations of that Person in the ordinary course of business or consistent with past practice; and</w:t>
      </w:r>
    </w:p>
    <w:p>
      <w:pPr>
        <w:spacing w:after="0" w:line="116" w:lineRule="exact"/>
        <w:rPr>
          <w:rFonts w:ascii="Arial" w:cs="Arial" w:eastAsia="Arial" w:hAnsi="Arial"/>
          <w:sz w:val="19"/>
          <w:szCs w:val="19"/>
          <w:color w:val="auto"/>
        </w:rPr>
      </w:pPr>
    </w:p>
    <w:p>
      <w:pPr>
        <w:jc w:val="both"/>
        <w:ind w:firstLine="622"/>
        <w:spacing w:after="0" w:line="261" w:lineRule="auto"/>
        <w:tabs>
          <w:tab w:leader="none" w:pos="119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Liens on any funds or securities held in escrow accounts established for the purpose of holding proceeds from issuances of debt securities by Holdings, the Borrower or any of its Restricted Subsidiaries issued after the Restatement Date, together with any additional funds required in order to fund any mandatory redemption or sinking fund payment on such debt securities within 360 days of their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assets other than such proceeds and such additional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176</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Notwithstanding the foregoing, no consensual Liens shall exist on Equity Interests of the Borrower or any Restricted Subsidiary that constitute Collateral other than pursuant to clauses (a), (w), (dd) and (ee) above.</w:t>
      </w:r>
    </w:p>
    <w:p>
      <w:pPr>
        <w:spacing w:after="0" w:line="150"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For purposes of determining compliance with this Section 7.01, (A) Liens need not be incurred solely by reference to one category of Liens permitted by this Section 7.01 but are permitted to be incurred in part under any combination thereof and of any other available exemption, (B) in the event that Lien (or any portion thereof) meets the criteria of one or more of the categories of Liens permitted by this Section 7.01, the Borrower may, in its sole discretion, classify or reclassify such Lien (or any portion thereof) in any manner that complies with this provision, (C) in the event that a portion of Indebtedness or other obligations secured by a Lien could be classified as secured in part pursuant to Section 7.01(dd) above (giving pro forma effect to the incurrence of such portion of such Indebtedness or other obligations), the Borrower, in its sole discretion, may classify such portion of such Indebtedness (and any obligations in respect thereof) as having been secured pursuant to Section 7.01(dd) above and thereafter the remainder of the Indebtedness or other obligations as having been secured pursuant to one or more of the other clauses of this Section 7.01 and if any such test would be satisfied in any subsequent fiscal quarter following the relevant date of determination, then such reclassification shall be deemed to have automatically occurred at such time and (D) with respect to any Lien securing Indebtedness that was permitted to secure such Indebtedness at the time of the incurrence of such Indebtedness, such Lien shall also be permitted to secure any amount permitted under Section 7.03(z) in respect of such Indebtedness. Any Liens in respect of the accrual of interest, the accretion of accreted value and the payment of interest in the form of additional Indebtedness, in each case in respect of any Indebtedness, shall not be deemed to be an incurrence of a Lien in respect of such Indebtedness for purposes of this Section 7.01.</w:t>
      </w:r>
    </w:p>
    <w:p>
      <w:pPr>
        <w:spacing w:after="0" w:line="142" w:lineRule="exact"/>
        <w:rPr>
          <w:sz w:val="20"/>
          <w:szCs w:val="20"/>
          <w:color w:val="auto"/>
        </w:rPr>
      </w:pPr>
    </w:p>
    <w:p>
      <w:pPr>
        <w:ind w:left="620"/>
        <w:spacing w:after="0"/>
        <w:tabs>
          <w:tab w:leader="none" w:pos="2120" w:val="left"/>
        </w:tabs>
        <w:rPr>
          <w:sz w:val="20"/>
          <w:szCs w:val="20"/>
          <w:color w:val="auto"/>
        </w:rPr>
      </w:pPr>
      <w:r>
        <w:rPr>
          <w:rFonts w:ascii="Arial" w:cs="Arial" w:eastAsia="Arial" w:hAnsi="Arial"/>
          <w:sz w:val="21"/>
          <w:szCs w:val="21"/>
          <w:color w:val="auto"/>
        </w:rPr>
        <w:t>Section 7.02.</w:t>
      </w:r>
      <w:r>
        <w:rPr>
          <w:sz w:val="20"/>
          <w:szCs w:val="20"/>
          <w:color w:val="auto"/>
        </w:rPr>
        <w:tab/>
      </w:r>
      <w:r>
        <w:rPr>
          <w:rFonts w:ascii="Arial" w:cs="Arial" w:eastAsia="Arial" w:hAnsi="Arial"/>
          <w:sz w:val="20"/>
          <w:szCs w:val="20"/>
          <w:i w:val="1"/>
          <w:iCs w:val="1"/>
          <w:color w:val="auto"/>
        </w:rPr>
        <w:t>Investments</w:t>
      </w:r>
      <w:r>
        <w:rPr>
          <w:rFonts w:ascii="Arial" w:cs="Arial" w:eastAsia="Arial" w:hAnsi="Arial"/>
          <w:sz w:val="20"/>
          <w:szCs w:val="20"/>
          <w:color w:val="auto"/>
        </w:rPr>
        <w:t>. Neither the Borrower nor the Restricted Subsidiaries shall, directly or indirectly, make any</w:t>
      </w:r>
    </w:p>
    <w:p>
      <w:pPr>
        <w:spacing w:after="0"/>
        <w:rPr>
          <w:sz w:val="20"/>
          <w:szCs w:val="20"/>
          <w:color w:val="auto"/>
        </w:rPr>
      </w:pPr>
      <w:r>
        <w:rPr>
          <w:rFonts w:ascii="Arial" w:cs="Arial" w:eastAsia="Arial" w:hAnsi="Arial"/>
          <w:sz w:val="21"/>
          <w:szCs w:val="21"/>
          <w:color w:val="auto"/>
        </w:rPr>
        <w:t>Investments, except:</w:t>
      </w:r>
    </w:p>
    <w:p>
      <w:pPr>
        <w:spacing w:after="0" w:line="153" w:lineRule="exact"/>
        <w:rPr>
          <w:sz w:val="20"/>
          <w:szCs w:val="20"/>
          <w:color w:val="auto"/>
        </w:rPr>
      </w:pPr>
    </w:p>
    <w:p>
      <w:pPr>
        <w:ind w:firstLine="622"/>
        <w:spacing w:after="0" w:line="233" w:lineRule="auto"/>
        <w:tabs>
          <w:tab w:leader="none" w:pos="1209" w:val="left"/>
        </w:tabs>
        <w:numPr>
          <w:ilvl w:val="0"/>
          <w:numId w:val="194"/>
        </w:numPr>
        <w:rPr>
          <w:rFonts w:ascii="Arial" w:cs="Arial" w:eastAsia="Arial" w:hAnsi="Arial"/>
          <w:sz w:val="21"/>
          <w:szCs w:val="21"/>
          <w:color w:val="auto"/>
        </w:rPr>
      </w:pPr>
      <w:r>
        <w:rPr>
          <w:rFonts w:ascii="Arial" w:cs="Arial" w:eastAsia="Arial" w:hAnsi="Arial"/>
          <w:sz w:val="21"/>
          <w:szCs w:val="21"/>
          <w:color w:val="auto"/>
        </w:rPr>
        <w:t>Investments by the Borrower or any of its Restricted Subsidiaries in assets that were Cash Equivalents when such Investment was made;</w:t>
      </w:r>
    </w:p>
    <w:p>
      <w:pPr>
        <w:spacing w:after="0" w:line="149" w:lineRule="exact"/>
        <w:rPr>
          <w:rFonts w:ascii="Arial" w:cs="Arial" w:eastAsia="Arial" w:hAnsi="Arial"/>
          <w:sz w:val="21"/>
          <w:szCs w:val="21"/>
          <w:color w:val="auto"/>
        </w:rPr>
      </w:pPr>
    </w:p>
    <w:p>
      <w:pPr>
        <w:jc w:val="both"/>
        <w:ind w:firstLine="622"/>
        <w:spacing w:after="0" w:line="250" w:lineRule="auto"/>
        <w:tabs>
          <w:tab w:leader="none" w:pos="112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loans or advances to future, present or former officers, directors, managers, members, partners, independent contractors, consultants and employees of any Loan Party (or any direct or indirect parent thereof) or any of its Subsidiaries (i) for reasonable and customary business-related travel, entertainment, relocation and analogous ordinary business purposes, (ii) in connection with such Person’s purchase of Equity Interests of the Borrower or any direct or indirect parent thereof directly from such issuing entity (provided that the amount of such loans and advances shall be contributed to Holdings or the Borrower, as applicable, in cash as Equity Interests other than Disqualified Equity Interests) and (iii) for any other purposes not described in the foregoing clauses (i) and (ii);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outstanding at any time under clause (iii) above shall not exceed $10,000,000;</w:t>
      </w:r>
    </w:p>
    <w:p>
      <w:pPr>
        <w:spacing w:after="0" w:line="140" w:lineRule="exact"/>
        <w:rPr>
          <w:rFonts w:ascii="Arial" w:cs="Arial" w:eastAsia="Arial" w:hAnsi="Arial"/>
          <w:sz w:val="18"/>
          <w:szCs w:val="18"/>
          <w:color w:val="auto"/>
        </w:rPr>
      </w:pPr>
    </w:p>
    <w:p>
      <w:pPr>
        <w:ind w:firstLine="622"/>
        <w:spacing w:after="0" w:line="233" w:lineRule="auto"/>
        <w:tabs>
          <w:tab w:leader="none" w:pos="1092" w:val="left"/>
        </w:tabs>
        <w:numPr>
          <w:ilvl w:val="0"/>
          <w:numId w:val="194"/>
        </w:numPr>
        <w:rPr>
          <w:rFonts w:ascii="Arial" w:cs="Arial" w:eastAsia="Arial" w:hAnsi="Arial"/>
          <w:sz w:val="21"/>
          <w:szCs w:val="21"/>
          <w:color w:val="auto"/>
        </w:rPr>
      </w:pPr>
      <w:r>
        <w:rPr>
          <w:rFonts w:ascii="Arial" w:cs="Arial" w:eastAsia="Arial" w:hAnsi="Arial"/>
          <w:sz w:val="21"/>
          <w:szCs w:val="21"/>
          <w:color w:val="auto"/>
        </w:rPr>
        <w:t>Investments by the Borrower or any of its Restricted Subsidiaries in the Borrower or any of its Restricted Subsidiaries or any Person that will, upon such Investment become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177</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316" w:lineRule="exact"/>
        <w:rPr>
          <w:sz w:val="20"/>
          <w:szCs w:val="20"/>
          <w:color w:val="auto"/>
        </w:rPr>
      </w:pPr>
    </w:p>
    <w:p>
      <w:pPr>
        <w:jc w:val="both"/>
        <w:ind w:firstLine="6"/>
        <w:spacing w:after="0" w:line="239" w:lineRule="auto"/>
        <w:rPr>
          <w:sz w:val="20"/>
          <w:szCs w:val="20"/>
          <w:color w:val="auto"/>
        </w:rPr>
      </w:pPr>
      <w:r>
        <w:rPr>
          <w:rFonts w:ascii="Arial" w:cs="Arial" w:eastAsia="Arial" w:hAnsi="Arial"/>
          <w:sz w:val="19"/>
          <w:szCs w:val="19"/>
          <w:color w:val="auto"/>
        </w:rPr>
        <w:t xml:space="preserve">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any Investment made by any Person that is not a Loan Party in any Loan Party pursuant to this clause (c) shall be subordinated in right of payment to the Loans and (y) any Investment made by any Loan Party in any Person that is not a Loan Party shall either (i) be made in the ordinary course of business or (ii) be evidenced by a note pledged as Collateral on a first priority basis for the benefit of the Obligations, which note shall be in form and substance reasonably satisfactory to the Administrative Agent (it being understood that an Intercompany Note shall be satisfactory to the Administrative Agent);</w:t>
      </w:r>
    </w:p>
    <w:p>
      <w:pPr>
        <w:spacing w:after="0" w:line="150" w:lineRule="exact"/>
        <w:rPr>
          <w:sz w:val="20"/>
          <w:szCs w:val="20"/>
          <w:color w:val="auto"/>
        </w:rPr>
      </w:pPr>
    </w:p>
    <w:p>
      <w:pPr>
        <w:jc w:val="both"/>
        <w:ind w:firstLine="622"/>
        <w:spacing w:after="0" w:line="251" w:lineRule="auto"/>
        <w:tabs>
          <w:tab w:leader="none" w:pos="114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 or consistent with past practice;</w:t>
      </w:r>
    </w:p>
    <w:p>
      <w:pPr>
        <w:spacing w:after="0" w:line="139" w:lineRule="exact"/>
        <w:rPr>
          <w:rFonts w:ascii="Arial" w:cs="Arial" w:eastAsia="Arial" w:hAnsi="Arial"/>
          <w:sz w:val="19"/>
          <w:szCs w:val="19"/>
          <w:color w:val="auto"/>
        </w:rPr>
      </w:pPr>
    </w:p>
    <w:p>
      <w:pPr>
        <w:jc w:val="both"/>
        <w:ind w:firstLine="622"/>
        <w:spacing w:after="0" w:line="251" w:lineRule="auto"/>
        <w:tabs>
          <w:tab w:leader="none" w:pos="1191"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Investments (excluding loans and advances made in lieu of Restricted Payments pursuant to and limited by Section 7.02(m) below) consisting of transactions permitted under Sections 7.01 (other than 7.01(p)), 7.03 (other than 7.03(c) and (d)), 7.04 (other than 7.04(c), (d) and (e)), 7.05 (other than 7.05(e)), 7.06 (other than 7.06(e) and (i)(iv)) and 7.13, respectively;</w:t>
      </w:r>
    </w:p>
    <w:p>
      <w:pPr>
        <w:spacing w:after="0" w:line="139" w:lineRule="exact"/>
        <w:rPr>
          <w:rFonts w:ascii="Arial" w:cs="Arial" w:eastAsia="Arial" w:hAnsi="Arial"/>
          <w:sz w:val="19"/>
          <w:szCs w:val="19"/>
          <w:color w:val="auto"/>
        </w:rPr>
      </w:pPr>
    </w:p>
    <w:p>
      <w:pPr>
        <w:jc w:val="both"/>
        <w:ind w:firstLine="622"/>
        <w:spacing w:after="0" w:line="239" w:lineRule="auto"/>
        <w:tabs>
          <w:tab w:leader="none" w:pos="104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Investments (i) existing or contemplated on the Restatement Date and, with respect to each such Investments in an amount in excess of $2,500,000, set forth on Schedule 7.02(f) and any modification, replacement, renewal, reinvestment or extension thereof and (ii) existing on the Restatement Date by the Borrower or any Restricted Subsidiary in the Borrower or any other Restricted Subsidiary and any modification, renewal or extension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the original Investment is not increased except by the terms of such Investment as of the Restatement Date or as otherwise permitted by this Section 7.02;</w:t>
      </w:r>
    </w:p>
    <w:p>
      <w:pPr>
        <w:spacing w:after="0" w:line="149" w:lineRule="exact"/>
        <w:rPr>
          <w:rFonts w:ascii="Arial" w:cs="Arial" w:eastAsia="Arial" w:hAnsi="Arial"/>
          <w:sz w:val="19"/>
          <w:szCs w:val="19"/>
          <w:color w:val="auto"/>
        </w:rPr>
      </w:pPr>
    </w:p>
    <w:p>
      <w:pPr>
        <w:ind w:left="1060" w:hanging="438"/>
        <w:spacing w:after="0"/>
        <w:tabs>
          <w:tab w:leader="none" w:pos="106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Investments in Swap Contracts permitted under Section 7.03;</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[Reserved];</w:t>
      </w:r>
    </w:p>
    <w:p>
      <w:pPr>
        <w:spacing w:after="0" w:line="171" w:lineRule="exact"/>
        <w:rPr>
          <w:rFonts w:ascii="Arial" w:cs="Arial" w:eastAsia="Arial" w:hAnsi="Arial"/>
          <w:sz w:val="21"/>
          <w:szCs w:val="21"/>
          <w:color w:val="auto"/>
        </w:rPr>
      </w:pPr>
    </w:p>
    <w:p>
      <w:pPr>
        <w:jc w:val="both"/>
        <w:ind w:firstLine="622"/>
        <w:spacing w:after="0" w:line="232" w:lineRule="auto"/>
        <w:tabs>
          <w:tab w:leader="none" w:pos="1158"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 acquisition of all or substantially all the assets of a Person, or any Equity Interests in a Person that becomes a Restricted Subsidiary or a division or line of business of a Person (or any subsequent Investment made in a Person, division or line of business previously acquired in a Permitted Acquisition), in a single transaction or series of related transactions, if immediately after giving effect thereto: (i) no Event of Default under Sections 8.01(a) or (f) with respect to the Borrower shall have occurred and be continuing, (ii) the Borrower shall be in compliance with the Financial Covenant on a Pro Forma Basis after giving effect to such acquisition, (iii) any acquired or newly formed Restricted Subsidiary shall not be liable for any Indebtedness except for Indebtedness otherwise permitted by Section 7.03 and (iv) to the extent required by the Collateral and Guarantee Requirement, (A) the property, assets and businesses acquired in such purchase or other acquisition shall constitute Collateral and (B) any such newly created or acquired Subsidiary (other than an Excluded Subsidiary or an Unrestricted Subsidiary) shall become a Guarantor, in each case, in accordance with Section 6.11 (any such acquisition, a “</w:t>
      </w:r>
      <w:r>
        <w:rPr>
          <w:rFonts w:ascii="Arial" w:cs="Arial" w:eastAsia="Arial" w:hAnsi="Arial"/>
          <w:sz w:val="19"/>
          <w:szCs w:val="19"/>
          <w:b w:val="1"/>
          <w:bCs w:val="1"/>
          <w:color w:val="auto"/>
        </w:rPr>
        <w:t>Permitted Acquisition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178</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51" w:lineRule="auto"/>
        <w:tabs>
          <w:tab w:leader="none" w:pos="103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so long as no Event of Default under Sections 8.01(a) or (f) with respect to the Borrower has occurred and is continuing or would result therefrom, the Borrower and its Restricted Subsidiaries may make Investments in an unlimited amount so long as the Consolidated Total Net Leverage Ratio calculated on a Pro Forma Basis is less than or equal to 3.00 to 1.00;</w:t>
      </w:r>
    </w:p>
    <w:p>
      <w:pPr>
        <w:spacing w:after="0" w:line="139" w:lineRule="exact"/>
        <w:rPr>
          <w:rFonts w:ascii="Arial" w:cs="Arial" w:eastAsia="Arial" w:hAnsi="Arial"/>
          <w:sz w:val="19"/>
          <w:szCs w:val="19"/>
          <w:color w:val="auto"/>
        </w:rPr>
      </w:pPr>
    </w:p>
    <w:p>
      <w:pPr>
        <w:ind w:firstLine="622"/>
        <w:spacing w:after="0" w:line="233" w:lineRule="auto"/>
        <w:tabs>
          <w:tab w:leader="none" w:pos="1144" w:val="left"/>
        </w:tabs>
        <w:numPr>
          <w:ilvl w:val="0"/>
          <w:numId w:val="196"/>
        </w:numPr>
        <w:rPr>
          <w:rFonts w:ascii="Arial" w:cs="Arial" w:eastAsia="Arial" w:hAnsi="Arial"/>
          <w:sz w:val="21"/>
          <w:szCs w:val="21"/>
          <w:color w:val="auto"/>
        </w:rPr>
      </w:pPr>
      <w:r>
        <w:rPr>
          <w:rFonts w:ascii="Arial" w:cs="Arial" w:eastAsia="Arial" w:hAnsi="Arial"/>
          <w:sz w:val="21"/>
          <w:szCs w:val="21"/>
          <w:color w:val="auto"/>
        </w:rPr>
        <w:t>Investments in the ordinary course of business consisting of UCC Article 3 endorsements for collection or deposit and UCC Article 4 customary trade arrangements with customers consistent with past practices;</w:t>
      </w:r>
    </w:p>
    <w:p>
      <w:pPr>
        <w:spacing w:after="0" w:line="149" w:lineRule="exact"/>
        <w:rPr>
          <w:rFonts w:ascii="Arial" w:cs="Arial" w:eastAsia="Arial" w:hAnsi="Arial"/>
          <w:sz w:val="21"/>
          <w:szCs w:val="21"/>
          <w:color w:val="auto"/>
        </w:rPr>
      </w:pPr>
    </w:p>
    <w:p>
      <w:pPr>
        <w:jc w:val="both"/>
        <w:ind w:firstLine="622"/>
        <w:spacing w:after="0" w:line="219" w:lineRule="auto"/>
        <w:tabs>
          <w:tab w:leader="none" w:pos="104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consistent with past practice or upon the foreclosure with respect to any secured Investment or other transfer of title with respect to any secured Investment;</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218" w:val="left"/>
        </w:tabs>
        <w:numPr>
          <w:ilvl w:val="0"/>
          <w:numId w:val="196"/>
        </w:numPr>
        <w:rPr>
          <w:rFonts w:ascii="Arial" w:cs="Arial" w:eastAsia="Arial" w:hAnsi="Arial"/>
          <w:sz w:val="21"/>
          <w:szCs w:val="21"/>
          <w:color w:val="auto"/>
        </w:rPr>
      </w:pPr>
      <w:r>
        <w:rPr>
          <w:rFonts w:ascii="Arial" w:cs="Arial" w:eastAsia="Arial" w:hAnsi="Arial"/>
          <w:sz w:val="21"/>
          <w:szCs w:val="21"/>
          <w:color w:val="auto"/>
        </w:rPr>
        <w:t>loans and advances to the Borrower and any other direct or indirect parent of the Borrower, and not in excess of the amount of (after giving effect to any other loans, advances or Restricted Payments in respect thereof), Restricted Payments to the extent permitted to be made to such parent in accordance with Sections 7.06(g), (h) or (i);</w:t>
      </w:r>
    </w:p>
    <w:p>
      <w:pPr>
        <w:spacing w:after="0" w:line="148" w:lineRule="exact"/>
        <w:rPr>
          <w:rFonts w:ascii="Arial" w:cs="Arial" w:eastAsia="Arial" w:hAnsi="Arial"/>
          <w:sz w:val="21"/>
          <w:szCs w:val="21"/>
          <w:color w:val="auto"/>
        </w:rPr>
      </w:pPr>
    </w:p>
    <w:p>
      <w:pPr>
        <w:jc w:val="both"/>
        <w:ind w:firstLine="622"/>
        <w:spacing w:after="0" w:line="239" w:lineRule="auto"/>
        <w:tabs>
          <w:tab w:leader="none" w:pos="107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other Investments in an aggregate amount outstanding pursuant to this clause (n) (valued at the time of the making thereof, and without giving effect to any write-downs or write-offs thereof) at any time not to exceed (x) the greater of (i) $100,000,000 and (ii) 40% of LTM Consolidated EBITDA (in each case, net of any return in respect thereof, including dividends, interest, distributions, returns of principal, profits on sale, repayments, income and similar amounts) plus (y) the portion, if any, of the Cumulative Credit on such date that the Borrower elects to apply to this clause (y) plus (z) the Available RP Capacity Amount;</w:t>
      </w:r>
    </w:p>
    <w:p>
      <w:pPr>
        <w:spacing w:after="0" w:line="149" w:lineRule="exact"/>
        <w:rPr>
          <w:rFonts w:ascii="Arial" w:cs="Arial" w:eastAsia="Arial" w:hAnsi="Arial"/>
          <w:sz w:val="19"/>
          <w:szCs w:val="19"/>
          <w:color w:val="auto"/>
        </w:rPr>
      </w:pPr>
    </w:p>
    <w:p>
      <w:pPr>
        <w:ind w:left="1060" w:hanging="438"/>
        <w:spacing w:after="0"/>
        <w:tabs>
          <w:tab w:leader="none" w:pos="106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advances of payroll payments to employees in the ordinary course of business or consistent with past practice;</w:t>
      </w:r>
    </w:p>
    <w:p>
      <w:pPr>
        <w:spacing w:after="0" w:line="182" w:lineRule="exact"/>
        <w:rPr>
          <w:rFonts w:ascii="Arial" w:cs="Arial" w:eastAsia="Arial" w:hAnsi="Arial"/>
          <w:sz w:val="20"/>
          <w:szCs w:val="20"/>
          <w:color w:val="auto"/>
        </w:rPr>
      </w:pPr>
    </w:p>
    <w:p>
      <w:pPr>
        <w:ind w:firstLine="622"/>
        <w:spacing w:after="0" w:line="233" w:lineRule="auto"/>
        <w:tabs>
          <w:tab w:leader="none" w:pos="110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Investments to the extent that payment for such Investments is made solely with Equity Interests (other than Disqualified Equity Interests) of the Borrower (or any direct or indirect parent of the Borrower);</w:t>
      </w:r>
    </w:p>
    <w:p>
      <w:pPr>
        <w:spacing w:after="0" w:line="149" w:lineRule="exact"/>
        <w:rPr>
          <w:rFonts w:ascii="Arial" w:cs="Arial" w:eastAsia="Arial" w:hAnsi="Arial"/>
          <w:sz w:val="21"/>
          <w:szCs w:val="21"/>
          <w:color w:val="auto"/>
        </w:rPr>
      </w:pPr>
    </w:p>
    <w:p>
      <w:pPr>
        <w:jc w:val="both"/>
        <w:ind w:firstLine="622"/>
        <w:spacing w:after="0" w:line="243" w:lineRule="auto"/>
        <w:tabs>
          <w:tab w:leader="none" w:pos="116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Investments of a Restricted Subsidiary acquired after the Restatement Date or of a Person merged or amalgamated or consolidated into the Borrower or merged, amalgamated or consolidated with a Restricted Subsidiary in accordance with Section 7.04 after the Restatement Date to the extent that such Investments were not made in contemplation of or in connection with such acquisition, merger, amalgamation or consolidation and were in existence on the date of such acquisition, merger or consolidation;</w:t>
      </w:r>
    </w:p>
    <w:p>
      <w:pPr>
        <w:spacing w:after="0" w:line="146" w:lineRule="exact"/>
        <w:rPr>
          <w:rFonts w:ascii="Arial" w:cs="Arial" w:eastAsia="Arial" w:hAnsi="Arial"/>
          <w:sz w:val="19"/>
          <w:szCs w:val="19"/>
          <w:color w:val="auto"/>
        </w:rPr>
      </w:pPr>
    </w:p>
    <w:p>
      <w:pPr>
        <w:ind w:left="1040" w:hanging="418"/>
        <w:spacing w:after="0"/>
        <w:tabs>
          <w:tab w:leader="none" w:pos="104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[reserved];</w:t>
      </w:r>
    </w:p>
    <w:p>
      <w:pPr>
        <w:spacing w:after="0" w:line="171" w:lineRule="exact"/>
        <w:rPr>
          <w:rFonts w:ascii="Arial" w:cs="Arial" w:eastAsia="Arial" w:hAnsi="Arial"/>
          <w:sz w:val="21"/>
          <w:szCs w:val="21"/>
          <w:color w:val="auto"/>
        </w:rPr>
      </w:pPr>
    </w:p>
    <w:p>
      <w:pPr>
        <w:ind w:firstLine="622"/>
        <w:spacing w:after="0" w:line="233" w:lineRule="auto"/>
        <w:tabs>
          <w:tab w:leader="none" w:pos="1073" w:val="left"/>
        </w:tabs>
        <w:numPr>
          <w:ilvl w:val="0"/>
          <w:numId w:val="196"/>
        </w:numPr>
        <w:rPr>
          <w:rFonts w:ascii="Arial" w:cs="Arial" w:eastAsia="Arial" w:hAnsi="Arial"/>
          <w:sz w:val="21"/>
          <w:szCs w:val="21"/>
          <w:color w:val="auto"/>
        </w:rPr>
      </w:pPr>
      <w:r>
        <w:rPr>
          <w:rFonts w:ascii="Arial" w:cs="Arial" w:eastAsia="Arial" w:hAnsi="Arial"/>
          <w:sz w:val="21"/>
          <w:szCs w:val="21"/>
          <w:color w:val="auto"/>
        </w:rPr>
        <w:t>Investments constituting promissory notes or the non-cash portion of consideration received in a Disposition permitted by Section 7.05;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179</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316" w:lineRule="exact"/>
        <w:rPr>
          <w:sz w:val="20"/>
          <w:szCs w:val="20"/>
          <w:color w:val="auto"/>
        </w:rPr>
      </w:pPr>
    </w:p>
    <w:p>
      <w:pPr>
        <w:jc w:val="both"/>
        <w:ind w:firstLine="622"/>
        <w:spacing w:after="0" w:line="224" w:lineRule="auto"/>
        <w:tabs>
          <w:tab w:leader="none" w:pos="1146" w:val="left"/>
        </w:tabs>
        <w:numPr>
          <w:ilvl w:val="0"/>
          <w:numId w:val="197"/>
        </w:numPr>
        <w:rPr>
          <w:rFonts w:ascii="Arial" w:cs="Arial" w:eastAsia="Arial" w:hAnsi="Arial"/>
          <w:sz w:val="21"/>
          <w:szCs w:val="21"/>
          <w:color w:val="auto"/>
        </w:rPr>
      </w:pPr>
      <w:r>
        <w:rPr>
          <w:rFonts w:ascii="Arial" w:cs="Arial" w:eastAsia="Arial" w:hAnsi="Arial"/>
          <w:sz w:val="21"/>
          <w:szCs w:val="21"/>
          <w:color w:val="auto"/>
        </w:rPr>
        <w:t>Guarantees by the Borrower or any of its Restricted Subsidiaries of leases (other than Financing Leases) or of other obligations that do not constitute Indebtedness, in each case entered into in the ordinary course of business or consistent with past practice;</w:t>
      </w:r>
    </w:p>
    <w:p>
      <w:pPr>
        <w:spacing w:after="0" w:line="148" w:lineRule="exact"/>
        <w:rPr>
          <w:rFonts w:ascii="Arial" w:cs="Arial" w:eastAsia="Arial" w:hAnsi="Arial"/>
          <w:sz w:val="21"/>
          <w:szCs w:val="21"/>
          <w:color w:val="auto"/>
        </w:rPr>
      </w:pPr>
    </w:p>
    <w:p>
      <w:pPr>
        <w:jc w:val="both"/>
        <w:ind w:firstLine="622"/>
        <w:spacing w:after="0" w:line="224" w:lineRule="auto"/>
        <w:tabs>
          <w:tab w:leader="none" w:pos="107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Investments in or relating to a Securitization Subsidiary that, in the good faith determination of the Borrower are necessary or advisable to effect any Qualified Securitization Facility (including any contribution of replacement or substitute assets to such subsidiary) or any repurchase obligation in connection therewith;</w:t>
      </w:r>
    </w:p>
    <w:p>
      <w:pPr>
        <w:spacing w:after="0" w:line="148" w:lineRule="exact"/>
        <w:rPr>
          <w:rFonts w:ascii="Arial" w:cs="Arial" w:eastAsia="Arial" w:hAnsi="Arial"/>
          <w:sz w:val="21"/>
          <w:szCs w:val="21"/>
          <w:color w:val="auto"/>
        </w:rPr>
      </w:pPr>
    </w:p>
    <w:p>
      <w:pPr>
        <w:jc w:val="both"/>
        <w:ind w:firstLine="622"/>
        <w:spacing w:after="0" w:line="252" w:lineRule="auto"/>
        <w:tabs>
          <w:tab w:leader="none" w:pos="110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Investments in Unrestricted Subsidiaries having an aggregate fair market value, taken together with all other Investments made pursuant to this clause (v) that are at the time outstanding, without giving effect to the sale of an Unrestricted Subsidiary to the extent the proceeds of such sale do not consist of cash or marketable securities (until such proceeds are converted to Cash Equivalents), not to exceed the greater of (i) $43,000,000 and (ii) 20% of LTM Consolidated EBITDA at the time of such Investment (with the fair market value of each Investment being measured at the time made and without giving effect to subsequent changes in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Investment made by any Loan Party pursuant to this clause (v) shall be subordinated in right of payment to the Loans;</w:t>
      </w:r>
    </w:p>
    <w:p>
      <w:pPr>
        <w:spacing w:after="0" w:line="139" w:lineRule="exact"/>
        <w:rPr>
          <w:rFonts w:ascii="Arial" w:cs="Arial" w:eastAsia="Arial" w:hAnsi="Arial"/>
          <w:sz w:val="18"/>
          <w:szCs w:val="18"/>
          <w:color w:val="auto"/>
        </w:rPr>
      </w:pPr>
    </w:p>
    <w:p>
      <w:pPr>
        <w:jc w:val="both"/>
        <w:ind w:firstLine="622"/>
        <w:spacing w:after="0" w:line="223" w:lineRule="auto"/>
        <w:tabs>
          <w:tab w:leader="none" w:pos="11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any Investment in a Similar Business when taken together with all other Investments made pursuant to this clause (w) that are at that time outstanding not to exceed the greater of (i) $75,250,000 and (ii) 35% of LTM Consolidated EBITDA (in each case, determined on the date such Investment is made, with the fair market value of each Investment being measured at the time made and without giving effect to subsequent changes in value); </w:t>
      </w:r>
      <w:r>
        <w:rPr>
          <w:rFonts w:ascii="Arial" w:cs="Arial" w:eastAsia="Arial" w:hAnsi="Arial"/>
          <w:sz w:val="20"/>
          <w:szCs w:val="20"/>
          <w:i w:val="1"/>
          <w:iCs w:val="1"/>
          <w:color w:val="auto"/>
        </w:rPr>
        <w:t>provided, however</w:t>
      </w:r>
      <w:r>
        <w:rPr>
          <w:rFonts w:ascii="Arial" w:cs="Arial" w:eastAsia="Arial" w:hAnsi="Arial"/>
          <w:sz w:val="20"/>
          <w:szCs w:val="20"/>
          <w:color w:val="auto"/>
        </w:rPr>
        <w:t>, that if any Investment pursuant to this clause (w) is made in any Person that is not the Borrower or a Restricted Subsidiary of the Borrower at the date of the making of such Investment and such Person becomes a Restricted Subsidiary after such date, such investment shall thereafter be deemed to have been made pursuant to clause (c) above and shall cease to have been made pursuant to this clause (w);</w:t>
      </w:r>
    </w:p>
    <w:p>
      <w:pPr>
        <w:spacing w:after="0" w:line="154" w:lineRule="exact"/>
        <w:rPr>
          <w:rFonts w:ascii="Arial" w:cs="Arial" w:eastAsia="Arial" w:hAnsi="Arial"/>
          <w:sz w:val="20"/>
          <w:szCs w:val="20"/>
          <w:color w:val="auto"/>
        </w:rPr>
      </w:pPr>
    </w:p>
    <w:p>
      <w:pPr>
        <w:ind w:left="1060" w:hanging="438"/>
        <w:spacing w:after="0"/>
        <w:tabs>
          <w:tab w:leader="none" w:pos="106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Investments constituting Permitted Intercompany Activities;</w:t>
      </w:r>
    </w:p>
    <w:p>
      <w:pPr>
        <w:spacing w:after="0" w:line="171" w:lineRule="exact"/>
        <w:rPr>
          <w:rFonts w:ascii="Arial" w:cs="Arial" w:eastAsia="Arial" w:hAnsi="Arial"/>
          <w:sz w:val="21"/>
          <w:szCs w:val="21"/>
          <w:color w:val="auto"/>
        </w:rPr>
      </w:pPr>
    </w:p>
    <w:p>
      <w:pPr>
        <w:jc w:val="both"/>
        <w:ind w:firstLine="622"/>
        <w:spacing w:after="0" w:line="230" w:lineRule="auto"/>
        <w:tabs>
          <w:tab w:leader="none" w:pos="1136"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Investments that are made in (i) an amount equal to the amount of Excluded Contributions previously received and the Borrower elects to apply under this clause (y) or (ii) without duplication with clause (i), in an amount equal to the proceeds from a Disposition in respect of property or assets acquired after the Restatement Date, if the acquisition of such property or assets was financed with Excluded Contributions, in each case, to the extent Not Otherwise Applied;</w:t>
      </w:r>
    </w:p>
    <w:p>
      <w:pPr>
        <w:spacing w:after="0" w:line="149" w:lineRule="exact"/>
        <w:rPr>
          <w:rFonts w:ascii="Arial" w:cs="Arial" w:eastAsia="Arial" w:hAnsi="Arial"/>
          <w:sz w:val="20"/>
          <w:szCs w:val="20"/>
          <w:color w:val="auto"/>
        </w:rPr>
      </w:pPr>
    </w:p>
    <w:p>
      <w:pPr>
        <w:jc w:val="both"/>
        <w:ind w:firstLine="622"/>
        <w:spacing w:after="0" w:line="230" w:lineRule="auto"/>
        <w:tabs>
          <w:tab w:leader="none" w:pos="1245"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Investments in joint ventures of the Borrower or any of its Restricted Subsidiaries, taken together with all other Investments made pursuant to this clause (z) that are at that time outstanding, not to exceed the greater of (i) $64,500,000 and (ii) 30% of LTM Consolidated EBITDA (in each case, determined on the date such Investment is made, with the fair market value of each Investment being measured at the time made and without giving effect to subsequent changes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180</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40" w:hanging="518"/>
        <w:spacing w:after="0"/>
        <w:tabs>
          <w:tab w:leader="none" w:pos="114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earnest money deposits required in connection with Permitted Acquisitions (or similar Investments); and</w:t>
      </w:r>
    </w:p>
    <w:p>
      <w:pPr>
        <w:spacing w:after="0" w:line="171" w:lineRule="exact"/>
        <w:rPr>
          <w:rFonts w:ascii="Arial" w:cs="Arial" w:eastAsia="Arial" w:hAnsi="Arial"/>
          <w:sz w:val="21"/>
          <w:szCs w:val="21"/>
          <w:color w:val="auto"/>
        </w:rPr>
      </w:pPr>
    </w:p>
    <w:p>
      <w:pPr>
        <w:ind w:firstLine="622"/>
        <w:spacing w:after="0" w:line="233" w:lineRule="auto"/>
        <w:tabs>
          <w:tab w:leader="none" w:pos="1231" w:val="left"/>
        </w:tabs>
        <w:numPr>
          <w:ilvl w:val="0"/>
          <w:numId w:val="198"/>
        </w:numPr>
        <w:rPr>
          <w:rFonts w:ascii="Arial" w:cs="Arial" w:eastAsia="Arial" w:hAnsi="Arial"/>
          <w:sz w:val="21"/>
          <w:szCs w:val="21"/>
          <w:color w:val="auto"/>
        </w:rPr>
      </w:pPr>
      <w:r>
        <w:rPr>
          <w:rFonts w:ascii="Arial" w:cs="Arial" w:eastAsia="Arial" w:hAnsi="Arial"/>
          <w:sz w:val="21"/>
          <w:szCs w:val="21"/>
          <w:color w:val="auto"/>
        </w:rPr>
        <w:t>contributions to a “rabbi” trust for the benefit of employees or other grantor trusts subject to claims of creditors in the case of bankruptcy of the Borrower.</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19"/>
          <w:szCs w:val="19"/>
          <w:color w:val="auto"/>
        </w:rPr>
        <w:t>For purposes of determining compliance with this Section 7.02, in the event that an item of Investment meets the criteria of more than one of the categories of Investments described above, the Borrower may, in its sole discretion, classify or later divide, classify or reclassify all or a portion of such item of Investment or any portion thereof in a manner that complies with this Section 7.02 and will only be required to include the amount and type of such Investment in one or more of the above clauses. In the event that a portion of the Investments could be classified as incurred under a “ratio-based” basket (giving pro forma effect to the making of such Investments), the Borrower, in its sole discretion, may classify such portion of such Investment as having been incurred pursuant to such “ratio-based” basket and thereafter the remainder of the Investments as having been incurred pursuant to one or more of the other clauses of this Section 7.02 and if any such test would be satisfied in any subsequent fiscal quarter following the relevant date of determination, then such reclassification shall be deemed to have automatically occurred at such time.</w:t>
      </w:r>
    </w:p>
    <w:p>
      <w:pPr>
        <w:spacing w:after="0" w:line="154"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i w:val="1"/>
          <w:iCs w:val="1"/>
          <w:color w:val="auto"/>
        </w:rPr>
        <w:t>Indebtedness</w:t>
      </w:r>
      <w:r>
        <w:rPr>
          <w:rFonts w:ascii="Arial" w:cs="Arial" w:eastAsia="Arial" w:hAnsi="Arial"/>
          <w:sz w:val="21"/>
          <w:szCs w:val="21"/>
          <w:color w:val="auto"/>
        </w:rPr>
        <w:t>. Neither the Borrower nor any of the Restricted Subsidiaries shall, directly or indirectly, create, incur, assume or suffer to exist any Indebtedness, except:</w:t>
      </w:r>
    </w:p>
    <w:p>
      <w:pPr>
        <w:spacing w:after="0" w:line="150" w:lineRule="exact"/>
        <w:rPr>
          <w:sz w:val="20"/>
          <w:szCs w:val="20"/>
          <w:color w:val="auto"/>
        </w:rPr>
      </w:pPr>
    </w:p>
    <w:p>
      <w:pPr>
        <w:ind w:left="1060" w:hanging="438"/>
        <w:spacing w:after="0"/>
        <w:tabs>
          <w:tab w:leader="none" w:pos="106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Indebtedness of any Loan Party under the Loan Documents;</w:t>
      </w:r>
    </w:p>
    <w:p>
      <w:pPr>
        <w:spacing w:after="0" w:line="171" w:lineRule="exact"/>
        <w:rPr>
          <w:rFonts w:ascii="Arial" w:cs="Arial" w:eastAsia="Arial" w:hAnsi="Arial"/>
          <w:sz w:val="21"/>
          <w:szCs w:val="21"/>
          <w:color w:val="auto"/>
        </w:rPr>
      </w:pPr>
    </w:p>
    <w:p>
      <w:pPr>
        <w:jc w:val="both"/>
        <w:ind w:firstLine="622"/>
        <w:spacing w:after="0" w:line="233" w:lineRule="auto"/>
        <w:tabs>
          <w:tab w:leader="none" w:pos="113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(i) Indebtedness outstanding on the Restatement Date and as listed on Schedule 7.03(b) and any Permitted Refinancing thereof and (ii) Indebtedness owed to the Borrower or any Restricted Subsidiary outstanding on the Restatement Date and any refinancing thereof with Indebtedness owed to the Borrower or any Restricted Subsidiary in a principal amount that does not exceed the principal amount (or accreted value, if applicable) of the intercompany Indebtedness so refinanced;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any Indebtedness advanced by any Person that is not a Loan Party to any Loan Party pursuant to this clause (b) shall be subordinated in right of payment to the Loans and (y) any Indebtedness advanced by any Loan Party to any Person that is not a Loan Party shall either (i) be made in the ordinary course of business or consistent with past practice or (ii) be evidenced by a note pledged as Collateral on a first priority basis for the benefit of the Obligations, which note shall be in form and substance reasonably satisfactory to the Administrative Agent (it being understood that an Intercompany Note shall be satisfactory to the Administrative Agent);</w:t>
      </w:r>
    </w:p>
    <w:p>
      <w:pPr>
        <w:spacing w:after="0" w:line="153" w:lineRule="exact"/>
        <w:rPr>
          <w:rFonts w:ascii="Arial" w:cs="Arial" w:eastAsia="Arial" w:hAnsi="Arial"/>
          <w:sz w:val="19"/>
          <w:szCs w:val="19"/>
          <w:color w:val="auto"/>
        </w:rPr>
      </w:pPr>
    </w:p>
    <w:p>
      <w:pPr>
        <w:jc w:val="both"/>
        <w:ind w:firstLine="622"/>
        <w:spacing w:after="0" w:line="219" w:lineRule="auto"/>
        <w:tabs>
          <w:tab w:leader="none" w:pos="111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 xml:space="preserve">Guarantees by the Borrower and any Restricted Subsidiary in respect of Indebtedness of the Borrower or any Restricted Subsidiary of the Borrower otherwise permitted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Indebtedness being guaranteed is subordinated to the Obligations, such Guarantee shall be subordinated to the Guarantee of the Obligations on terms at least as favorable to the Lenders as those contained in the subordination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181</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23" w:lineRule="auto"/>
        <w:tabs>
          <w:tab w:leader="none" w:pos="1095" w:val="left"/>
        </w:tabs>
        <w:numPr>
          <w:ilvl w:val="1"/>
          <w:numId w:val="200"/>
        </w:numPr>
        <w:rPr>
          <w:rFonts w:ascii="Arial" w:cs="Arial" w:eastAsia="Arial" w:hAnsi="Arial"/>
          <w:sz w:val="20"/>
          <w:szCs w:val="20"/>
          <w:color w:val="auto"/>
        </w:rPr>
      </w:pPr>
      <w:r>
        <w:rPr>
          <w:rFonts w:ascii="Arial" w:cs="Arial" w:eastAsia="Arial" w:hAnsi="Arial"/>
          <w:sz w:val="20"/>
          <w:szCs w:val="20"/>
          <w:color w:val="auto"/>
        </w:rPr>
        <w:t xml:space="preserve">Indebtedness of the Borrower or any Restricted Subsidiary owing to the Borrower or any Restricted Subsidiary (or issued or transferred to any direct or indirect parent of a Loan Party which is substantially contemporaneously transferred to a Loan Party or any Restricted Subsidiary of a Loan Party) to the extent constituting an Investment permitted by Section 7.02;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Indebtedness advanced by any Person that is not a Loan Party to any Loan Party shall be subordinated in right of payment to the Loans (for the avoidance of doubt, any such Indebtedness owing by a Loan Party to a Restricted Subsidiary that is not a Loan Party shall be deemed to be expressly subordinated in right of payment to the Loans unless the terms of such Indebtedness expressly provided otherwise);</w:t>
      </w:r>
    </w:p>
    <w:p>
      <w:pPr>
        <w:spacing w:after="0" w:line="154" w:lineRule="exact"/>
        <w:rPr>
          <w:rFonts w:ascii="Arial" w:cs="Arial" w:eastAsia="Arial" w:hAnsi="Arial"/>
          <w:sz w:val="20"/>
          <w:szCs w:val="20"/>
          <w:color w:val="auto"/>
        </w:rPr>
      </w:pPr>
    </w:p>
    <w:p>
      <w:pPr>
        <w:jc w:val="both"/>
        <w:ind w:firstLine="622"/>
        <w:spacing w:after="0" w:line="243" w:lineRule="auto"/>
        <w:tabs>
          <w:tab w:leader="none" w:pos="110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 Attributable Indebtedness and other Indebtedness (including Financing Leases) financing an acquisition, construction, repair, replacement, lease, expansion, development, installation, relocation, renewal, maintenance, upgrade or improvement of a fixed or capital asset incurred by the Borrower or any Restricted Subsidiary prior to or within 365 days after the acquisition, construction, repair, replacement, lease, expansion, development, installation, relocation, renewal, maintenance, upgrade or improvement of the applicable asset in an aggregate amount not to exceed (A) the amount of such Indebtedness outstanding on the Restatement Date plus</w:t>
      </w:r>
    </w:p>
    <w:p>
      <w:pPr>
        <w:spacing w:after="0" w:line="1" w:lineRule="exact"/>
        <w:rPr>
          <w:rFonts w:ascii="Arial" w:cs="Arial" w:eastAsia="Arial" w:hAnsi="Arial"/>
          <w:sz w:val="18"/>
          <w:szCs w:val="18"/>
          <w:color w:val="auto"/>
        </w:rPr>
      </w:pPr>
    </w:p>
    <w:p>
      <w:pPr>
        <w:jc w:val="both"/>
        <w:ind w:firstLine="3"/>
        <w:spacing w:after="0" w:line="212" w:lineRule="auto"/>
        <w:tabs>
          <w:tab w:leader="none" w:pos="333"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the greater of (1) $64,500,000 and (2) 30% of LTM Consolidated EBITDA at any time outstanding, in each case determined at the time of incurrence at any time outstanding (together with any Permitted Refinancings thereof but without giving effect to any increase in principal amount permitted under clause (a) of the </w:t>
      </w:r>
      <w:r>
        <w:rPr>
          <w:rFonts w:ascii="Arial" w:cs="Arial" w:eastAsia="Arial" w:hAnsi="Arial"/>
          <w:sz w:val="21"/>
          <w:szCs w:val="21"/>
          <w:i w:val="1"/>
          <w:iCs w:val="1"/>
          <w:color w:val="auto"/>
        </w:rPr>
        <w:t>proviso</w:t>
      </w:r>
      <w:r>
        <w:rPr>
          <w:rFonts w:ascii="Arial" w:cs="Arial" w:eastAsia="Arial" w:hAnsi="Arial"/>
          <w:sz w:val="21"/>
          <w:szCs w:val="21"/>
          <w:color w:val="auto"/>
        </w:rPr>
        <w:t xml:space="preserve"> to the definition of “Permitted Refinancing”), (ii) Attributable Indebtedness arising out of sale-leaseback transactions permitted by Section 7.05 and (iii) any Permitted Refinancing of any of the foregoing;</w:t>
      </w:r>
    </w:p>
    <w:p>
      <w:pPr>
        <w:spacing w:after="0" w:line="153" w:lineRule="exact"/>
        <w:rPr>
          <w:rFonts w:ascii="Arial" w:cs="Arial" w:eastAsia="Arial" w:hAnsi="Arial"/>
          <w:sz w:val="21"/>
          <w:szCs w:val="21"/>
          <w:color w:val="auto"/>
        </w:rPr>
      </w:pPr>
    </w:p>
    <w:p>
      <w:pPr>
        <w:ind w:left="1040" w:hanging="418"/>
        <w:spacing w:after="0"/>
        <w:tabs>
          <w:tab w:leader="none" w:pos="1040" w:val="left"/>
        </w:tabs>
        <w:numPr>
          <w:ilvl w:val="1"/>
          <w:numId w:val="201"/>
        </w:numPr>
        <w:rPr>
          <w:rFonts w:ascii="Arial" w:cs="Arial" w:eastAsia="Arial" w:hAnsi="Arial"/>
          <w:sz w:val="19"/>
          <w:szCs w:val="19"/>
          <w:color w:val="auto"/>
        </w:rPr>
      </w:pPr>
      <w:r>
        <w:rPr>
          <w:rFonts w:ascii="Arial" w:cs="Arial" w:eastAsia="Arial" w:hAnsi="Arial"/>
          <w:sz w:val="19"/>
          <w:szCs w:val="19"/>
          <w:color w:val="auto"/>
        </w:rPr>
        <w:t>Indebtedness in respect of Swap Contracts incurred in the ordinary course of business and not for speculative purposes;</w:t>
      </w:r>
    </w:p>
    <w:p>
      <w:pPr>
        <w:spacing w:after="0" w:line="194" w:lineRule="exact"/>
        <w:rPr>
          <w:rFonts w:ascii="Arial" w:cs="Arial" w:eastAsia="Arial" w:hAnsi="Arial"/>
          <w:sz w:val="19"/>
          <w:szCs w:val="19"/>
          <w:color w:val="auto"/>
        </w:rPr>
      </w:pPr>
    </w:p>
    <w:p>
      <w:pPr>
        <w:jc w:val="both"/>
        <w:ind w:firstLine="622"/>
        <w:spacing w:after="0" w:line="231" w:lineRule="auto"/>
        <w:tabs>
          <w:tab w:leader="none" w:pos="1179" w:val="left"/>
        </w:tabs>
        <w:numPr>
          <w:ilvl w:val="1"/>
          <w:numId w:val="201"/>
        </w:numPr>
        <w:rPr>
          <w:rFonts w:ascii="Arial" w:cs="Arial" w:eastAsia="Arial" w:hAnsi="Arial"/>
          <w:sz w:val="19"/>
          <w:szCs w:val="19"/>
          <w:color w:val="auto"/>
        </w:rPr>
      </w:pPr>
      <w:r>
        <w:rPr>
          <w:rFonts w:ascii="Arial" w:cs="Arial" w:eastAsia="Arial" w:hAnsi="Arial"/>
          <w:sz w:val="19"/>
          <w:szCs w:val="19"/>
          <w:color w:val="auto"/>
        </w:rPr>
        <w:t xml:space="preserve">(i) Indebtedness of the Borrower or any Restricted Subsidiary incurred or assumed in connection with any Permitted Acquisition or Investment expressly permitted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Permitted Acquisition or Investment and the incurrence or assumption of such Indebtedness, the aggregate principal amount of such Indebtedness does not exceed (x) the greater of (1) $63,000,000 and (2) 30% of LTM Consolidated EBITDA at any time outstanding plus (y) any additional amount of such Indebtedness so long as the Borrower could either (A) incur $1.00 of Permitted Ratio Debt or (B) the Consolidated Total Net Leverage Ratio determined on a Pro Forma Basis would not exceed the Consolidated Total Net Leverage Ratio immediately prior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Indebtedness incurred by a Restricted Subsidiary that is not a Loan Party, together with any Indebtedness incurred by a Restricted Subsidiary that is not a Loan Party pursuant to Sections 7.03(q), 7.03(s) or 7.03(w), does not exceed in the aggregate at any time outstanding the greater of (i) 75,250,000 and (ii) 35% of LTM Consolidated EBITDA, in each case determined at the time of incurrence; </w:t>
      </w:r>
      <w:r>
        <w:rPr>
          <w:rFonts w:ascii="Arial" w:cs="Arial" w:eastAsia="Arial" w:hAnsi="Arial"/>
          <w:sz w:val="19"/>
          <w:szCs w:val="19"/>
          <w:i w:val="1"/>
          <w:iCs w:val="1"/>
          <w:color w:val="auto"/>
        </w:rPr>
        <w:t>provided, further</w:t>
      </w:r>
      <w:r>
        <w:rPr>
          <w:rFonts w:ascii="Arial" w:cs="Arial" w:eastAsia="Arial" w:hAnsi="Arial"/>
          <w:sz w:val="19"/>
          <w:szCs w:val="19"/>
          <w:color w:val="auto"/>
        </w:rPr>
        <w:t>, that any Indebtedness incurred (but not assumed) pursuant to this clause (g) shall be subject to the requirements included in the first proviso under the definition of “Permitted Ratio Debt”, and (ii) any Permitted Refinancing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182</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72" w:lineRule="auto"/>
        <w:tabs>
          <w:tab w:leader="none" w:pos="117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Indebtedness representing deferred compensation or similar arrangements to any future, present or former employees, directors, officers, managers, members, partners, independent contractors or consultants of Holdings or the Borrower (or any direct or indirect parent thereof) or any of its Restricted Subsidiaries incurred in the ordinary course of business or consistent with past practice;</w:t>
      </w:r>
    </w:p>
    <w:p>
      <w:pPr>
        <w:spacing w:after="0" w:line="121" w:lineRule="exact"/>
        <w:rPr>
          <w:rFonts w:ascii="Arial" w:cs="Arial" w:eastAsia="Arial" w:hAnsi="Arial"/>
          <w:sz w:val="18"/>
          <w:szCs w:val="18"/>
          <w:color w:val="auto"/>
        </w:rPr>
      </w:pPr>
    </w:p>
    <w:p>
      <w:pPr>
        <w:jc w:val="both"/>
        <w:ind w:firstLine="622"/>
        <w:spacing w:after="0" w:line="219" w:lineRule="auto"/>
        <w:tabs>
          <w:tab w:leader="none" w:pos="1047" w:val="left"/>
        </w:tabs>
        <w:numPr>
          <w:ilvl w:val="0"/>
          <w:numId w:val="202"/>
        </w:numPr>
        <w:rPr>
          <w:rFonts w:ascii="Arial" w:cs="Arial" w:eastAsia="Arial" w:hAnsi="Arial"/>
          <w:sz w:val="21"/>
          <w:szCs w:val="21"/>
          <w:color w:val="auto"/>
        </w:rPr>
      </w:pPr>
      <w:r>
        <w:rPr>
          <w:rFonts w:ascii="Arial" w:cs="Arial" w:eastAsia="Arial" w:hAnsi="Arial"/>
          <w:sz w:val="21"/>
          <w:szCs w:val="21"/>
          <w:color w:val="auto"/>
        </w:rPr>
        <w:t>Indebtedness consisting of promissory notes issued by the Borrower or any of its Restricted Subsidiaries to future, present or former officers, managers, members, independent contractors, consultants, directors and employees, their respective Controlled Investment Affiliates or Immediate Family Members, in each case, to finance the purchase or redemption of Equity Interests of the Borrower or any direct or indirect parent of the Borrower permitted by Section 7.06;</w:t>
      </w:r>
    </w:p>
    <w:p>
      <w:pPr>
        <w:spacing w:after="0" w:line="149" w:lineRule="exact"/>
        <w:rPr>
          <w:rFonts w:ascii="Arial" w:cs="Arial" w:eastAsia="Arial" w:hAnsi="Arial"/>
          <w:sz w:val="21"/>
          <w:szCs w:val="21"/>
          <w:color w:val="auto"/>
        </w:rPr>
      </w:pPr>
    </w:p>
    <w:p>
      <w:pPr>
        <w:jc w:val="both"/>
        <w:ind w:firstLine="622"/>
        <w:spacing w:after="0" w:line="251" w:lineRule="auto"/>
        <w:tabs>
          <w:tab w:leader="none" w:pos="103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Indebtedness incurred by the Borrower or any of its Restricted Subsidiaries prior to the Restatement Date or thereafter in a Permitted Acquisition, any other Investment expressly permitted hereunder or any Disposition, in each case, constituting indemnification obligations or obligations in respect of purchase price (including earn-outs) or other similar adjustments;</w:t>
      </w:r>
    </w:p>
    <w:p>
      <w:pPr>
        <w:spacing w:after="0" w:line="139" w:lineRule="exact"/>
        <w:rPr>
          <w:rFonts w:ascii="Arial" w:cs="Arial" w:eastAsia="Arial" w:hAnsi="Arial"/>
          <w:sz w:val="19"/>
          <w:szCs w:val="19"/>
          <w:color w:val="auto"/>
        </w:rPr>
      </w:pPr>
    </w:p>
    <w:p>
      <w:pPr>
        <w:jc w:val="both"/>
        <w:ind w:firstLine="622"/>
        <w:spacing w:after="0" w:line="224" w:lineRule="auto"/>
        <w:tabs>
          <w:tab w:leader="none" w:pos="1084" w:val="left"/>
        </w:tabs>
        <w:numPr>
          <w:ilvl w:val="0"/>
          <w:numId w:val="202"/>
        </w:numPr>
        <w:rPr>
          <w:rFonts w:ascii="Arial" w:cs="Arial" w:eastAsia="Arial" w:hAnsi="Arial"/>
          <w:sz w:val="21"/>
          <w:szCs w:val="21"/>
          <w:color w:val="auto"/>
        </w:rPr>
      </w:pPr>
      <w:r>
        <w:rPr>
          <w:rFonts w:ascii="Arial" w:cs="Arial" w:eastAsia="Arial" w:hAnsi="Arial"/>
          <w:sz w:val="21"/>
          <w:szCs w:val="21"/>
          <w:color w:val="auto"/>
        </w:rPr>
        <w:t>Indebtedness consisting of obligations of the Borrower or any of its Restricted Subsidiaries under deferred purchase price, earn-outs or other similar arrangements incurred by such Person prior to the Restatement Date or thereafter in connection with Permitted Acquisitions or any other Investment expressly permitted hereunder;</w:t>
      </w:r>
    </w:p>
    <w:p>
      <w:pPr>
        <w:spacing w:after="0" w:line="148" w:lineRule="exact"/>
        <w:rPr>
          <w:rFonts w:ascii="Arial" w:cs="Arial" w:eastAsia="Arial" w:hAnsi="Arial"/>
          <w:sz w:val="21"/>
          <w:szCs w:val="21"/>
          <w:color w:val="auto"/>
        </w:rPr>
      </w:pPr>
    </w:p>
    <w:p>
      <w:pPr>
        <w:ind w:firstLine="622"/>
        <w:spacing w:after="0" w:line="276" w:lineRule="auto"/>
        <w:tabs>
          <w:tab w:leader="none" w:pos="109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obligations in respect of Treasury Services Agreements and other Indebtedness in respect of netting services, automatic clearinghouse arrangements, overdraft protections and similar arrangements in each case in connection with deposit accounts;</w:t>
      </w:r>
    </w:p>
    <w:p>
      <w:pPr>
        <w:spacing w:after="0" w:line="116" w:lineRule="exact"/>
        <w:rPr>
          <w:rFonts w:ascii="Arial" w:cs="Arial" w:eastAsia="Arial" w:hAnsi="Arial"/>
          <w:sz w:val="19"/>
          <w:szCs w:val="19"/>
          <w:color w:val="auto"/>
        </w:rPr>
      </w:pPr>
    </w:p>
    <w:p>
      <w:pPr>
        <w:jc w:val="both"/>
        <w:ind w:firstLine="622"/>
        <w:spacing w:after="0" w:line="235" w:lineRule="auto"/>
        <w:tabs>
          <w:tab w:leader="none" w:pos="1174"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Indebtedness of the Borrower or any of its Restricted Subsidiaries, in an aggregate principal amount that at the time of, and after giving effect to, the incurrence thereof, would not exceed (x) the greater of (i) $75,250,000 and (ii) 35% of LTM Consolidated EBITDA at any time outstanding plus (y) 200% of the cumulative amount of the net cash proceeds and Cash Equivalent proceeds from the sale of Equity Interests (other than Excluded Contributions, proceeds of Disqualified Equity Interests, Designated Equity Contributions or sales of Equity Interests to the Borrower or any of its Subsidiaries) of the Borrower or any direct or indirect parent of the Borrower after the Restatement Date and on or prior to such time (including upon exercise of warrants or options) which proceeds have been contributed as common equity to the capital of the Borrower that has been Not Otherwise Applied;</w:t>
      </w:r>
    </w:p>
    <w:p>
      <w:pPr>
        <w:spacing w:after="0" w:line="152" w:lineRule="exact"/>
        <w:rPr>
          <w:rFonts w:ascii="Arial" w:cs="Arial" w:eastAsia="Arial" w:hAnsi="Arial"/>
          <w:sz w:val="19"/>
          <w:szCs w:val="19"/>
          <w:color w:val="auto"/>
        </w:rPr>
      </w:pPr>
    </w:p>
    <w:p>
      <w:pPr>
        <w:ind w:firstLine="622"/>
        <w:spacing w:after="0" w:line="233" w:lineRule="auto"/>
        <w:tabs>
          <w:tab w:leader="none" w:pos="1171" w:val="left"/>
        </w:tabs>
        <w:numPr>
          <w:ilvl w:val="0"/>
          <w:numId w:val="202"/>
        </w:numPr>
        <w:rPr>
          <w:rFonts w:ascii="Arial" w:cs="Arial" w:eastAsia="Arial" w:hAnsi="Arial"/>
          <w:sz w:val="21"/>
          <w:szCs w:val="21"/>
          <w:color w:val="auto"/>
        </w:rPr>
      </w:pPr>
      <w:r>
        <w:rPr>
          <w:rFonts w:ascii="Arial" w:cs="Arial" w:eastAsia="Arial" w:hAnsi="Arial"/>
          <w:sz w:val="21"/>
          <w:szCs w:val="21"/>
          <w:color w:val="auto"/>
        </w:rPr>
        <w:t>Indebtedness consisting of (i) the financing of insurance premiums or (ii) take-or-pay obligations contained in supply arrangements, in each case, in the ordinary course of business or consistent with past practice;</w:t>
      </w:r>
    </w:p>
    <w:p>
      <w:pPr>
        <w:spacing w:after="0" w:line="149" w:lineRule="exact"/>
        <w:rPr>
          <w:rFonts w:ascii="Arial" w:cs="Arial" w:eastAsia="Arial" w:hAnsi="Arial"/>
          <w:sz w:val="21"/>
          <w:szCs w:val="21"/>
          <w:color w:val="auto"/>
        </w:rPr>
      </w:pPr>
    </w:p>
    <w:p>
      <w:pPr>
        <w:jc w:val="both"/>
        <w:ind w:firstLine="622"/>
        <w:spacing w:after="0" w:line="251" w:lineRule="auto"/>
        <w:tabs>
          <w:tab w:leader="none" w:pos="1084"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Indebtedness incurred by the Borrower or any of its Restricted Subsidiaries in respect of letters of credit, bank guarantees, bankers’ acceptances, warehouse receipts or similar instruments issued or created, or relating to obligations or liabilities incurred, in the ordinary course of business or consistent with past practice, including in respect of workers’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183</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claims, health, disability or other employee benefits or property, casualty or liability insurance or self-insurance or other Indebtedness with respect to reimbursement-type obligations regarding workers compensation claims;</w:t>
      </w:r>
    </w:p>
    <w:p>
      <w:pPr>
        <w:spacing w:after="0" w:line="176" w:lineRule="exact"/>
        <w:rPr>
          <w:sz w:val="20"/>
          <w:szCs w:val="20"/>
          <w:color w:val="auto"/>
        </w:rPr>
      </w:pPr>
    </w:p>
    <w:p>
      <w:pPr>
        <w:jc w:val="both"/>
        <w:ind w:firstLine="622"/>
        <w:spacing w:after="0" w:line="243" w:lineRule="auto"/>
        <w:tabs>
          <w:tab w:leader="none" w:pos="1109" w:val="left"/>
        </w:tabs>
        <w:numPr>
          <w:ilvl w:val="0"/>
          <w:numId w:val="203"/>
        </w:numPr>
        <w:rPr>
          <w:rFonts w:ascii="Arial" w:cs="Arial" w:eastAsia="Arial" w:hAnsi="Arial"/>
          <w:sz w:val="19"/>
          <w:szCs w:val="19"/>
          <w:color w:val="auto"/>
        </w:rPr>
      </w:pPr>
      <w:r>
        <w:rPr>
          <w:rFonts w:ascii="Arial" w:cs="Arial" w:eastAsia="Arial" w:hAnsi="Arial"/>
          <w:sz w:val="19"/>
          <w:szCs w:val="19"/>
          <w:color w:val="auto"/>
        </w:rPr>
        <w:t>obligations in respect of self-insurance and obligations in respect of stays, customs, performance, bid, indemnity, appeal, judgment and other similar bonds or instruments and performance, bankers’ acceptance and completion guarantees and similar obligations provided by the Borrower or any of its Restricted Subsidiaries or obligations in respect of letters of credit, bank guarantees or similar instruments related thereto, in each case in the ordinary course of business or consistent with past practice;</w:t>
      </w:r>
    </w:p>
    <w:p>
      <w:pPr>
        <w:spacing w:after="0" w:line="146" w:lineRule="exact"/>
        <w:rPr>
          <w:rFonts w:ascii="Arial" w:cs="Arial" w:eastAsia="Arial" w:hAnsi="Arial"/>
          <w:sz w:val="19"/>
          <w:szCs w:val="19"/>
          <w:color w:val="auto"/>
        </w:rPr>
      </w:pPr>
    </w:p>
    <w:p>
      <w:pPr>
        <w:jc w:val="both"/>
        <w:ind w:firstLine="622"/>
        <w:spacing w:after="0" w:line="229" w:lineRule="auto"/>
        <w:tabs>
          <w:tab w:leader="none" w:pos="1101"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(1) Indebtedness incurred by the Borrower or any Restricted Subsidiary (x) and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Facilities (“</w:t>
      </w:r>
      <w:r>
        <w:rPr>
          <w:rFonts w:ascii="Arial" w:cs="Arial" w:eastAsia="Arial" w:hAnsi="Arial"/>
          <w:sz w:val="19"/>
          <w:szCs w:val="19"/>
          <w:b w:val="1"/>
          <w:bCs w:val="1"/>
          <w:color w:val="auto"/>
        </w:rPr>
        <w:t>Incremental Equivalent First Lien Debt</w:t>
      </w:r>
      <w:r>
        <w:rPr>
          <w:rFonts w:ascii="Arial" w:cs="Arial" w:eastAsia="Arial" w:hAnsi="Arial"/>
          <w:sz w:val="19"/>
          <w:szCs w:val="19"/>
          <w:color w:val="auto"/>
        </w:rPr>
        <w:t>”) or (y) and secured by the Collateral on a junior Lien basis with the Facilities and any Permitted Refinancing thereof (“</w:t>
      </w:r>
      <w:r>
        <w:rPr>
          <w:rFonts w:ascii="Arial" w:cs="Arial" w:eastAsia="Arial" w:hAnsi="Arial"/>
          <w:sz w:val="19"/>
          <w:szCs w:val="19"/>
          <w:b w:val="1"/>
          <w:bCs w:val="1"/>
          <w:color w:val="auto"/>
        </w:rPr>
        <w:t>Incremental Equivalent Junior Lien Debt</w:t>
      </w:r>
      <w:r>
        <w:rPr>
          <w:rFonts w:ascii="Arial" w:cs="Arial" w:eastAsia="Arial" w:hAnsi="Arial"/>
          <w:sz w:val="19"/>
          <w:szCs w:val="19"/>
          <w:color w:val="auto"/>
        </w:rPr>
        <w:t xml:space="preserve">”), in an aggregate principal amount under this clause (q), when aggregated with the amount of Incremental Term Loans and Incremental Revolving Credit Commitments incurred pursuant to Section 2.14(d)(v) and Incremental Equivalent Unsecured Debt incurred pursuant to Section 7.03(w), not to exceed the Available Incremental Amount, so long as (x) if the proceeds of such Indebtedness are being used to finance a Permitted Acquisition, Investment, or irrevocable repayment, repurchase or redemption of any Indebtedness, no Event of Default under Sections 8.01(a) or (f) with respect to the Borrower shall have occurred and be continuing or would exist after giving effect to such Indebtedness, or (y) if otherwise, no Event of Default shall have occurred and be continuing or would exist after giving effect to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Indebtedness shall (A) in the case of Incremental Equivalent First Lien Debt, have a maturity date that is after the Latest Maturity Date at the time such Indebtedness is incurred, and in the case of Incremental Equivalent Junior Lien Debt, have a maturity date that is at least ninety-one (91) days after the Latest Maturity Date at the time such Indebtedness is incurred;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foregoing requirements of this clause (A) shall not apply to the extent such Indebtedness constitutes a customary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bridge facility, so long as the long-term Indebtedness into which such customary bridge facility is to be converted or exchanged satisfies the requirements of this clause (A) and such conversion or exchange is subject only to conditions customary for similar conversions or exchanges, (B) in the case of Incremental Equivalent First Lien Debt, have a Weighted Average Life to Maturity not shorter than the longest remaining Weighted Average Life to Maturity of the Facilities and, in the case of Incremental Equivalent Junior Lien Debt, shall not be subject to scheduled amortization prior to maturity;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requirements of this clause (B) shall not apply to the extent such Indebtedness constitutes a customary bridge facility, so long as the long-term Indebtedness into which such customary bridge facility is to be converted or exchanged satisfies the requirements of this clause (B) and such conversion or exchange is subject only to conditions customary for similar conversions or exchanges, (C) if such Indebtedness is secured on a junior Lien basis by a Loan Party with respect to Collateral, be subject to the Junior Lien Intercreditor Agreement and, if the Indebtedness is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Facilities, be subject to the First Lien Intercreditor Agreement and (D) have terms and conditions (other than (x) pricing, rate floors, discounts, fees, premiums and optional prepayment or redemption provisions and (y) covenants or other provisions applicable only to periods after the Latest Maturity Date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184</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316" w:lineRule="exact"/>
        <w:rPr>
          <w:sz w:val="20"/>
          <w:szCs w:val="20"/>
          <w:color w:val="auto"/>
        </w:rPr>
      </w:pPr>
    </w:p>
    <w:p>
      <w:pPr>
        <w:jc w:val="both"/>
        <w:ind w:firstLine="6"/>
        <w:spacing w:after="0"/>
        <w:rPr>
          <w:sz w:val="20"/>
          <w:szCs w:val="20"/>
          <w:color w:val="auto"/>
        </w:rPr>
      </w:pPr>
      <w:r>
        <w:rPr>
          <w:rFonts w:ascii="Arial" w:cs="Arial" w:eastAsia="Arial" w:hAnsi="Arial"/>
          <w:sz w:val="18"/>
          <w:szCs w:val="18"/>
          <w:color w:val="auto"/>
        </w:rPr>
        <w:t>of incurrence of such Indebtedness and to the extent any more restrictive financial maintenance covenant is added for the benefit of such Incremental Equivalent First Lien Debt or Incremental Equivalent Junior Lien Debt, to the extent that such more restrictive financial maintenance covenant is also added for the benefit of each Facility remaining outstanding after the incurrence or issuance of such Incremental Equivalent First Lien Debt or Incremental Equivalent Junior Lien Debt, as applicable) that in the good faith determination of the Borrower (i) are not materially less favorable (when taken as a whole) to the Borrower than the terms and conditions of the Loan Documents (when taken as a whole) or (ii) reflect market terms and conditions (taken as a whole) at the time of incurrence or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certificate of the Borrower as to the satisfaction of the conditions described in this clause (D) delivered at least five (5) Business Days prior to the incurrence of such Indebtedness, together with a reasonably detailed description of the materials terms and conditions of such Indebtedness or drafts of documentation relating thereto, stating that the Borrower has determined in good faith that such terms and conditions satisfy the foregoing requirements of this clause (D), shall be conclusive unless the Administrative Agent notifies the Borrower within such five (5) Business Day period that it disagrees with such determination (including a description of the basis upon which it disagrees));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such Indebtedness incurred by a Restricted Subsidiary that is not a Loan Party, together with any Indebtedness incurred by a Restricted Subsidiary that is not a Loan Party pursuant to Sections 7.03(g), 7.03(s) or 7.03(w), does not exceed in the aggregate at any time outstanding, the greater of (i) $75,250,000 and</w:t>
      </w:r>
    </w:p>
    <w:p>
      <w:pPr>
        <w:spacing w:after="0" w:line="8" w:lineRule="exact"/>
        <w:rPr>
          <w:sz w:val="20"/>
          <w:szCs w:val="20"/>
          <w:color w:val="auto"/>
        </w:rPr>
      </w:pPr>
    </w:p>
    <w:p>
      <w:pPr>
        <w:ind w:left="300" w:hanging="297"/>
        <w:spacing w:after="0"/>
        <w:tabs>
          <w:tab w:leader="none" w:pos="3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35% of LTM Consolidated EBITDA, in each case determined at the time of incurrence and (2) any Permitted Refinancing thereof;</w:t>
      </w:r>
    </w:p>
    <w:p>
      <w:pPr>
        <w:spacing w:after="0" w:line="176" w:lineRule="exact"/>
        <w:rPr>
          <w:rFonts w:ascii="Arial" w:cs="Arial" w:eastAsia="Arial" w:hAnsi="Arial"/>
          <w:sz w:val="19"/>
          <w:szCs w:val="19"/>
          <w:color w:val="auto"/>
        </w:rPr>
      </w:pPr>
    </w:p>
    <w:p>
      <w:pPr>
        <w:ind w:left="1040" w:hanging="418"/>
        <w:spacing w:after="0"/>
        <w:tabs>
          <w:tab w:leader="none" w:pos="104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Indebtedness supported by a letter of credit, in a principal amount not to exceed the face amount of such letter of credit;</w:t>
      </w:r>
    </w:p>
    <w:p>
      <w:pPr>
        <w:spacing w:after="0" w:line="194" w:lineRule="exact"/>
        <w:rPr>
          <w:rFonts w:ascii="Arial" w:cs="Arial" w:eastAsia="Arial" w:hAnsi="Arial"/>
          <w:sz w:val="19"/>
          <w:szCs w:val="19"/>
          <w:color w:val="auto"/>
        </w:rPr>
      </w:pPr>
    </w:p>
    <w:p>
      <w:pPr>
        <w:ind w:left="1040" w:hanging="418"/>
        <w:spacing w:after="0"/>
        <w:tabs>
          <w:tab w:leader="none" w:pos="1040" w:val="left"/>
        </w:tabs>
        <w:numPr>
          <w:ilvl w:val="1"/>
          <w:numId w:val="204"/>
        </w:numPr>
        <w:rPr>
          <w:rFonts w:ascii="Arial" w:cs="Arial" w:eastAsia="Arial" w:hAnsi="Arial"/>
          <w:sz w:val="21"/>
          <w:szCs w:val="21"/>
          <w:color w:val="auto"/>
        </w:rPr>
      </w:pPr>
      <w:r>
        <w:rPr>
          <w:rFonts w:ascii="Arial" w:cs="Arial" w:eastAsia="Arial" w:hAnsi="Arial"/>
          <w:sz w:val="21"/>
          <w:szCs w:val="21"/>
          <w:color w:val="auto"/>
        </w:rPr>
        <w:t>Permitted Ratio Debt and any Permitted Refinancing thereof;</w:t>
      </w:r>
    </w:p>
    <w:p>
      <w:pPr>
        <w:spacing w:after="0" w:line="171" w:lineRule="exact"/>
        <w:rPr>
          <w:rFonts w:ascii="Arial" w:cs="Arial" w:eastAsia="Arial" w:hAnsi="Arial"/>
          <w:sz w:val="21"/>
          <w:szCs w:val="21"/>
          <w:color w:val="auto"/>
        </w:rPr>
      </w:pPr>
    </w:p>
    <w:p>
      <w:pPr>
        <w:ind w:left="1020" w:hanging="398"/>
        <w:spacing w:after="0"/>
        <w:tabs>
          <w:tab w:leader="none" w:pos="1020" w:val="left"/>
        </w:tabs>
        <w:numPr>
          <w:ilvl w:val="1"/>
          <w:numId w:val="204"/>
        </w:numPr>
        <w:rPr>
          <w:rFonts w:ascii="Arial" w:cs="Arial" w:eastAsia="Arial" w:hAnsi="Arial"/>
          <w:sz w:val="21"/>
          <w:szCs w:val="21"/>
          <w:color w:val="auto"/>
        </w:rPr>
      </w:pPr>
      <w:r>
        <w:rPr>
          <w:rFonts w:ascii="Arial" w:cs="Arial" w:eastAsia="Arial" w:hAnsi="Arial"/>
          <w:sz w:val="21"/>
          <w:szCs w:val="21"/>
          <w:color w:val="auto"/>
        </w:rPr>
        <w:t>Credit Agreement Refinancing Indebtedness;</w:t>
      </w:r>
    </w:p>
    <w:p>
      <w:pPr>
        <w:spacing w:after="0" w:line="171" w:lineRule="exact"/>
        <w:rPr>
          <w:rFonts w:ascii="Arial" w:cs="Arial" w:eastAsia="Arial" w:hAnsi="Arial"/>
          <w:sz w:val="21"/>
          <w:szCs w:val="21"/>
          <w:color w:val="auto"/>
        </w:rPr>
      </w:pPr>
    </w:p>
    <w:p>
      <w:pPr>
        <w:ind w:firstLine="622"/>
        <w:spacing w:after="0" w:line="233" w:lineRule="auto"/>
        <w:tabs>
          <w:tab w:leader="none" w:pos="1156" w:val="left"/>
        </w:tabs>
        <w:numPr>
          <w:ilvl w:val="1"/>
          <w:numId w:val="204"/>
        </w:numPr>
        <w:rPr>
          <w:rFonts w:ascii="Arial" w:cs="Arial" w:eastAsia="Arial" w:hAnsi="Arial"/>
          <w:sz w:val="21"/>
          <w:szCs w:val="21"/>
          <w:color w:val="auto"/>
        </w:rPr>
      </w:pPr>
      <w:r>
        <w:rPr>
          <w:rFonts w:ascii="Arial" w:cs="Arial" w:eastAsia="Arial" w:hAnsi="Arial"/>
          <w:sz w:val="21"/>
          <w:szCs w:val="21"/>
          <w:color w:val="auto"/>
        </w:rPr>
        <w:t>Indebtedness attributable to (but not incurred to finance) the exercise of appraisal rights and the settlement of any claims or actions (whether actual, contingent or potential) with respect thereto;</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066" w:val="left"/>
        </w:tabs>
        <w:numPr>
          <w:ilvl w:val="1"/>
          <w:numId w:val="204"/>
        </w:numPr>
        <w:rPr>
          <w:rFonts w:ascii="Arial" w:cs="Arial" w:eastAsia="Arial" w:hAnsi="Arial"/>
          <w:sz w:val="21"/>
          <w:szCs w:val="21"/>
          <w:color w:val="auto"/>
        </w:rPr>
      </w:pPr>
      <w:r>
        <w:rPr>
          <w:rFonts w:ascii="Arial" w:cs="Arial" w:eastAsia="Arial" w:hAnsi="Arial"/>
          <w:sz w:val="21"/>
          <w:szCs w:val="21"/>
          <w:color w:val="auto"/>
        </w:rPr>
        <w:t>Indebtedness incurred by a Foreign Subsidiary which, when aggregated with the principal amount of all other Indebtedness incurred pursuant to this clause (v) and then outstanding, does not exceed the greater of (i) $25,000,000 and (ii) 25% of Foreign Subsidiary Total Assets;</w:t>
      </w:r>
    </w:p>
    <w:p>
      <w:pPr>
        <w:spacing w:after="0" w:line="148" w:lineRule="exact"/>
        <w:rPr>
          <w:rFonts w:ascii="Arial" w:cs="Arial" w:eastAsia="Arial" w:hAnsi="Arial"/>
          <w:sz w:val="21"/>
          <w:szCs w:val="21"/>
          <w:color w:val="auto"/>
        </w:rPr>
      </w:pPr>
    </w:p>
    <w:p>
      <w:pPr>
        <w:jc w:val="both"/>
        <w:ind w:firstLine="622"/>
        <w:spacing w:after="0" w:line="237" w:lineRule="auto"/>
        <w:tabs>
          <w:tab w:leader="none" w:pos="1128" w:val="left"/>
        </w:tabs>
        <w:numPr>
          <w:ilvl w:val="1"/>
          <w:numId w:val="204"/>
        </w:numPr>
        <w:rPr>
          <w:rFonts w:ascii="Arial" w:cs="Arial" w:eastAsia="Arial" w:hAnsi="Arial"/>
          <w:sz w:val="19"/>
          <w:szCs w:val="19"/>
          <w:color w:val="auto"/>
        </w:rPr>
      </w:pPr>
      <w:r>
        <w:rPr>
          <w:rFonts w:ascii="Arial" w:cs="Arial" w:eastAsia="Arial" w:hAnsi="Arial"/>
          <w:sz w:val="19"/>
          <w:szCs w:val="19"/>
          <w:color w:val="auto"/>
        </w:rPr>
        <w:t>(1) unsecured (or not secured by the Collateral) Indebtedness incurred by the Borrower or any Restricted Subsidiary in an aggregate principal amount under this clause (w), and when aggregated with the amount of Incremental Term Loans and Incremental Revolving Credit Commitments pursuant to Section 2.14(d)(v) and Incremental Equivalent First Lien Debt and Incremental Equivalent Junior Lien Debt incurred pursuant to Section 7.03(q) not to exceed the Available Incremental Amount (“</w:t>
      </w:r>
      <w:r>
        <w:rPr>
          <w:rFonts w:ascii="Arial" w:cs="Arial" w:eastAsia="Arial" w:hAnsi="Arial"/>
          <w:sz w:val="19"/>
          <w:szCs w:val="19"/>
          <w:b w:val="1"/>
          <w:bCs w:val="1"/>
          <w:color w:val="auto"/>
        </w:rPr>
        <w:t>Incremental Equivalent</w:t>
      </w:r>
      <w:r>
        <w:rPr>
          <w:rFonts w:ascii="Arial" w:cs="Arial" w:eastAsia="Arial" w:hAnsi="Arial"/>
          <w:sz w:val="19"/>
          <w:szCs w:val="19"/>
          <w:color w:val="auto"/>
        </w:rPr>
        <w:t xml:space="preserve"> </w:t>
      </w:r>
      <w:r>
        <w:rPr>
          <w:rFonts w:ascii="Arial" w:cs="Arial" w:eastAsia="Arial" w:hAnsi="Arial"/>
          <w:sz w:val="19"/>
          <w:szCs w:val="19"/>
          <w:b w:val="1"/>
          <w:bCs w:val="1"/>
          <w:color w:val="auto"/>
        </w:rPr>
        <w:t>Unsecured Debt</w:t>
      </w:r>
      <w:r>
        <w:rPr>
          <w:rFonts w:ascii="Arial" w:cs="Arial" w:eastAsia="Arial" w:hAnsi="Arial"/>
          <w:sz w:val="19"/>
          <w:szCs w:val="19"/>
          <w:color w:val="auto"/>
        </w:rPr>
        <w:t>”), so long as (x) if the proceeds of such Indebtedness are being used to finance a Permitted Acquisition, Investment,</w:t>
      </w:r>
      <w:r>
        <w:rPr>
          <w:rFonts w:ascii="Arial" w:cs="Arial" w:eastAsia="Arial" w:hAnsi="Arial"/>
          <w:sz w:val="19"/>
          <w:szCs w:val="19"/>
          <w:b w:val="1"/>
          <w:bCs w:val="1"/>
          <w:color w:val="auto"/>
        </w:rPr>
        <w:t xml:space="preserve"> </w:t>
      </w:r>
      <w:r>
        <w:rPr>
          <w:rFonts w:ascii="Arial" w:cs="Arial" w:eastAsia="Arial" w:hAnsi="Arial"/>
          <w:sz w:val="19"/>
          <w:szCs w:val="19"/>
          <w:color w:val="auto"/>
        </w:rPr>
        <w:t>or irrevocable repayment, repurchase or redemption of any Indebtedness, no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185</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316" w:lineRule="exact"/>
        <w:rPr>
          <w:sz w:val="20"/>
          <w:szCs w:val="20"/>
          <w:color w:val="auto"/>
        </w:rPr>
      </w:pPr>
    </w:p>
    <w:p>
      <w:pPr>
        <w:jc w:val="both"/>
        <w:ind w:firstLine="6"/>
        <w:spacing w:after="0" w:line="246" w:lineRule="auto"/>
        <w:rPr>
          <w:sz w:val="20"/>
          <w:szCs w:val="20"/>
          <w:color w:val="auto"/>
        </w:rPr>
      </w:pPr>
      <w:r>
        <w:rPr>
          <w:rFonts w:ascii="Arial" w:cs="Arial" w:eastAsia="Arial" w:hAnsi="Arial"/>
          <w:sz w:val="18"/>
          <w:szCs w:val="18"/>
          <w:color w:val="auto"/>
        </w:rPr>
        <w:t xml:space="preserve">under Sections 8.01(a) or (f) with respect to the Borrower shall have occurred and be continuing or would exist after giving effect to such Indebtedness, or (y) if otherwise, no Event of Default shall have occurred and be continuing or would exist after giving effect to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Incremental Equivalent Unsecured Debt shall (A) have a maturity date that is at least ninety-one</w:t>
      </w:r>
    </w:p>
    <w:p>
      <w:pPr>
        <w:jc w:val="both"/>
        <w:ind w:firstLine="3"/>
        <w:spacing w:after="0" w:line="241" w:lineRule="auto"/>
        <w:tabs>
          <w:tab w:leader="none" w:pos="42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days after the Latest Maturity Date at the time such Incremental Equivalent Unsecured Debt is incurred, (B) have a Weighted Average Life to Maturity not shorter than the longest remaining Weighted Average Life to Maturity of the Facilities and (C) have terms and conditions (other than (x) pricing, rate floors, discounts, fees, premiums and optional prepayment or redemption provisions and (y) covenants or other provisions applicable only to periods after the Latest Maturity Date at the time of incurrence of such Indebtedness and to the extent any more restrictive financial maintenance covenant is added for the benefit of such Incremental Equivalent Unsecured Debt, to the extent that such more restrictive financial maintenance covenant is also added for the benefit of each Facility remaining outstanding after the incurrence or issuance of such Incremental Equivalent Unsecured Debt) that in the good faith determination of the Borrower (1) are not materially less favorable (when taken as a whole) to the Borrower than the terms and conditions of the Loan Documents (when taken as a whole) or (2) reflect market terms and conditions (taken as a whole) at the time of incurrence or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certificate of the Borrower as to the satisfaction of the conditions described in this clause (C) delivered at least five (5) Business Days prior to the incurrence of such Indebtedness, together with a reasonably detailed description of the materials terms and conditions of such Indebtedness or drafts of documentation relating thereto, stating that the Borrower has determined in good faith that such terms and conditions satisfy the foregoing requirements of this clause (C), shall be conclusive unless the Administrative Agent notifies the Borrower within such five (5) Business Day period that it disagrees with such determination (including a description of the basis upon which it disagrees));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requirements shall not apply to the extent such Indebtedness constitutes a customary bridge facility, so long as the long-term Indebtedness into which such customary bridge facility is to be converted or exchanged satisfies the requirements of this clause (w) and such conversion or exchange is subject only to conditions customary for similar conversions or exchanges;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such Indebtedness incurred by a Restricted Subsidiary that is not a Loan Party, together with any Indebtedness incurred by a Restricted Subsidiary that is not a Loan Party pursuant to Sections 7.03(g), 7.03(q) or 7.03(s), does not exceed in the aggregate at any time outstanding, the greater of (i) $75,250,000 and (ii) 35% of LTM Consolidated EBITDA, in each case determined at the time of incurrence and (2) any Permitted Refinancing thereof;</w:t>
      </w:r>
    </w:p>
    <w:p>
      <w:pPr>
        <w:spacing w:after="0" w:line="155" w:lineRule="exact"/>
        <w:rPr>
          <w:rFonts w:ascii="Arial" w:cs="Arial" w:eastAsia="Arial" w:hAnsi="Arial"/>
          <w:sz w:val="18"/>
          <w:szCs w:val="18"/>
          <w:color w:val="auto"/>
        </w:rPr>
      </w:pPr>
    </w:p>
    <w:p>
      <w:pPr>
        <w:ind w:left="1060" w:hanging="438"/>
        <w:spacing w:after="0"/>
        <w:tabs>
          <w:tab w:leader="none" w:pos="106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Indebtedness arising from Permitted Intercompany Activities;</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Indebtedness in an amount not to exceed at any time outstanding the Available RP Capacity Amount;</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Indebtedness incurred in currencies other than Dollars which does not exceed $25,000,000;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186</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622"/>
        <w:spacing w:after="0" w:line="233" w:lineRule="auto"/>
        <w:tabs>
          <w:tab w:leader="none" w:pos="1249" w:val="left"/>
        </w:tabs>
        <w:numPr>
          <w:ilvl w:val="0"/>
          <w:numId w:val="206"/>
        </w:numPr>
        <w:rPr>
          <w:rFonts w:ascii="Arial" w:cs="Arial" w:eastAsia="Arial" w:hAnsi="Arial"/>
          <w:sz w:val="21"/>
          <w:szCs w:val="21"/>
          <w:color w:val="auto"/>
        </w:rPr>
      </w:pPr>
      <w:r>
        <w:rPr>
          <w:rFonts w:ascii="Arial" w:cs="Arial" w:eastAsia="Arial" w:hAnsi="Arial"/>
          <w:sz w:val="21"/>
          <w:szCs w:val="21"/>
          <w:color w:val="auto"/>
        </w:rPr>
        <w:t>all premiums (if any), interest (including post-petition interest and paid-in-kind interest), fees, expenses, charges and additional or contingent interest on obligations described in clauses (a) through (z) above.</w:t>
      </w:r>
    </w:p>
    <w:p>
      <w:pPr>
        <w:spacing w:after="0" w:line="150"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 xml:space="preserve">For purposes of determining compliance with this Section 7.03, in the event that an item of Indebtedness meets the criteria of more than one of the categories of Indebtedness described above, the Borrower may, in its sole discretion, classify or later divide, classify or reclassify all or a portion of such item of Indebtedness or any portion thereof (including as between the Free and Clear Incremental Amount and the Incurrence-Based Incremental Amount) in a manner that complies with this Section 7.03 and will only be required to include the amount and type of such Indebtedness in one or more of the above clauses;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Indebtedness outstanding under the Loan Documents and, in each case, any Permitted Refinancing thereof, will at all times be deemed to be outstanding in reliance only on the exception in Section 7.03(a) (but without limiting the right of the Borrower to classify and reclassify, or later divide, classify or reclassify, Indebtedness incurred under Section 2.14 or Sections 7.03(q), 7.03(s) or 7.03(w)). In the event that a portion of Indebtedness or other obligations could be classified as incurred under a “ratio-based” basket (giving pro forma effect to the incurrence of such portion of such Indebtedness or other obligations), the Borrower, in its sole discretion, may classify such portion of such Indebtedness (and any obligations in respect thereof) as having been incurred pursuant to such “ratio-based” basket and thereafter the remainder of the Indebtedness or other obligations as having been incurred pursuant to one or more of the other clauses of this Section 7.03 and if any such test would be satisfied in any subsequent fiscal quarter following the relevant date of determination, then such reclassification shall be deemed to have automatically occurred at such time. The accrual of interest, the accretion of accreted value and the payment of interest in the form of additional Indebtedness shall not be deemed to be an incurrence of Indebtedness for purposes of this Section 7.03.</w:t>
      </w:r>
    </w:p>
    <w:p>
      <w:pPr>
        <w:spacing w:after="0" w:line="156"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 xml:space="preserve">Section 7.04. </w:t>
      </w:r>
      <w:r>
        <w:rPr>
          <w:rFonts w:ascii="Arial" w:cs="Arial" w:eastAsia="Arial" w:hAnsi="Arial"/>
          <w:sz w:val="21"/>
          <w:szCs w:val="21"/>
          <w:i w:val="1"/>
          <w:iCs w:val="1"/>
          <w:color w:val="auto"/>
        </w:rPr>
        <w:t>Fundamental Changes</w:t>
      </w:r>
      <w:r>
        <w:rPr>
          <w:rFonts w:ascii="Arial" w:cs="Arial" w:eastAsia="Arial" w:hAnsi="Arial"/>
          <w:sz w:val="21"/>
          <w:szCs w:val="21"/>
          <w:color w:val="auto"/>
        </w:rPr>
        <w:t>. None of Holdings, the Borrower nor any of the Restricted Subsidiaries shall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Delaware LLC Division), except that:</w:t>
      </w:r>
    </w:p>
    <w:p>
      <w:pPr>
        <w:spacing w:after="0" w:line="150" w:lineRule="exact"/>
        <w:rPr>
          <w:sz w:val="20"/>
          <w:szCs w:val="20"/>
          <w:color w:val="auto"/>
        </w:rPr>
      </w:pPr>
    </w:p>
    <w:p>
      <w:pPr>
        <w:jc w:val="both"/>
        <w:ind w:firstLine="622"/>
        <w:spacing w:after="0" w:line="255" w:lineRule="auto"/>
        <w:tabs>
          <w:tab w:leader="none" w:pos="105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(i) the Borrower (including a merger, the purpose of which is to reorganize the Borrower into a new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the continuing or surviving Person and such merger does not result in the Borrower ceasing to be a corporation, partnership or limited liability company organized under the Laws of the United States, any state thereof or the District of Columbia or (ii) one or more other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when any Person that is a Loan Party is merging with a Restricted Subsidiary, a Loan Party shall be the continuing or surviving Person;</w:t>
      </w:r>
    </w:p>
    <w:p>
      <w:pPr>
        <w:spacing w:after="0" w:line="138" w:lineRule="exact"/>
        <w:rPr>
          <w:rFonts w:ascii="Arial" w:cs="Arial" w:eastAsia="Arial" w:hAnsi="Arial"/>
          <w:sz w:val="18"/>
          <w:szCs w:val="18"/>
          <w:color w:val="auto"/>
        </w:rPr>
      </w:pPr>
    </w:p>
    <w:p>
      <w:pPr>
        <w:jc w:val="both"/>
        <w:ind w:firstLine="622"/>
        <w:spacing w:after="0" w:line="224" w:lineRule="auto"/>
        <w:tabs>
          <w:tab w:leader="none" w:pos="1084" w:val="left"/>
        </w:tabs>
        <w:numPr>
          <w:ilvl w:val="0"/>
          <w:numId w:val="207"/>
        </w:numPr>
        <w:rPr>
          <w:rFonts w:ascii="Arial" w:cs="Arial" w:eastAsia="Arial" w:hAnsi="Arial"/>
          <w:sz w:val="21"/>
          <w:szCs w:val="21"/>
          <w:color w:val="auto"/>
        </w:rPr>
      </w:pPr>
      <w:r>
        <w:rPr>
          <w:rFonts w:ascii="Arial" w:cs="Arial" w:eastAsia="Arial" w:hAnsi="Arial"/>
          <w:sz w:val="21"/>
          <w:szCs w:val="21"/>
          <w:color w:val="auto"/>
        </w:rPr>
        <w:t>(i) any Subsidiary that is not a Loan Party may merge, amalgamate or consolidate with or into any other Subsidiary that is not a Loan Party and (ii) any Subsidiary may liquidate or dissolve or the Borrower or any Subsidiary may change its legal form (x) if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187</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316" w:lineRule="exact"/>
        <w:rPr>
          <w:sz w:val="20"/>
          <w:szCs w:val="20"/>
          <w:color w:val="auto"/>
        </w:rPr>
      </w:pPr>
    </w:p>
    <w:p>
      <w:pPr>
        <w:jc w:val="both"/>
        <w:ind w:firstLine="6"/>
        <w:spacing w:after="0" w:line="237" w:lineRule="auto"/>
        <w:rPr>
          <w:sz w:val="20"/>
          <w:szCs w:val="20"/>
          <w:color w:val="auto"/>
        </w:rPr>
      </w:pPr>
      <w:r>
        <w:rPr>
          <w:rFonts w:ascii="Arial" w:cs="Arial" w:eastAsia="Arial" w:hAnsi="Arial"/>
          <w:sz w:val="19"/>
          <w:szCs w:val="19"/>
          <w:color w:val="auto"/>
        </w:rPr>
        <w:t>determines in good faith that such action is in the best interest of the Borrower and its Subsidiaries and if not materially disadvantageous to the Lenders and (y) to the extent such Restricted Subsidiary is a Loan Party, any assets or business not otherwise disposed of or transferred in accordance with Sections 7.02 (other than Section 7.02(e)) or Section 7.05 or, in the case of any such business, discontinued, shall be transferred to otherwise owned or conducted by another Loan Party after giving effect to such liquidation or dissolution (it being understood that in the case of any change in legal form, a Subsidiary that is a Guarantor will remain a Guarantor unless such Guarantor is otherwise permitted to cease being a Guarantor hereunder);</w:t>
      </w:r>
    </w:p>
    <w:p>
      <w:pPr>
        <w:spacing w:after="0" w:line="149" w:lineRule="exact"/>
        <w:rPr>
          <w:sz w:val="20"/>
          <w:szCs w:val="20"/>
          <w:color w:val="auto"/>
        </w:rPr>
      </w:pPr>
    </w:p>
    <w:p>
      <w:pPr>
        <w:jc w:val="both"/>
        <w:ind w:firstLine="622"/>
        <w:spacing w:after="0" w:line="216" w:lineRule="auto"/>
        <w:tabs>
          <w:tab w:leader="none" w:pos="1091" w:val="left"/>
        </w:tabs>
        <w:numPr>
          <w:ilvl w:val="0"/>
          <w:numId w:val="208"/>
        </w:numPr>
        <w:rPr>
          <w:rFonts w:ascii="Arial" w:cs="Arial" w:eastAsia="Arial" w:hAnsi="Arial"/>
          <w:sz w:val="21"/>
          <w:szCs w:val="21"/>
          <w:color w:val="auto"/>
        </w:rPr>
      </w:pPr>
      <w:r>
        <w:rPr>
          <w:rFonts w:ascii="Arial" w:cs="Arial" w:eastAsia="Arial" w:hAnsi="Arial"/>
          <w:sz w:val="21"/>
          <w:szCs w:val="21"/>
          <w:color w:val="auto"/>
        </w:rPr>
        <w:t xml:space="preserve">any Restricted Subsidiary may Dispose of all or substantially all of its assets (upon voluntary liquidation or otherwise) to the Borrower or to another Restricted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transferor in such a transaction is a Guarantor, then (i) the transferee must be a Guarantor or the Borrower or (ii) to the extent constituting an Investment, such Investment must be a permitted Investment in or Indebtedness of a Restricted Subsidiary that is not a Loan Party in accordance with Sections 7.02 and 7.03, respectively;</w:t>
      </w:r>
    </w:p>
    <w:p>
      <w:pPr>
        <w:spacing w:after="0" w:line="150" w:lineRule="exact"/>
        <w:rPr>
          <w:rFonts w:ascii="Arial" w:cs="Arial" w:eastAsia="Arial" w:hAnsi="Arial"/>
          <w:sz w:val="21"/>
          <w:szCs w:val="21"/>
          <w:color w:val="auto"/>
        </w:rPr>
      </w:pPr>
    </w:p>
    <w:p>
      <w:pPr>
        <w:jc w:val="both"/>
        <w:ind w:firstLine="622"/>
        <w:spacing w:after="0" w:line="231" w:lineRule="auto"/>
        <w:tabs>
          <w:tab w:leader="none" w:pos="108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(I) so long as no Event of Default exists or would result therefrom, the Borrower may merge or consolidate with any 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Borrower shall be the continuing or surviving corporation or (ii) if the Person formed by or surviving any such merger or consolidation is not the Borrower (any such Person, the “</w:t>
      </w:r>
      <w:r>
        <w:rPr>
          <w:rFonts w:ascii="Arial" w:cs="Arial" w:eastAsia="Arial" w:hAnsi="Arial"/>
          <w:sz w:val="19"/>
          <w:szCs w:val="19"/>
          <w:b w:val="1"/>
          <w:bCs w:val="1"/>
          <w:color w:val="auto"/>
        </w:rPr>
        <w:t>Successor Borrower</w:t>
      </w:r>
      <w:r>
        <w:rPr>
          <w:rFonts w:ascii="Arial" w:cs="Arial" w:eastAsia="Arial" w:hAnsi="Arial"/>
          <w:sz w:val="19"/>
          <w:szCs w:val="19"/>
          <w:color w:val="auto"/>
        </w:rPr>
        <w:t xml:space="preserve">”), (A) the Successor Borrower shall be an entity organized or existing under the Laws of the United States, any state thereof or the District of Columbia, (B) the Successor Borrower shall expressly assume all the obligations of the Borrower under this Agreement and the other Loan Documents to which the Borrower is a party pursuant to a supplement hereto or thereto in form reasonably satisfactory to the Administrative Agent, (C) each Guarantor, unless it is the other party to such merger or consolidation, shall have confirmed that its Guaranty shall apply to the Successor Borrower’s obligations under the Loan Documents, (D) each Guarantor, unless it is the other party to such merger or consolidation, shall have by a supplement to the Security Agreement and other applicable Collateral Documents confirmed that its obligations thereunder shall apply to the Successor Borrower’s obligations under the Loan Documents and (E) the Borrower shall have delivered to the Administrative Agent an officer’s certificate and an opinion of counsel, each stating that such merger or consolidation and such supplement to this Agreement or any Collateral Document preserves the enforceability of this Agreement, the Guaranty and the Collateral Documents and the perfection of the Liens under the Collateral Documents; </w:t>
      </w:r>
      <w:r>
        <w:rPr>
          <w:rFonts w:ascii="Arial" w:cs="Arial" w:eastAsia="Arial" w:hAnsi="Arial"/>
          <w:sz w:val="19"/>
          <w:szCs w:val="19"/>
          <w:i w:val="1"/>
          <w:iCs w:val="1"/>
          <w:color w:val="auto"/>
        </w:rPr>
        <w:t>provided</w:t>
      </w:r>
      <w:r>
        <w:rPr>
          <w:rFonts w:ascii="Arial" w:cs="Arial" w:eastAsia="Arial" w:hAnsi="Arial"/>
          <w:sz w:val="19"/>
          <w:szCs w:val="19"/>
          <w:color w:val="auto"/>
        </w:rPr>
        <w:t>, further, that if the foregoing are satisfied, the Successor Borrower will succeed to, and be substituted for, the Borrower under this Agreement; and</w:t>
      </w:r>
    </w:p>
    <w:p>
      <w:pPr>
        <w:spacing w:after="0" w:line="150" w:lineRule="exact"/>
        <w:rPr>
          <w:sz w:val="20"/>
          <w:szCs w:val="20"/>
          <w:color w:val="auto"/>
        </w:rPr>
      </w:pPr>
    </w:p>
    <w:p>
      <w:pPr>
        <w:jc w:val="both"/>
        <w:ind w:firstLine="622"/>
        <w:spacing w:after="0" w:line="237" w:lineRule="auto"/>
        <w:tabs>
          <w:tab w:leader="none" w:pos="1278"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so long as no Event of Default exists or would result therefrom, Holdings may merge or consolidate with any 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Holdings shall be the continuing or surviving corporation or entity or (ii) if the Person formed by or surviving any such merger or consolidation is not Holdings (any such Person, the “</w:t>
      </w:r>
      <w:r>
        <w:rPr>
          <w:rFonts w:ascii="Arial" w:cs="Arial" w:eastAsia="Arial" w:hAnsi="Arial"/>
          <w:sz w:val="19"/>
          <w:szCs w:val="19"/>
          <w:b w:val="1"/>
          <w:bCs w:val="1"/>
          <w:color w:val="auto"/>
        </w:rPr>
        <w:t>Successor Holdings</w:t>
      </w:r>
      <w:r>
        <w:rPr>
          <w:rFonts w:ascii="Arial" w:cs="Arial" w:eastAsia="Arial" w:hAnsi="Arial"/>
          <w:sz w:val="19"/>
          <w:szCs w:val="19"/>
          <w:color w:val="auto"/>
        </w:rPr>
        <w:t>”), (A) the Successor Holdings shall be an entity organized or existing under the Laws of the United States, any state thereof or the District of Columbia, (B) the Successor Holdings shall expressly assume all the obligations of Holdings under this Agreement and the other Loan Documents to which Holdings is a party pursuant to a supplement hereto or thereto in form reasonably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188</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316" w:lineRule="exact"/>
        <w:rPr>
          <w:sz w:val="20"/>
          <w:szCs w:val="20"/>
          <w:color w:val="auto"/>
        </w:rPr>
      </w:pPr>
    </w:p>
    <w:p>
      <w:pPr>
        <w:jc w:val="both"/>
        <w:ind w:firstLine="6"/>
        <w:spacing w:after="0" w:line="216" w:lineRule="auto"/>
        <w:rPr>
          <w:sz w:val="20"/>
          <w:szCs w:val="20"/>
          <w:color w:val="auto"/>
        </w:rPr>
      </w:pPr>
      <w:r>
        <w:rPr>
          <w:rFonts w:ascii="Arial" w:cs="Arial" w:eastAsia="Arial" w:hAnsi="Arial"/>
          <w:sz w:val="21"/>
          <w:szCs w:val="21"/>
          <w:color w:val="auto"/>
        </w:rPr>
        <w:t>Administrative Agent and (C) Holdings shall have delivered to the Administrative Agent an officer’s certificate and an opinion of counsel, each stating that such merger or consolidation and such supplement to this Agreement or any Collateral Document preserves the enforceability of this Agreement, the Guaranty and the Collateral Documents and the perfection of the Liens under the Collateral Documents; provided, further, that if the foregoing are satisfied, the Successor Holdings will succeed to, and be substituted for, Holdings under this Agreement;</w:t>
      </w:r>
    </w:p>
    <w:p>
      <w:pPr>
        <w:spacing w:after="0" w:line="151" w:lineRule="exact"/>
        <w:rPr>
          <w:sz w:val="20"/>
          <w:szCs w:val="20"/>
          <w:color w:val="auto"/>
        </w:rPr>
      </w:pPr>
    </w:p>
    <w:p>
      <w:pPr>
        <w:jc w:val="both"/>
        <w:ind w:firstLine="622"/>
        <w:spacing w:after="0" w:line="216" w:lineRule="auto"/>
        <w:tabs>
          <w:tab w:leader="none" w:pos="1126" w:val="left"/>
        </w:tabs>
        <w:numPr>
          <w:ilvl w:val="0"/>
          <w:numId w:val="210"/>
        </w:numPr>
        <w:rPr>
          <w:rFonts w:ascii="Arial" w:cs="Arial" w:eastAsia="Arial" w:hAnsi="Arial"/>
          <w:sz w:val="21"/>
          <w:szCs w:val="21"/>
          <w:color w:val="auto"/>
        </w:rPr>
      </w:pPr>
      <w:r>
        <w:rPr>
          <w:rFonts w:ascii="Arial" w:cs="Arial" w:eastAsia="Arial" w:hAnsi="Arial"/>
          <w:sz w:val="21"/>
          <w:szCs w:val="21"/>
          <w:color w:val="auto"/>
        </w:rPr>
        <w:t xml:space="preserve">so long as no Default exists or would result therefrom (in the case of a merger involving a Loan Party), any Restricted Subsidiary may merge or consolidate with any other Person in order to effect an Investment permitted pursuant to Section 7.02;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continuing or surviving Person shall be a Restricted Subsidiary or the Borrower, which together with each of its</w:t>
      </w:r>
      <w:r>
        <w:rPr>
          <w:rFonts w:ascii="Arial" w:cs="Arial" w:eastAsia="Arial" w:hAnsi="Arial"/>
          <w:sz w:val="21"/>
          <w:szCs w:val="21"/>
          <w:i w:val="1"/>
          <w:iCs w:val="1"/>
          <w:color w:val="auto"/>
        </w:rPr>
        <w:t xml:space="preserve"> </w:t>
      </w:r>
      <w:r>
        <w:rPr>
          <w:rFonts w:ascii="Arial" w:cs="Arial" w:eastAsia="Arial" w:hAnsi="Arial"/>
          <w:sz w:val="21"/>
          <w:szCs w:val="21"/>
          <w:color w:val="auto"/>
        </w:rPr>
        <w:t>Restricted Subsidiaries, shall have complied with the requirements of Section 6.11 to the extent required pursuant to the Collateral and Guarantee Requirement;</w:t>
      </w:r>
    </w:p>
    <w:p>
      <w:pPr>
        <w:spacing w:after="0" w:line="150" w:lineRule="exact"/>
        <w:rPr>
          <w:rFonts w:ascii="Arial" w:cs="Arial" w:eastAsia="Arial" w:hAnsi="Arial"/>
          <w:sz w:val="21"/>
          <w:szCs w:val="21"/>
          <w:color w:val="auto"/>
        </w:rPr>
      </w:pPr>
    </w:p>
    <w:p>
      <w:pPr>
        <w:ind w:firstLine="622"/>
        <w:spacing w:after="0" w:line="233" w:lineRule="auto"/>
        <w:tabs>
          <w:tab w:leader="none" w:pos="1058" w:val="left"/>
        </w:tabs>
        <w:numPr>
          <w:ilvl w:val="0"/>
          <w:numId w:val="210"/>
        </w:numPr>
        <w:rPr>
          <w:rFonts w:ascii="Arial" w:cs="Arial" w:eastAsia="Arial" w:hAnsi="Arial"/>
          <w:sz w:val="21"/>
          <w:szCs w:val="21"/>
          <w:color w:val="auto"/>
        </w:rPr>
      </w:pPr>
      <w:r>
        <w:rPr>
          <w:rFonts w:ascii="Arial" w:cs="Arial" w:eastAsia="Arial" w:hAnsi="Arial"/>
          <w:sz w:val="21"/>
          <w:szCs w:val="21"/>
          <w:color w:val="auto"/>
        </w:rPr>
        <w:t>so long as no Default exists or would result therefrom, a merger, dissolution, liquidation, consolidation or Disposition, the purpose of which is to effect a Disposition permitted pursuant to Section 7.05;</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073"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Borrower and its Subsidiaries may effect the formation, dissolution, liquidation or Disposition of any Subsidiary that is a Delaware Divided LLC, provided that upon formation of such Delaware Divided LLC, the Borrower has complied with Section 6.11 to the extent applicable; and</w:t>
      </w:r>
    </w:p>
    <w:p>
      <w:pPr>
        <w:spacing w:after="0" w:line="148" w:lineRule="exact"/>
        <w:rPr>
          <w:rFonts w:ascii="Arial" w:cs="Arial" w:eastAsia="Arial" w:hAnsi="Arial"/>
          <w:sz w:val="21"/>
          <w:szCs w:val="21"/>
          <w:color w:val="auto"/>
        </w:rPr>
      </w:pPr>
    </w:p>
    <w:p>
      <w:pPr>
        <w:ind w:left="1060" w:hanging="438"/>
        <w:spacing w:after="0"/>
        <w:tabs>
          <w:tab w:leader="none" w:pos="106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Borrower and its Subsidiaries may consummate Permitted Intercompany Activities.</w:t>
      </w:r>
    </w:p>
    <w:p>
      <w:pPr>
        <w:spacing w:after="0" w:line="154" w:lineRule="exact"/>
        <w:rPr>
          <w:sz w:val="20"/>
          <w:szCs w:val="20"/>
          <w:color w:val="auto"/>
        </w:rPr>
      </w:pPr>
    </w:p>
    <w:p>
      <w:pPr>
        <w:ind w:left="620"/>
        <w:spacing w:after="0"/>
        <w:tabs>
          <w:tab w:leader="none" w:pos="1920" w:val="left"/>
        </w:tabs>
        <w:rPr>
          <w:sz w:val="20"/>
          <w:szCs w:val="20"/>
          <w:color w:val="auto"/>
        </w:rPr>
      </w:pPr>
      <w:r>
        <w:rPr>
          <w:rFonts w:ascii="Arial" w:cs="Arial" w:eastAsia="Arial" w:hAnsi="Arial"/>
          <w:sz w:val="21"/>
          <w:szCs w:val="21"/>
          <w:color w:val="auto"/>
        </w:rPr>
        <w:t>Section 7.05.</w:t>
      </w:r>
      <w:r>
        <w:rPr>
          <w:sz w:val="20"/>
          <w:szCs w:val="20"/>
          <w:color w:val="auto"/>
        </w:rPr>
        <w:tab/>
      </w:r>
      <w:r>
        <w:rPr>
          <w:rFonts w:ascii="Arial" w:cs="Arial" w:eastAsia="Arial" w:hAnsi="Arial"/>
          <w:sz w:val="19"/>
          <w:szCs w:val="19"/>
          <w:i w:val="1"/>
          <w:iCs w:val="1"/>
          <w:color w:val="auto"/>
        </w:rPr>
        <w:t>Dispositions</w:t>
      </w:r>
      <w:r>
        <w:rPr>
          <w:rFonts w:ascii="Arial" w:cs="Arial" w:eastAsia="Arial" w:hAnsi="Arial"/>
          <w:sz w:val="19"/>
          <w:szCs w:val="19"/>
          <w:color w:val="auto"/>
        </w:rPr>
        <w:t>. Neither the Borrower nor any of the Restricted Subsidiaries shall, directly or indirectly, make any</w:t>
      </w:r>
    </w:p>
    <w:p>
      <w:pPr>
        <w:spacing w:after="0"/>
        <w:rPr>
          <w:sz w:val="20"/>
          <w:szCs w:val="20"/>
          <w:color w:val="auto"/>
        </w:rPr>
      </w:pPr>
      <w:r>
        <w:rPr>
          <w:rFonts w:ascii="Arial" w:cs="Arial" w:eastAsia="Arial" w:hAnsi="Arial"/>
          <w:sz w:val="21"/>
          <w:szCs w:val="21"/>
          <w:color w:val="auto"/>
        </w:rPr>
        <w:t>Disposition, except:</w:t>
      </w:r>
    </w:p>
    <w:p>
      <w:pPr>
        <w:spacing w:after="0" w:line="153" w:lineRule="exact"/>
        <w:rPr>
          <w:sz w:val="20"/>
          <w:szCs w:val="20"/>
          <w:color w:val="auto"/>
        </w:rPr>
      </w:pPr>
    </w:p>
    <w:p>
      <w:pPr>
        <w:jc w:val="both"/>
        <w:ind w:firstLine="622"/>
        <w:spacing w:after="0" w:line="230" w:lineRule="auto"/>
        <w:tabs>
          <w:tab w:leader="none" w:pos="1196" w:val="left"/>
        </w:tabs>
        <w:numPr>
          <w:ilvl w:val="1"/>
          <w:numId w:val="211"/>
        </w:numPr>
        <w:rPr>
          <w:rFonts w:ascii="Arial" w:cs="Arial" w:eastAsia="Arial" w:hAnsi="Arial"/>
          <w:sz w:val="19"/>
          <w:szCs w:val="19"/>
          <w:color w:val="auto"/>
        </w:rPr>
      </w:pPr>
      <w:r>
        <w:rPr>
          <w:rFonts w:ascii="Arial" w:cs="Arial" w:eastAsia="Arial" w:hAnsi="Arial"/>
          <w:sz w:val="19"/>
          <w:szCs w:val="19"/>
          <w:color w:val="auto"/>
        </w:rPr>
        <w:t>(i) Dispositions of obsolete, non-core, worn out or surplus property, whether now owned or hereafter acquired, and Dispositions of property no longer used or useful or economically practical to maintain in the conduct of the in the conduct of the business of the Borrower or any of its Restricted Subsidiaries, (ii) Dispositions of property no longer used or useful in the conduct of the business of the Borrower and its Restricted Subsidiaries outside the ordinary course of business (and for consideration complying with the requirements applicable to Dispositions pursuant to clause (j) below) in an aggregate amount not to exceed $10,000,000 and</w:t>
      </w:r>
    </w:p>
    <w:p>
      <w:pPr>
        <w:spacing w:after="0" w:line="2" w:lineRule="exact"/>
        <w:rPr>
          <w:rFonts w:ascii="Arial" w:cs="Arial" w:eastAsia="Arial" w:hAnsi="Arial"/>
          <w:sz w:val="19"/>
          <w:szCs w:val="19"/>
          <w:color w:val="auto"/>
        </w:rPr>
      </w:pPr>
    </w:p>
    <w:p>
      <w:pPr>
        <w:ind w:left="360" w:hanging="357"/>
        <w:spacing w:after="0"/>
        <w:tabs>
          <w:tab w:leader="none" w:pos="36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write-off or write-down of any unrecoupable loans or advances;</w:t>
      </w:r>
    </w:p>
    <w:p>
      <w:pPr>
        <w:spacing w:after="0" w:line="153" w:lineRule="exact"/>
        <w:rPr>
          <w:rFonts w:ascii="Arial" w:cs="Arial" w:eastAsia="Arial" w:hAnsi="Arial"/>
          <w:sz w:val="21"/>
          <w:szCs w:val="21"/>
          <w:color w:val="auto"/>
        </w:rPr>
      </w:pPr>
    </w:p>
    <w:p>
      <w:pPr>
        <w:jc w:val="both"/>
        <w:ind w:firstLine="622"/>
        <w:spacing w:after="0" w:line="224" w:lineRule="auto"/>
        <w:tabs>
          <w:tab w:leader="none" w:pos="1122" w:val="left"/>
        </w:tabs>
        <w:numPr>
          <w:ilvl w:val="1"/>
          <w:numId w:val="212"/>
        </w:numPr>
        <w:rPr>
          <w:rFonts w:ascii="Arial" w:cs="Arial" w:eastAsia="Arial" w:hAnsi="Arial"/>
          <w:sz w:val="21"/>
          <w:szCs w:val="21"/>
          <w:color w:val="auto"/>
        </w:rPr>
      </w:pPr>
      <w:r>
        <w:rPr>
          <w:rFonts w:ascii="Arial" w:cs="Arial" w:eastAsia="Arial" w:hAnsi="Arial"/>
          <w:sz w:val="21"/>
          <w:szCs w:val="21"/>
          <w:color w:val="auto"/>
        </w:rPr>
        <w:t>Dispositions of inventory or goods held for sale, including pursuant to payor contracts, and immaterial assets (including allowing any registrations or any applications for registration of any immaterial intellectual property to lapse or go abandoned), in each case, in the ordinary course of business or consistent with past practice;</w:t>
      </w:r>
    </w:p>
    <w:p>
      <w:pPr>
        <w:spacing w:after="0" w:line="148" w:lineRule="exact"/>
        <w:rPr>
          <w:rFonts w:ascii="Arial" w:cs="Arial" w:eastAsia="Arial" w:hAnsi="Arial"/>
          <w:sz w:val="21"/>
          <w:szCs w:val="21"/>
          <w:color w:val="auto"/>
        </w:rPr>
      </w:pPr>
    </w:p>
    <w:p>
      <w:pPr>
        <w:ind w:firstLine="622"/>
        <w:spacing w:after="0" w:line="305" w:lineRule="auto"/>
        <w:tabs>
          <w:tab w:leader="none" w:pos="111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189</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24" w:lineRule="auto"/>
        <w:tabs>
          <w:tab w:leader="none" w:pos="1091" w:val="left"/>
        </w:tabs>
        <w:numPr>
          <w:ilvl w:val="0"/>
          <w:numId w:val="213"/>
        </w:numPr>
        <w:rPr>
          <w:rFonts w:ascii="Arial" w:cs="Arial" w:eastAsia="Arial" w:hAnsi="Arial"/>
          <w:sz w:val="21"/>
          <w:szCs w:val="21"/>
          <w:color w:val="auto"/>
        </w:rPr>
      </w:pPr>
      <w:r>
        <w:rPr>
          <w:rFonts w:ascii="Arial" w:cs="Arial" w:eastAsia="Arial" w:hAnsi="Arial"/>
          <w:sz w:val="21"/>
          <w:szCs w:val="21"/>
          <w:color w:val="auto"/>
        </w:rPr>
        <w:t xml:space="preserve">Dispositions of property to the Borrower or any Restricted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transferor of such property is a Loan Party, (i) the transferee thereof must be a Loan Party or (ii) if such transaction constitutes an Investment, such transaction is permitted under Section 7.02;</w:t>
      </w:r>
    </w:p>
    <w:p>
      <w:pPr>
        <w:spacing w:after="0" w:line="148" w:lineRule="exact"/>
        <w:rPr>
          <w:rFonts w:ascii="Arial" w:cs="Arial" w:eastAsia="Arial" w:hAnsi="Arial"/>
          <w:sz w:val="21"/>
          <w:szCs w:val="21"/>
          <w:color w:val="auto"/>
        </w:rPr>
      </w:pPr>
    </w:p>
    <w:p>
      <w:pPr>
        <w:ind w:firstLine="622"/>
        <w:spacing w:after="0" w:line="233" w:lineRule="auto"/>
        <w:tabs>
          <w:tab w:leader="none" w:pos="1146" w:val="left"/>
        </w:tabs>
        <w:numPr>
          <w:ilvl w:val="0"/>
          <w:numId w:val="213"/>
        </w:numPr>
        <w:rPr>
          <w:rFonts w:ascii="Arial" w:cs="Arial" w:eastAsia="Arial" w:hAnsi="Arial"/>
          <w:sz w:val="21"/>
          <w:szCs w:val="21"/>
          <w:color w:val="auto"/>
        </w:rPr>
      </w:pPr>
      <w:r>
        <w:rPr>
          <w:rFonts w:ascii="Arial" w:cs="Arial" w:eastAsia="Arial" w:hAnsi="Arial"/>
          <w:sz w:val="21"/>
          <w:szCs w:val="21"/>
          <w:color w:val="auto"/>
        </w:rPr>
        <w:t>to the extent constituting Dispositions, transactions permitted by Sections 7.01, 7.02 (other than Section 7.02(e)), 7.04 (other than Section 7.04(f)) and 7.06;</w:t>
      </w:r>
    </w:p>
    <w:p>
      <w:pPr>
        <w:spacing w:after="0" w:line="149" w:lineRule="exact"/>
        <w:rPr>
          <w:rFonts w:ascii="Arial" w:cs="Arial" w:eastAsia="Arial" w:hAnsi="Arial"/>
          <w:sz w:val="21"/>
          <w:szCs w:val="21"/>
          <w:color w:val="auto"/>
        </w:rPr>
      </w:pPr>
    </w:p>
    <w:p>
      <w:pPr>
        <w:ind w:left="1040" w:hanging="418"/>
        <w:spacing w:after="0"/>
        <w:tabs>
          <w:tab w:leader="none" w:pos="104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Dispositions contemplated as of the Restatement Date and listed on Schedule 7.05(f);</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Dispositions, liquidations or use of Cash Equivalents;</w:t>
      </w:r>
    </w:p>
    <w:p>
      <w:pPr>
        <w:spacing w:after="0" w:line="171" w:lineRule="exact"/>
        <w:rPr>
          <w:rFonts w:ascii="Arial" w:cs="Arial" w:eastAsia="Arial" w:hAnsi="Arial"/>
          <w:sz w:val="21"/>
          <w:szCs w:val="21"/>
          <w:color w:val="auto"/>
        </w:rPr>
      </w:pPr>
    </w:p>
    <w:p>
      <w:pPr>
        <w:jc w:val="both"/>
        <w:ind w:firstLine="622"/>
        <w:spacing w:after="0" w:line="230" w:lineRule="auto"/>
        <w:tabs>
          <w:tab w:leader="none" w:pos="1134" w:val="left"/>
        </w:tabs>
        <w:numPr>
          <w:ilvl w:val="0"/>
          <w:numId w:val="213"/>
        </w:numPr>
        <w:rPr>
          <w:rFonts w:ascii="Arial" w:cs="Arial" w:eastAsia="Arial" w:hAnsi="Arial"/>
          <w:sz w:val="20"/>
          <w:szCs w:val="20"/>
          <w:color w:val="auto"/>
        </w:rPr>
      </w:pPr>
      <w:r>
        <w:rPr>
          <w:rFonts w:ascii="Arial" w:cs="Arial" w:eastAsia="Arial" w:hAnsi="Arial"/>
          <w:sz w:val="20"/>
          <w:szCs w:val="20"/>
          <w:color w:val="auto"/>
        </w:rPr>
        <w:t>(i) leases, subleases, licenses or sublicenses (including the provision of software under an open source license), in each case in the ordinary course of business or consistent with past practice and which do not materially interfere with the business of the Borrower or any of its Restricted Subsidiaries and (ii) Dispositions of intellectual property to unaffiliated Persons that do not materially interfere with the business of the Borrower or any of its Restricted Subsidiaries;</w:t>
      </w:r>
    </w:p>
    <w:p>
      <w:pPr>
        <w:spacing w:after="0" w:line="149" w:lineRule="exact"/>
        <w:rPr>
          <w:rFonts w:ascii="Arial" w:cs="Arial" w:eastAsia="Arial" w:hAnsi="Arial"/>
          <w:sz w:val="20"/>
          <w:szCs w:val="20"/>
          <w:color w:val="auto"/>
        </w:rPr>
      </w:pPr>
    </w:p>
    <w:p>
      <w:pPr>
        <w:ind w:left="1020" w:hanging="398"/>
        <w:spacing w:after="0"/>
        <w:tabs>
          <w:tab w:leader="none" w:pos="102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transfers of property subject to Casualty Events upon receipt of the Net Proceeds of such Casualty Event;</w:t>
      </w:r>
    </w:p>
    <w:p>
      <w:pPr>
        <w:spacing w:after="0" w:line="171" w:lineRule="exact"/>
        <w:rPr>
          <w:rFonts w:ascii="Arial" w:cs="Arial" w:eastAsia="Arial" w:hAnsi="Arial"/>
          <w:sz w:val="21"/>
          <w:szCs w:val="21"/>
          <w:color w:val="auto"/>
        </w:rPr>
      </w:pPr>
    </w:p>
    <w:p>
      <w:pPr>
        <w:jc w:val="both"/>
        <w:ind w:firstLine="622"/>
        <w:spacing w:after="0" w:line="233" w:lineRule="auto"/>
        <w:tabs>
          <w:tab w:leader="none" w:pos="1066"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Dispositions of property or assets or issuance or sale of Equity Interests of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at the time of such Disposition, no Event of Default under Section 8.01(a) or 8.01(f) with respect to the Borrower shall exist or would result from such Disposition (other than any such Disposition made pursuant to a legally binding commitment entered into at a time when no such Event of Default exists) and (ii) with respect to any Disposition pursuant to this clause (j) for a purchase price in excess of $15,000,000, the Borrower or any of its Restricted Subsidiaries shall receive not less than 75% of such consideration in the form of cash or Cash Equivalents (in each case, free and clear of all Liens at the time received, other than nonconsensual Liens permitted by Section 7.01 and Liens permitted by Sections 7.01(a), (f), (k), (p), (q), (r)(i), (r)(ii), (dd) (only to the extent the Obligations are secured by such cash and Cash Equivalents) and (ee) (only to the extent the Obligations are secured by such cash and Cash Equivalents));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for the purposes of this clause (j)(ii), the following shall be deemed to be cash:</w:t>
      </w:r>
    </w:p>
    <w:p>
      <w:pPr>
        <w:spacing w:after="0" w:line="153" w:lineRule="exact"/>
        <w:rPr>
          <w:rFonts w:ascii="Arial" w:cs="Arial" w:eastAsia="Arial" w:hAnsi="Arial"/>
          <w:sz w:val="19"/>
          <w:szCs w:val="19"/>
          <w:color w:val="auto"/>
        </w:rPr>
      </w:pPr>
    </w:p>
    <w:p>
      <w:pPr>
        <w:jc w:val="both"/>
        <w:ind w:left="1240" w:firstLine="620"/>
        <w:spacing w:after="0" w:line="235" w:lineRule="auto"/>
        <w:tabs>
          <w:tab w:leader="none" w:pos="2356" w:val="left"/>
        </w:tabs>
        <w:numPr>
          <w:ilvl w:val="1"/>
          <w:numId w:val="213"/>
        </w:numPr>
        <w:rPr>
          <w:rFonts w:ascii="Arial" w:cs="Arial" w:eastAsia="Arial" w:hAnsi="Arial"/>
          <w:sz w:val="19"/>
          <w:szCs w:val="19"/>
          <w:color w:val="auto"/>
        </w:rPr>
      </w:pPr>
      <w:r>
        <w:rPr>
          <w:rFonts w:ascii="Arial" w:cs="Arial" w:eastAsia="Arial" w:hAnsi="Arial"/>
          <w:sz w:val="19"/>
          <w:szCs w:val="19"/>
          <w:color w:val="auto"/>
        </w:rPr>
        <w:t>the greater of the principal amount and the carrying value of any liabilities (as shown on the Borrower’s (or the Restricted Subsidiaries’, as applicable) most recent balance sheet provided hereunder or in the footnotes thereto or, if incurred or increased subsequent to the date of such balance sheet, such liabilities that would have been shown on the Borrower’s or such Restricted Subsidiary’s balance sheet or in the footnotes thereto if such incurrence or increase had taken place on or prior to the date of such balance sheet, as determined by the Borrower) of the Borrower or such Restricted Subsidiary, other than liabilities (other than intercompany liabilities owing to a Restricted Subsidiary being Disposed of) that are by their terms subordinated to the payment in cash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190</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316" w:lineRule="exact"/>
        <w:rPr>
          <w:sz w:val="20"/>
          <w:szCs w:val="20"/>
          <w:color w:val="auto"/>
        </w:rPr>
      </w:pPr>
    </w:p>
    <w:p>
      <w:pPr>
        <w:ind w:left="1240" w:firstLine="6"/>
        <w:spacing w:after="0" w:line="249" w:lineRule="auto"/>
        <w:rPr>
          <w:sz w:val="20"/>
          <w:szCs w:val="20"/>
          <w:color w:val="auto"/>
        </w:rPr>
      </w:pPr>
      <w:r>
        <w:rPr>
          <w:rFonts w:ascii="Arial" w:cs="Arial" w:eastAsia="Arial" w:hAnsi="Arial"/>
          <w:sz w:val="18"/>
          <w:szCs w:val="18"/>
          <w:color w:val="auto"/>
        </w:rPr>
        <w:t>Obligations, (i) assumed by the transferee of any such assets (or a third party in connection with such transfer) pursuant to a written agreement which releases or indemnifies the Borrower or such Restricted Subsidiary from such liabilities or</w:t>
      </w:r>
    </w:p>
    <w:p>
      <w:pPr>
        <w:spacing w:after="0" w:line="1" w:lineRule="exact"/>
        <w:rPr>
          <w:sz w:val="20"/>
          <w:szCs w:val="20"/>
          <w:color w:val="auto"/>
        </w:rPr>
      </w:pPr>
    </w:p>
    <w:p>
      <w:pPr>
        <w:ind w:left="1540" w:hanging="299"/>
        <w:spacing w:after="0"/>
        <w:tabs>
          <w:tab w:leader="none" w:pos="1540" w:val="left"/>
        </w:tabs>
        <w:numPr>
          <w:ilvl w:val="1"/>
          <w:numId w:val="214"/>
        </w:numPr>
        <w:rPr>
          <w:rFonts w:ascii="Arial" w:cs="Arial" w:eastAsia="Arial" w:hAnsi="Arial"/>
          <w:sz w:val="21"/>
          <w:szCs w:val="21"/>
          <w:color w:val="auto"/>
        </w:rPr>
      </w:pPr>
      <w:r>
        <w:rPr>
          <w:rFonts w:ascii="Arial" w:cs="Arial" w:eastAsia="Arial" w:hAnsi="Arial"/>
          <w:sz w:val="21"/>
          <w:szCs w:val="21"/>
          <w:color w:val="auto"/>
        </w:rPr>
        <w:t>otherwise cancelled or terminated in connection with the transaction,</w:t>
      </w:r>
    </w:p>
    <w:p>
      <w:pPr>
        <w:spacing w:after="0" w:line="178" w:lineRule="exact"/>
        <w:rPr>
          <w:rFonts w:ascii="Arial" w:cs="Arial" w:eastAsia="Arial" w:hAnsi="Arial"/>
          <w:sz w:val="21"/>
          <w:szCs w:val="21"/>
          <w:color w:val="auto"/>
        </w:rPr>
      </w:pPr>
    </w:p>
    <w:p>
      <w:pPr>
        <w:jc w:val="both"/>
        <w:ind w:left="1240" w:firstLine="620"/>
        <w:spacing w:after="0" w:line="216" w:lineRule="auto"/>
        <w:tabs>
          <w:tab w:leader="none" w:pos="2411" w:val="left"/>
        </w:tabs>
        <w:numPr>
          <w:ilvl w:val="2"/>
          <w:numId w:val="214"/>
        </w:numPr>
        <w:rPr>
          <w:rFonts w:ascii="Arial" w:cs="Arial" w:eastAsia="Arial" w:hAnsi="Arial"/>
          <w:sz w:val="21"/>
          <w:szCs w:val="21"/>
          <w:color w:val="auto"/>
        </w:rPr>
      </w:pPr>
      <w:r>
        <w:rPr>
          <w:rFonts w:ascii="Arial" w:cs="Arial" w:eastAsia="Arial" w:hAnsi="Arial"/>
          <w:sz w:val="21"/>
          <w:szCs w:val="21"/>
          <w:color w:val="auto"/>
        </w:rPr>
        <w:t>any securities, notes or other obligations or assets received by the Borrower or the applicable Restricted Subsidiary from such transferee that are converted, or reasonably expected to be converted, by Holdings, the Borrower or such Restricted Subsidiary into cash or Cash Equivalents (to the extent of the cash or Cash Equivalents received or expected to be received) or by their terms are required to be satisfied for cash or Cash Equivalents within 180 days following the closing of the applicable Disposition, and</w:t>
      </w:r>
    </w:p>
    <w:p>
      <w:pPr>
        <w:spacing w:after="0" w:line="150" w:lineRule="exact"/>
        <w:rPr>
          <w:rFonts w:ascii="Arial" w:cs="Arial" w:eastAsia="Arial" w:hAnsi="Arial"/>
          <w:sz w:val="21"/>
          <w:szCs w:val="21"/>
          <w:color w:val="auto"/>
        </w:rPr>
      </w:pPr>
    </w:p>
    <w:p>
      <w:pPr>
        <w:jc w:val="both"/>
        <w:ind w:left="1240" w:firstLine="620"/>
        <w:spacing w:after="0" w:line="230" w:lineRule="auto"/>
        <w:tabs>
          <w:tab w:leader="none" w:pos="2372" w:val="left"/>
        </w:tabs>
        <w:numPr>
          <w:ilvl w:val="2"/>
          <w:numId w:val="214"/>
        </w:numPr>
        <w:rPr>
          <w:rFonts w:ascii="Arial" w:cs="Arial" w:eastAsia="Arial" w:hAnsi="Arial"/>
          <w:sz w:val="20"/>
          <w:szCs w:val="20"/>
          <w:color w:val="auto"/>
        </w:rPr>
      </w:pPr>
      <w:r>
        <w:rPr>
          <w:rFonts w:ascii="Arial" w:cs="Arial" w:eastAsia="Arial" w:hAnsi="Arial"/>
          <w:sz w:val="20"/>
          <w:szCs w:val="20"/>
          <w:color w:val="auto"/>
        </w:rPr>
        <w:t>aggregate non-cash consideration received by the Borrower or the applicable Restricted Subsidiary having an aggregate fair market value (determined as of the closing of the applicable Disposition for which such non-cash consideration is received) not to exceed the greater of $53,750,000 and 25% of LTM Consolidated EBITDA at any time outstanding (net of any non-cash consideration converted into cash and Cash Equivalents);</w:t>
      </w:r>
    </w:p>
    <w:p>
      <w:pPr>
        <w:spacing w:after="0" w:line="149" w:lineRule="exact"/>
        <w:rPr>
          <w:rFonts w:ascii="Arial" w:cs="Arial" w:eastAsia="Arial" w:hAnsi="Arial"/>
          <w:sz w:val="20"/>
          <w:szCs w:val="20"/>
          <w:color w:val="auto"/>
        </w:rPr>
      </w:pPr>
    </w:p>
    <w:p>
      <w:pPr>
        <w:ind w:left="1060" w:hanging="438"/>
        <w:spacing w:after="0"/>
        <w:tabs>
          <w:tab w:leader="none" w:pos="10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[reserved];</w:t>
      </w:r>
    </w:p>
    <w:p>
      <w:pPr>
        <w:spacing w:after="0" w:line="171" w:lineRule="exact"/>
        <w:rPr>
          <w:rFonts w:ascii="Arial" w:cs="Arial" w:eastAsia="Arial" w:hAnsi="Arial"/>
          <w:sz w:val="21"/>
          <w:szCs w:val="21"/>
          <w:color w:val="auto"/>
        </w:rPr>
      </w:pPr>
    </w:p>
    <w:p>
      <w:pPr>
        <w:jc w:val="both"/>
        <w:ind w:firstLine="622"/>
        <w:spacing w:after="0" w:line="219" w:lineRule="auto"/>
        <w:tabs>
          <w:tab w:leader="none" w:pos="1117" w:val="left"/>
        </w:tabs>
        <w:numPr>
          <w:ilvl w:val="0"/>
          <w:numId w:val="215"/>
        </w:numPr>
        <w:rPr>
          <w:rFonts w:ascii="Arial" w:cs="Arial" w:eastAsia="Arial" w:hAnsi="Arial"/>
          <w:sz w:val="21"/>
          <w:szCs w:val="21"/>
          <w:color w:val="auto"/>
        </w:rPr>
      </w:pPr>
      <w:r>
        <w:rPr>
          <w:rFonts w:ascii="Arial" w:cs="Arial" w:eastAsia="Arial" w:hAnsi="Arial"/>
          <w:sz w:val="21"/>
          <w:szCs w:val="21"/>
          <w:color w:val="auto"/>
        </w:rPr>
        <w:t>Dispositions or discounts without recourse of accounts receivable, or participations therein, or Securitization Assets or related assets, or any disposition of the Equity Interests in a Subsidiary, all or substantially all of the assets of which are Securitization Assets, in each case in connection with any Qualified Securitization Facility or the disposition of an account receivable in connection with the collection or compromise thereof in the ordinary course of business;</w:t>
      </w:r>
    </w:p>
    <w:p>
      <w:pPr>
        <w:spacing w:after="0" w:line="149" w:lineRule="exact"/>
        <w:rPr>
          <w:rFonts w:ascii="Arial" w:cs="Arial" w:eastAsia="Arial" w:hAnsi="Arial"/>
          <w:sz w:val="21"/>
          <w:szCs w:val="21"/>
          <w:color w:val="auto"/>
        </w:rPr>
      </w:pPr>
    </w:p>
    <w:p>
      <w:pPr>
        <w:ind w:firstLine="622"/>
        <w:spacing w:after="0" w:line="233" w:lineRule="auto"/>
        <w:tabs>
          <w:tab w:leader="none" w:pos="1207" w:val="left"/>
        </w:tabs>
        <w:numPr>
          <w:ilvl w:val="0"/>
          <w:numId w:val="215"/>
        </w:numPr>
        <w:rPr>
          <w:rFonts w:ascii="Arial" w:cs="Arial" w:eastAsia="Arial" w:hAnsi="Arial"/>
          <w:sz w:val="21"/>
          <w:szCs w:val="21"/>
          <w:color w:val="auto"/>
        </w:rPr>
      </w:pPr>
      <w:r>
        <w:rPr>
          <w:rFonts w:ascii="Arial" w:cs="Arial" w:eastAsia="Arial" w:hAnsi="Arial"/>
          <w:sz w:val="21"/>
          <w:szCs w:val="21"/>
          <w:color w:val="auto"/>
        </w:rPr>
        <w:t xml:space="preserve">Dispositions of property pursuant to sale-leaseback transactions;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fair market value of all property so Disposed of after the Restatement Date shall not exceed $30,000,000 at any time;</w:t>
      </w:r>
    </w:p>
    <w:p>
      <w:pPr>
        <w:spacing w:after="0" w:line="149" w:lineRule="exact"/>
        <w:rPr>
          <w:rFonts w:ascii="Arial" w:cs="Arial" w:eastAsia="Arial" w:hAnsi="Arial"/>
          <w:sz w:val="21"/>
          <w:szCs w:val="21"/>
          <w:color w:val="auto"/>
        </w:rPr>
      </w:pPr>
    </w:p>
    <w:p>
      <w:pPr>
        <w:ind w:firstLine="622"/>
        <w:spacing w:after="0" w:line="250" w:lineRule="auto"/>
        <w:tabs>
          <w:tab w:leader="none" w:pos="109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any swap of assets in exchange for services or other assets of comparable or greater value or usefulness to the business of the Borrower and its Subsidiaries as a whole, as determined in good faith by the management of the Borrower;</w:t>
      </w:r>
    </w:p>
    <w:p>
      <w:pPr>
        <w:spacing w:after="0" w:line="139" w:lineRule="exact"/>
        <w:rPr>
          <w:rFonts w:ascii="Arial" w:cs="Arial" w:eastAsia="Arial" w:hAnsi="Arial"/>
          <w:sz w:val="20"/>
          <w:szCs w:val="20"/>
          <w:color w:val="auto"/>
        </w:rPr>
      </w:pPr>
    </w:p>
    <w:p>
      <w:pPr>
        <w:jc w:val="both"/>
        <w:ind w:firstLine="622"/>
        <w:spacing w:after="0" w:line="219" w:lineRule="auto"/>
        <w:tabs>
          <w:tab w:leader="none" w:pos="1126" w:val="left"/>
        </w:tabs>
        <w:numPr>
          <w:ilvl w:val="0"/>
          <w:numId w:val="215"/>
        </w:numPr>
        <w:rPr>
          <w:rFonts w:ascii="Arial" w:cs="Arial" w:eastAsia="Arial" w:hAnsi="Arial"/>
          <w:sz w:val="21"/>
          <w:szCs w:val="21"/>
          <w:color w:val="auto"/>
        </w:rPr>
      </w:pPr>
      <w:r>
        <w:rPr>
          <w:rFonts w:ascii="Arial" w:cs="Arial" w:eastAsia="Arial" w:hAnsi="Arial"/>
          <w:sz w:val="21"/>
          <w:szCs w:val="21"/>
          <w:color w:val="auto"/>
        </w:rPr>
        <w:t>any issuance or sale of Equity Interests in, or Indebtedness or other securities of, an Unrestricted Subsidiary (other than Unrestricted Subsidiaries the primary assets of which are cash and/or Cash Equivalents) (or a Restricted Subsidiary which owns an Unrestricted Subsidiary so long as such Restricted Subsidiary owns no assets other than the Equity Interests of such an Unrestricted Subsidiary);</w:t>
      </w:r>
    </w:p>
    <w:p>
      <w:pPr>
        <w:spacing w:after="0" w:line="149" w:lineRule="exact"/>
        <w:rPr>
          <w:rFonts w:ascii="Arial" w:cs="Arial" w:eastAsia="Arial" w:hAnsi="Arial"/>
          <w:sz w:val="21"/>
          <w:szCs w:val="21"/>
          <w:color w:val="auto"/>
        </w:rPr>
      </w:pPr>
    </w:p>
    <w:p>
      <w:pPr>
        <w:ind w:left="1060" w:hanging="438"/>
        <w:spacing w:after="0"/>
        <w:tabs>
          <w:tab w:leader="none" w:pos="10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unwinding of any Swap Contract pursuant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191</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622"/>
        <w:spacing w:after="0" w:line="250" w:lineRule="auto"/>
        <w:tabs>
          <w:tab w:leader="none" w:pos="1277" w:val="left"/>
        </w:tabs>
        <w:numPr>
          <w:ilvl w:val="0"/>
          <w:numId w:val="216"/>
        </w:numPr>
        <w:rPr>
          <w:rFonts w:ascii="Arial" w:cs="Arial" w:eastAsia="Arial" w:hAnsi="Arial"/>
          <w:sz w:val="20"/>
          <w:szCs w:val="20"/>
          <w:color w:val="auto"/>
        </w:rPr>
      </w:pPr>
      <w:r>
        <w:rPr>
          <w:rFonts w:ascii="Arial" w:cs="Arial" w:eastAsia="Arial" w:hAnsi="Arial"/>
          <w:sz w:val="20"/>
          <w:szCs w:val="20"/>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39" w:lineRule="exact"/>
        <w:rPr>
          <w:rFonts w:ascii="Arial" w:cs="Arial" w:eastAsia="Arial" w:hAnsi="Arial"/>
          <w:sz w:val="20"/>
          <w:szCs w:val="20"/>
          <w:color w:val="auto"/>
        </w:rPr>
      </w:pPr>
    </w:p>
    <w:p>
      <w:pPr>
        <w:ind w:firstLine="622"/>
        <w:spacing w:after="0" w:line="276" w:lineRule="auto"/>
        <w:tabs>
          <w:tab w:leader="none" w:pos="108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lapse or abandonment of any registrations or applications for registration of any immaterial IP Rights in the ordinary course of business or are no longer used or useful or economically practicable or commercially reasonable to maintain;</w:t>
      </w:r>
    </w:p>
    <w:p>
      <w:pPr>
        <w:spacing w:after="0" w:line="116" w:lineRule="exact"/>
        <w:rPr>
          <w:rFonts w:ascii="Arial" w:cs="Arial" w:eastAsia="Arial" w:hAnsi="Arial"/>
          <w:sz w:val="19"/>
          <w:szCs w:val="19"/>
          <w:color w:val="auto"/>
        </w:rPr>
      </w:pPr>
    </w:p>
    <w:p>
      <w:pPr>
        <w:ind w:left="1040" w:hanging="418"/>
        <w:spacing w:after="0"/>
        <w:tabs>
          <w:tab w:leader="none" w:pos="104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Permitted Intercompany Activities;</w:t>
      </w:r>
    </w:p>
    <w:p>
      <w:pPr>
        <w:spacing w:after="0" w:line="171" w:lineRule="exact"/>
        <w:rPr>
          <w:rFonts w:ascii="Arial" w:cs="Arial" w:eastAsia="Arial" w:hAnsi="Arial"/>
          <w:sz w:val="21"/>
          <w:szCs w:val="21"/>
          <w:color w:val="auto"/>
        </w:rPr>
      </w:pPr>
    </w:p>
    <w:p>
      <w:pPr>
        <w:jc w:val="both"/>
        <w:ind w:firstLine="622"/>
        <w:spacing w:after="0" w:line="219" w:lineRule="auto"/>
        <w:tabs>
          <w:tab w:leader="none" w:pos="107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Dispositions of assets acquired pursuant to or in order to effectuate a Permitted Acquisition which assets are not used or useful to the core or principal business of the Borrower and the Restricted Subsidiaries or are made in connection with the approval of any applicable antitrust authority or otherwise necessary or advisable in the good faith determination of the Borrower to consummate any such Permitted Acquisition or other Investment permitted hereunder;</w:t>
      </w:r>
    </w:p>
    <w:p>
      <w:pPr>
        <w:spacing w:after="0" w:line="149" w:lineRule="exact"/>
        <w:rPr>
          <w:rFonts w:ascii="Arial" w:cs="Arial" w:eastAsia="Arial" w:hAnsi="Arial"/>
          <w:sz w:val="21"/>
          <w:szCs w:val="21"/>
          <w:color w:val="auto"/>
        </w:rPr>
      </w:pPr>
    </w:p>
    <w:p>
      <w:pPr>
        <w:ind w:firstLine="622"/>
        <w:spacing w:after="0" w:line="233" w:lineRule="auto"/>
        <w:tabs>
          <w:tab w:leader="none" w:pos="118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any surrender or waiver of contract rights or the settlement, release or surrender of contract rights or other litigation claims, in each case, in the ordinary course of business;</w:t>
      </w:r>
    </w:p>
    <w:p>
      <w:pPr>
        <w:spacing w:after="0" w:line="149" w:lineRule="exact"/>
        <w:rPr>
          <w:rFonts w:ascii="Arial" w:cs="Arial" w:eastAsia="Arial" w:hAnsi="Arial"/>
          <w:sz w:val="21"/>
          <w:szCs w:val="21"/>
          <w:color w:val="auto"/>
        </w:rPr>
      </w:pPr>
    </w:p>
    <w:p>
      <w:pPr>
        <w:ind w:left="1060" w:hanging="438"/>
        <w:spacing w:after="0"/>
        <w:tabs>
          <w:tab w:leader="none" w:pos="106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issuance of directors’ qualifying shares and shares issued to foreign nationals as required by applicable law;</w:t>
      </w:r>
    </w:p>
    <w:p>
      <w:pPr>
        <w:spacing w:after="0" w:line="182" w:lineRule="exact"/>
        <w:rPr>
          <w:rFonts w:ascii="Arial" w:cs="Arial" w:eastAsia="Arial" w:hAnsi="Arial"/>
          <w:sz w:val="20"/>
          <w:szCs w:val="20"/>
          <w:color w:val="auto"/>
        </w:rPr>
      </w:pPr>
    </w:p>
    <w:p>
      <w:pPr>
        <w:ind w:firstLine="622"/>
        <w:spacing w:after="0" w:line="233" w:lineRule="auto"/>
        <w:tabs>
          <w:tab w:leader="none" w:pos="115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Dispositions to effect the formation of any Subsidiary that is a Delaware Divided LLC, provided that upon formation of such Delaware Divided LLC, the Borrower has complied with Section 6.11, to the extent applicable; and</w:t>
      </w:r>
    </w:p>
    <w:p>
      <w:pPr>
        <w:spacing w:after="0" w:line="149" w:lineRule="exact"/>
        <w:rPr>
          <w:rFonts w:ascii="Arial" w:cs="Arial" w:eastAsia="Arial" w:hAnsi="Arial"/>
          <w:sz w:val="21"/>
          <w:szCs w:val="21"/>
          <w:color w:val="auto"/>
        </w:rPr>
      </w:pPr>
    </w:p>
    <w:p>
      <w:pPr>
        <w:ind w:firstLine="622"/>
        <w:spacing w:after="0" w:line="276" w:lineRule="auto"/>
        <w:tabs>
          <w:tab w:leader="none" w:pos="1101" w:val="left"/>
        </w:tabs>
        <w:numPr>
          <w:ilvl w:val="0"/>
          <w:numId w:val="216"/>
        </w:numPr>
        <w:rPr>
          <w:rFonts w:ascii="Arial" w:cs="Arial" w:eastAsia="Arial" w:hAnsi="Arial"/>
          <w:sz w:val="19"/>
          <w:szCs w:val="19"/>
          <w:color w:val="auto"/>
        </w:rPr>
      </w:pPr>
      <w:r>
        <w:rPr>
          <w:rFonts w:ascii="Arial" w:cs="Arial" w:eastAsia="Arial" w:hAnsi="Arial"/>
          <w:sz w:val="19"/>
          <w:szCs w:val="19"/>
          <w:color w:val="auto"/>
        </w:rPr>
        <w:t>any sale of property or assets, if the acquisition of such property or assets was financed with Excluded Contributions and the proceeds of such sale are used to make Investments or Restricted Payments pursuant to Sections 7.02(y) or 7.06(p);</w:t>
      </w:r>
    </w:p>
    <w:p>
      <w:pPr>
        <w:spacing w:after="0" w:line="116" w:lineRule="exact"/>
        <w:rPr>
          <w:sz w:val="20"/>
          <w:szCs w:val="20"/>
          <w:color w:val="auto"/>
        </w:rPr>
      </w:pPr>
    </w:p>
    <w:p>
      <w:pPr>
        <w:jc w:val="both"/>
        <w:spacing w:after="0" w:line="225"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any Disposition of any property pursuant to this Section 7.05 (except pursuant to Sections 7.05(e), (i), (k), (p), (r) and (s)</w:t>
      </w:r>
      <w:r>
        <w:rPr>
          <w:rFonts w:ascii="Arial" w:cs="Arial" w:eastAsia="Arial" w:hAnsi="Arial"/>
          <w:sz w:val="20"/>
          <w:szCs w:val="20"/>
          <w:i w:val="1"/>
          <w:iCs w:val="1"/>
          <w:color w:val="auto"/>
        </w:rPr>
        <w:t xml:space="preserve"> </w:t>
      </w:r>
      <w:r>
        <w:rPr>
          <w:rFonts w:ascii="Arial" w:cs="Arial" w:eastAsia="Arial" w:hAnsi="Arial"/>
          <w:sz w:val="20"/>
          <w:szCs w:val="20"/>
          <w:color w:val="auto"/>
        </w:rPr>
        <w:t>and except for Dispositions from a Loan Party to any other Loan Party) shall be for no less than the fair market value of such property at the time of such Disposition as determined by the Borrower in good faith. To the extent any Collateral is Disposed of as expressly permitted by this Section 7.05 to any Person other than a Loan Party, such Collateral shall be sold free and clear of the Liens created by the Loan Documents, and the Administrative Agent or the Collateral Agent, as applicable, shall be authorized to take any actions deemed appropriate in order to effect the foregoing.</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i w:val="1"/>
          <w:iCs w:val="1"/>
          <w:color w:val="auto"/>
        </w:rPr>
        <w:t>Restricted Payments</w:t>
      </w:r>
      <w:r>
        <w:rPr>
          <w:rFonts w:ascii="Arial" w:cs="Arial" w:eastAsia="Arial" w:hAnsi="Arial"/>
          <w:sz w:val="21"/>
          <w:szCs w:val="21"/>
          <w:color w:val="auto"/>
        </w:rPr>
        <w:t>. Neither the Borrower nor any of the Restricted Subsidiaries shall, directly or indirectly, declare or make any Restricted Payment, except:</w:t>
      </w:r>
    </w:p>
    <w:p>
      <w:pPr>
        <w:spacing w:after="0" w:line="150" w:lineRule="exact"/>
        <w:rPr>
          <w:sz w:val="20"/>
          <w:szCs w:val="20"/>
          <w:color w:val="auto"/>
        </w:rPr>
      </w:pPr>
    </w:p>
    <w:p>
      <w:pPr>
        <w:jc w:val="both"/>
        <w:ind w:firstLine="622"/>
        <w:spacing w:after="0" w:line="235" w:lineRule="auto"/>
        <w:tabs>
          <w:tab w:leader="none" w:pos="1187" w:val="left"/>
        </w:tabs>
        <w:numPr>
          <w:ilvl w:val="0"/>
          <w:numId w:val="217"/>
        </w:numPr>
        <w:rPr>
          <w:rFonts w:ascii="Arial" w:cs="Arial" w:eastAsia="Arial" w:hAnsi="Arial"/>
          <w:sz w:val="20"/>
          <w:szCs w:val="20"/>
          <w:color w:val="auto"/>
        </w:rPr>
      </w:pPr>
      <w:r>
        <w:rPr>
          <w:rFonts w:ascii="Arial" w:cs="Arial" w:eastAsia="Arial" w:hAnsi="Arial"/>
          <w:sz w:val="20"/>
          <w:szCs w:val="20"/>
          <w:color w:val="auto"/>
        </w:rPr>
        <w:t>each Restricted Subsidiary may make Restricted Payments to the Borrower, and other Restricted Subsidiaries of the Borrower (and, in the case of a Restricted Payment by a non-wholly owned Restricted Subsidiary, to the Borrower and any other Restricted Subsidiary, as compared to the other owners of Equity Interests in such Restricted Subsidiary, on a pro rata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192</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316" w:lineRule="exact"/>
        <w:rPr>
          <w:sz w:val="20"/>
          <w:szCs w:val="20"/>
          <w:color w:val="auto"/>
        </w:rPr>
      </w:pPr>
    </w:p>
    <w:p>
      <w:pPr>
        <w:spacing w:after="0"/>
        <w:rPr>
          <w:sz w:val="20"/>
          <w:szCs w:val="20"/>
          <w:color w:val="auto"/>
        </w:rPr>
      </w:pPr>
      <w:r>
        <w:rPr>
          <w:rFonts w:ascii="Arial" w:cs="Arial" w:eastAsia="Arial" w:hAnsi="Arial"/>
          <w:sz w:val="21"/>
          <w:szCs w:val="21"/>
          <w:color w:val="auto"/>
        </w:rPr>
        <w:t>more than pro rata basis based on their relative ownership interests of the relevant class of Equity Interests);</w:t>
      </w:r>
    </w:p>
    <w:p>
      <w:pPr>
        <w:spacing w:after="0" w:line="171" w:lineRule="exact"/>
        <w:rPr>
          <w:sz w:val="20"/>
          <w:szCs w:val="20"/>
          <w:color w:val="auto"/>
        </w:rPr>
      </w:pPr>
    </w:p>
    <w:p>
      <w:pPr>
        <w:ind w:firstLine="622"/>
        <w:spacing w:after="0" w:line="233" w:lineRule="auto"/>
        <w:tabs>
          <w:tab w:leader="none" w:pos="1161"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the Borrower and each Restricted Subsidiary may declare and make Restricted Payments payable solely in the Equity Interests (other than Disqualified Equity Interests not otherwise permitted by Section 7.03) of such Person;</w:t>
      </w:r>
    </w:p>
    <w:p>
      <w:pPr>
        <w:spacing w:after="0" w:line="149" w:lineRule="exact"/>
        <w:rPr>
          <w:rFonts w:ascii="Arial" w:cs="Arial" w:eastAsia="Arial" w:hAnsi="Arial"/>
          <w:sz w:val="21"/>
          <w:szCs w:val="21"/>
          <w:color w:val="auto"/>
        </w:rPr>
      </w:pPr>
    </w:p>
    <w:p>
      <w:pPr>
        <w:ind w:left="1060" w:hanging="438"/>
        <w:spacing w:after="0"/>
        <w:tabs>
          <w:tab w:leader="none" w:pos="106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[reserved];</w:t>
      </w:r>
    </w:p>
    <w:p>
      <w:pPr>
        <w:spacing w:after="0" w:line="171" w:lineRule="exact"/>
        <w:rPr>
          <w:rFonts w:ascii="Arial" w:cs="Arial" w:eastAsia="Arial" w:hAnsi="Arial"/>
          <w:sz w:val="21"/>
          <w:szCs w:val="21"/>
          <w:color w:val="auto"/>
        </w:rPr>
      </w:pPr>
    </w:p>
    <w:p>
      <w:pPr>
        <w:jc w:val="both"/>
        <w:ind w:firstLine="622"/>
        <w:spacing w:after="0" w:line="224" w:lineRule="auto"/>
        <w:tabs>
          <w:tab w:leader="none" w:pos="1106" w:val="left"/>
        </w:tabs>
        <w:numPr>
          <w:ilvl w:val="0"/>
          <w:numId w:val="218"/>
        </w:numPr>
        <w:rPr>
          <w:rFonts w:ascii="Arial" w:cs="Arial" w:eastAsia="Arial" w:hAnsi="Arial"/>
          <w:sz w:val="21"/>
          <w:szCs w:val="21"/>
          <w:color w:val="auto"/>
        </w:rPr>
      </w:pPr>
      <w:r>
        <w:rPr>
          <w:rFonts w:ascii="Arial" w:cs="Arial" w:eastAsia="Arial" w:hAnsi="Arial"/>
          <w:sz w:val="21"/>
          <w:szCs w:val="21"/>
          <w:color w:val="auto"/>
        </w:rPr>
        <w:t>so long as no Event of Default has occurred and is continuing or would result therefrom, the Borrower and its Restricted Subsidiaries may make Restricted Payments in an unlimited amount so long as the Consolidated Total Net Leverage Ratio calculated on a Pro Forma Basis is less than or equal to 2.75 to 1.00;</w:t>
      </w:r>
    </w:p>
    <w:p>
      <w:pPr>
        <w:spacing w:after="0" w:line="148" w:lineRule="exact"/>
        <w:rPr>
          <w:rFonts w:ascii="Arial" w:cs="Arial" w:eastAsia="Arial" w:hAnsi="Arial"/>
          <w:sz w:val="21"/>
          <w:szCs w:val="21"/>
          <w:color w:val="auto"/>
        </w:rPr>
      </w:pPr>
    </w:p>
    <w:p>
      <w:pPr>
        <w:jc w:val="both"/>
        <w:ind w:firstLine="622"/>
        <w:spacing w:after="0" w:line="224" w:lineRule="auto"/>
        <w:tabs>
          <w:tab w:leader="none" w:pos="1277"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to the extent constituting Restricted Payments, the Borrower and its Restricted Subsidiaries may enter into and consummate transactions expressly permitted by any provision of Sections 7.02 (other than Sections 7.02(e) and (m)), 7.04 or 7.08 (other than Sections 7.08(e) and (j));</w:t>
      </w:r>
    </w:p>
    <w:p>
      <w:pPr>
        <w:spacing w:after="0" w:line="148" w:lineRule="exact"/>
        <w:rPr>
          <w:rFonts w:ascii="Arial" w:cs="Arial" w:eastAsia="Arial" w:hAnsi="Arial"/>
          <w:sz w:val="21"/>
          <w:szCs w:val="21"/>
          <w:color w:val="auto"/>
        </w:rPr>
      </w:pPr>
    </w:p>
    <w:p>
      <w:pPr>
        <w:jc w:val="both"/>
        <w:ind w:firstLine="622"/>
        <w:spacing w:after="0" w:line="224" w:lineRule="auto"/>
        <w:tabs>
          <w:tab w:leader="none" w:pos="1038" w:val="left"/>
        </w:tabs>
        <w:numPr>
          <w:ilvl w:val="0"/>
          <w:numId w:val="218"/>
        </w:numPr>
        <w:rPr>
          <w:rFonts w:ascii="Arial" w:cs="Arial" w:eastAsia="Arial" w:hAnsi="Arial"/>
          <w:sz w:val="21"/>
          <w:szCs w:val="21"/>
          <w:color w:val="auto"/>
        </w:rPr>
      </w:pPr>
      <w:r>
        <w:rPr>
          <w:rFonts w:ascii="Arial" w:cs="Arial" w:eastAsia="Arial" w:hAnsi="Arial"/>
          <w:sz w:val="21"/>
          <w:szCs w:val="21"/>
          <w:color w:val="auto"/>
        </w:rPr>
        <w:t>repurchases of Equity Interests in the Borrower (or any direct or indirect parent thereof) or any Restricted Subsidiary of the Borrower deemed to occur upon exercise of stock options or warrants if such Equity Interests represent a portion of the exercise price of such options or warrants;</w:t>
      </w:r>
    </w:p>
    <w:p>
      <w:pPr>
        <w:spacing w:after="0" w:line="148" w:lineRule="exact"/>
        <w:rPr>
          <w:rFonts w:ascii="Arial" w:cs="Arial" w:eastAsia="Arial" w:hAnsi="Arial"/>
          <w:sz w:val="21"/>
          <w:szCs w:val="21"/>
          <w:color w:val="auto"/>
        </w:rPr>
      </w:pPr>
    </w:p>
    <w:p>
      <w:pPr>
        <w:jc w:val="both"/>
        <w:ind w:firstLine="622"/>
        <w:spacing w:after="0" w:line="244" w:lineRule="auto"/>
        <w:tabs>
          <w:tab w:leader="none" w:pos="111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Borrower and each Restricted Subsidiary may pay (or make Restricted Payments to allow the Borrower or any other direct or indirect parent thereof to pay) for the repurchase, retirement or other acquisition or retirement for value of Equity Interests of such Restricted Subsidiary (or of the Borrower or any other such direct or indirect parent thereof) from any future, present or former employee, officer, director, manager, member, partner, independent contractor or consultant (or their respective Controlled Investment Affiliates or Immediate Family Members) of such Restricted Subsidiary (or the Borrower or any other direct or indirect parent of such Restricted Subsidiary) or any of its Subsidiaries upon the death, disability, retirement or termination of employment of any such Person or pursuant to any employee or director equity plan, employee, manager, officer, member, partner, independent contractor or director stock option plan or any other employee, manager, officer, member, partner, independent contractor or director benefit plan or any agreement (including any stock subscription or shareholder agreement) with any employee, manager, director, officer, member, partner, independent contractor or consultant of such Restricted Subsidiary (or the Borrower or any other direct or indirect parent thereof)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Restricted Payments made pursuant to this clause (g) shall not exceed $25,000,000 (with unused amounts in any calendar year being carried over to succeeding calendar years subject to a maximum of $50,000,000);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such amount in any calendar year may be increased by an amount not to exceed:</w:t>
      </w:r>
    </w:p>
    <w:p>
      <w:pPr>
        <w:spacing w:after="0" w:line="152" w:lineRule="exact"/>
        <w:rPr>
          <w:rFonts w:ascii="Arial" w:cs="Arial" w:eastAsia="Arial" w:hAnsi="Arial"/>
          <w:sz w:val="18"/>
          <w:szCs w:val="18"/>
          <w:color w:val="auto"/>
        </w:rPr>
      </w:pPr>
    </w:p>
    <w:p>
      <w:pPr>
        <w:jc w:val="both"/>
        <w:ind w:left="620" w:firstLine="621"/>
        <w:spacing w:after="0" w:line="224" w:lineRule="auto"/>
        <w:tabs>
          <w:tab w:leader="none" w:pos="1771" w:val="left"/>
        </w:tabs>
        <w:numPr>
          <w:ilvl w:val="1"/>
          <w:numId w:val="218"/>
        </w:numPr>
        <w:rPr>
          <w:rFonts w:ascii="Arial" w:cs="Arial" w:eastAsia="Arial" w:hAnsi="Arial"/>
          <w:sz w:val="21"/>
          <w:szCs w:val="21"/>
          <w:color w:val="auto"/>
        </w:rPr>
      </w:pPr>
      <w:r>
        <w:rPr>
          <w:rFonts w:ascii="Arial" w:cs="Arial" w:eastAsia="Arial" w:hAnsi="Arial"/>
          <w:sz w:val="21"/>
          <w:szCs w:val="21"/>
          <w:color w:val="auto"/>
        </w:rPr>
        <w:t>to the extent contributed to the Borrower, the net cash proceeds from the sale of Equity Interests (other than Disqualified Equity Interests or Designated Equity Contributions) of any of the Borrower’s direct or indirect parent companies,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193</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316" w:lineRule="exact"/>
        <w:rPr>
          <w:sz w:val="20"/>
          <w:szCs w:val="20"/>
          <w:color w:val="auto"/>
        </w:rPr>
      </w:pPr>
    </w:p>
    <w:p>
      <w:pPr>
        <w:jc w:val="both"/>
        <w:ind w:left="620" w:firstLine="6"/>
        <w:spacing w:after="0" w:line="243" w:lineRule="auto"/>
        <w:rPr>
          <w:sz w:val="20"/>
          <w:szCs w:val="20"/>
          <w:color w:val="auto"/>
        </w:rPr>
      </w:pPr>
      <w:r>
        <w:rPr>
          <w:rFonts w:ascii="Arial" w:cs="Arial" w:eastAsia="Arial" w:hAnsi="Arial"/>
          <w:sz w:val="19"/>
          <w:szCs w:val="19"/>
          <w:color w:val="auto"/>
        </w:rPr>
        <w:t>to any future, present or former employees, officers, members of management, managers, partners, independent contractors, directors or consultants (or their respective Controlled Investment Affiliates or Immediate Family Members) of the Borrower, any of its Subsidiaries or any of its direct or indirect parent companies that occurs after the Restatement Date, to the extent net cash proceeds from the sale of such Equity Interests have been Not Otherwise Applied; plus</w:t>
      </w:r>
    </w:p>
    <w:p>
      <w:pPr>
        <w:spacing w:after="0" w:line="146" w:lineRule="exact"/>
        <w:rPr>
          <w:sz w:val="20"/>
          <w:szCs w:val="20"/>
          <w:color w:val="auto"/>
        </w:rPr>
      </w:pPr>
    </w:p>
    <w:p>
      <w:pPr>
        <w:ind w:left="1760" w:hanging="519"/>
        <w:spacing w:after="0"/>
        <w:tabs>
          <w:tab w:leader="none" w:pos="176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net cash proceeds of key man life insurance policies received by the Borrower or its Restricted Subsidiaries;</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less</w:t>
      </w:r>
    </w:p>
    <w:p>
      <w:pPr>
        <w:spacing w:after="0" w:line="153" w:lineRule="exact"/>
        <w:rPr>
          <w:sz w:val="20"/>
          <w:szCs w:val="20"/>
          <w:color w:val="auto"/>
        </w:rPr>
      </w:pPr>
    </w:p>
    <w:p>
      <w:pPr>
        <w:ind w:left="620" w:firstLine="621"/>
        <w:spacing w:after="0" w:line="233" w:lineRule="auto"/>
        <w:tabs>
          <w:tab w:leader="none" w:pos="1768" w:val="left"/>
        </w:tabs>
        <w:numPr>
          <w:ilvl w:val="1"/>
          <w:numId w:val="220"/>
        </w:numPr>
        <w:rPr>
          <w:rFonts w:ascii="Arial" w:cs="Arial" w:eastAsia="Arial" w:hAnsi="Arial"/>
          <w:sz w:val="21"/>
          <w:szCs w:val="21"/>
          <w:color w:val="auto"/>
        </w:rPr>
      </w:pPr>
      <w:r>
        <w:rPr>
          <w:rFonts w:ascii="Arial" w:cs="Arial" w:eastAsia="Arial" w:hAnsi="Arial"/>
          <w:sz w:val="21"/>
          <w:szCs w:val="21"/>
          <w:color w:val="auto"/>
        </w:rPr>
        <w:t>the amount of any Restricted Payments previously made with the cash proceeds described in clauses (i) and (ii) of this Section 7.06(g);</w:t>
      </w:r>
    </w:p>
    <w:p>
      <w:pPr>
        <w:spacing w:after="0" w:line="149" w:lineRule="exact"/>
        <w:rPr>
          <w:rFonts w:ascii="Arial" w:cs="Arial" w:eastAsia="Arial" w:hAnsi="Arial"/>
          <w:sz w:val="21"/>
          <w:szCs w:val="21"/>
          <w:color w:val="auto"/>
        </w:rPr>
      </w:pPr>
    </w:p>
    <w:p>
      <w:pPr>
        <w:jc w:val="both"/>
        <w:ind w:firstLine="622"/>
        <w:spacing w:after="0" w:line="239" w:lineRule="auto"/>
        <w:tabs>
          <w:tab w:leader="none" w:pos="110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Borrower may make Restricted Payments in an aggregate amount not to exceed, when combined with prepayment of Indebtedness pursuant to Section 7.13(a)(v), (x) the greater of (i) $100,000,000 and (ii) 40% of LTM Consolidated EBITDA, plus (y) subject to, solely in the case of the portion of the Cumulative Credit attributable to clause (b) thereof, no Event of Default under Sections 8.01(a) or (f) with respect to the Borrower having occurred and continuing or resulting therefrom, the portion, if any, of the Cumulative Credit on such date that the Borrower elects to apply to this paragraph;</w:t>
      </w:r>
    </w:p>
    <w:p>
      <w:pPr>
        <w:spacing w:after="0" w:line="149" w:lineRule="exact"/>
        <w:rPr>
          <w:rFonts w:ascii="Arial" w:cs="Arial" w:eastAsia="Arial" w:hAnsi="Arial"/>
          <w:sz w:val="19"/>
          <w:szCs w:val="19"/>
          <w:color w:val="auto"/>
        </w:rPr>
      </w:pPr>
    </w:p>
    <w:p>
      <w:pPr>
        <w:ind w:left="1020" w:hanging="398"/>
        <w:spacing w:after="0"/>
        <w:tabs>
          <w:tab w:leader="none" w:pos="102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Borrower may make Restricted Payments to any direct or indirect parent of the Borrower:</w:t>
      </w:r>
    </w:p>
    <w:p>
      <w:pPr>
        <w:spacing w:after="0" w:line="171" w:lineRule="exact"/>
        <w:rPr>
          <w:rFonts w:ascii="Arial" w:cs="Arial" w:eastAsia="Arial" w:hAnsi="Arial"/>
          <w:sz w:val="21"/>
          <w:szCs w:val="21"/>
          <w:color w:val="auto"/>
        </w:rPr>
      </w:pPr>
    </w:p>
    <w:p>
      <w:pPr>
        <w:jc w:val="both"/>
        <w:ind w:left="620" w:firstLine="621"/>
        <w:spacing w:after="0" w:line="221" w:lineRule="auto"/>
        <w:tabs>
          <w:tab w:leader="none" w:pos="1751" w:val="left"/>
        </w:tabs>
        <w:numPr>
          <w:ilvl w:val="1"/>
          <w:numId w:val="221"/>
        </w:numPr>
        <w:rPr>
          <w:rFonts w:ascii="Arial" w:cs="Arial" w:eastAsia="Arial" w:hAnsi="Arial"/>
          <w:sz w:val="20"/>
          <w:szCs w:val="20"/>
          <w:color w:val="auto"/>
        </w:rPr>
      </w:pPr>
      <w:r>
        <w:rPr>
          <w:rFonts w:ascii="Arial" w:cs="Arial" w:eastAsia="Arial" w:hAnsi="Arial"/>
          <w:sz w:val="20"/>
          <w:szCs w:val="20"/>
          <w:color w:val="auto"/>
        </w:rPr>
        <w:t>to pay its organizational, operating costs and other costs and expenses (including, without limitation, expenses related to auditing or other accounting or tax reporting matters) incurred in the ordinary course of business and other corporate overhead costs and expenses (including administrative, legal, accounting and similar expenses provided by third parties), which are reasonable and customary and incurred in the ordinary course of business and attributable to the ownership or operations of Holdings, the Borrower and its Restricted Subsidiaries, any costs, expenses and liabilities incurred by the Borrower in connection with any litigation or arbitration attributable to the ownership or operations of Holdings, the Borrower and its Restricted Subsidiaries, Transaction Expenses and any reasonable and customary indemnification claims made by directors, managers or officers of such parent attributable to the ownership or operations of Holdings, the Borrower and its Restricted Subsidiaries;</w:t>
      </w:r>
    </w:p>
    <w:p>
      <w:pPr>
        <w:spacing w:after="0" w:line="157" w:lineRule="exact"/>
        <w:rPr>
          <w:sz w:val="20"/>
          <w:szCs w:val="20"/>
          <w:color w:val="auto"/>
        </w:rPr>
      </w:pPr>
    </w:p>
    <w:p>
      <w:pPr>
        <w:ind w:left="620" w:firstLine="621"/>
        <w:spacing w:after="0" w:line="233" w:lineRule="auto"/>
        <w:tabs>
          <w:tab w:leader="none" w:pos="1714"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proceeds of which shall be used by such parent to pay franchise Taxes and other fees and expenses, required to maintain its (or any of its direct or indirect parents’) corporate existence;</w:t>
      </w:r>
    </w:p>
    <w:p>
      <w:pPr>
        <w:spacing w:after="0" w:line="149" w:lineRule="exact"/>
        <w:rPr>
          <w:rFonts w:ascii="Arial" w:cs="Arial" w:eastAsia="Arial" w:hAnsi="Arial"/>
          <w:sz w:val="21"/>
          <w:szCs w:val="21"/>
          <w:color w:val="auto"/>
        </w:rPr>
      </w:pPr>
    </w:p>
    <w:p>
      <w:pPr>
        <w:jc w:val="both"/>
        <w:ind w:left="620" w:firstLine="621"/>
        <w:spacing w:after="0" w:line="219" w:lineRule="auto"/>
        <w:tabs>
          <w:tab w:leader="none" w:pos="1886" w:val="left"/>
        </w:tabs>
        <w:numPr>
          <w:ilvl w:val="0"/>
          <w:numId w:val="222"/>
        </w:numPr>
        <w:rPr>
          <w:rFonts w:ascii="Arial" w:cs="Arial" w:eastAsia="Arial" w:hAnsi="Arial"/>
          <w:sz w:val="21"/>
          <w:szCs w:val="21"/>
          <w:color w:val="auto"/>
        </w:rPr>
      </w:pPr>
      <w:r>
        <w:rPr>
          <w:rFonts w:ascii="Arial" w:cs="Arial" w:eastAsia="Arial" w:hAnsi="Arial"/>
          <w:sz w:val="21"/>
          <w:szCs w:val="21"/>
          <w:color w:val="auto"/>
        </w:rPr>
        <w:t>for any taxable period in which the Borrower and/or any of its Subsidiaries is a member of a consolidated, combined, unitary or similar U.S. federal, state, local and/or foreign income or similar tax group (a “</w:t>
      </w:r>
      <w:r>
        <w:rPr>
          <w:rFonts w:ascii="Arial" w:cs="Arial" w:eastAsia="Arial" w:hAnsi="Arial"/>
          <w:sz w:val="21"/>
          <w:szCs w:val="21"/>
          <w:b w:val="1"/>
          <w:bCs w:val="1"/>
          <w:color w:val="auto"/>
        </w:rPr>
        <w:t>Tax Group</w:t>
      </w:r>
      <w:r>
        <w:rPr>
          <w:rFonts w:ascii="Arial" w:cs="Arial" w:eastAsia="Arial" w:hAnsi="Arial"/>
          <w:sz w:val="21"/>
          <w:szCs w:val="21"/>
          <w:color w:val="auto"/>
        </w:rPr>
        <w:t>”) whose common parent is a direct or indirect parent of Borrower, to pay any consolidated, combined, unitary or similar U.S. federal, state, local and/or foreign Taxes of such Tax Group, as applicable,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194</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316" w:lineRule="exact"/>
        <w:rPr>
          <w:sz w:val="20"/>
          <w:szCs w:val="20"/>
          <w:color w:val="auto"/>
        </w:rPr>
      </w:pPr>
    </w:p>
    <w:p>
      <w:pPr>
        <w:jc w:val="both"/>
        <w:ind w:firstLine="6"/>
        <w:spacing w:after="0" w:line="230" w:lineRule="auto"/>
        <w:rPr>
          <w:sz w:val="20"/>
          <w:szCs w:val="20"/>
          <w:color w:val="auto"/>
        </w:rPr>
      </w:pPr>
      <w:r>
        <w:rPr>
          <w:rFonts w:ascii="Arial" w:cs="Arial" w:eastAsia="Arial" w:hAnsi="Arial"/>
          <w:sz w:val="19"/>
          <w:szCs w:val="19"/>
          <w:color w:val="auto"/>
        </w:rPr>
        <w:t xml:space="preserve">attributable to the taxable income, revenue, receipts, gross receipts, gross profits, capital or margin of the Borrower and/or its applicable Subsidiaries; </w:t>
      </w:r>
      <w:r>
        <w:rPr>
          <w:rFonts w:ascii="Arial" w:cs="Arial" w:eastAsia="Arial" w:hAnsi="Arial"/>
          <w:sz w:val="19"/>
          <w:szCs w:val="19"/>
          <w:i w:val="1"/>
          <w:iCs w:val="1"/>
          <w:color w:val="auto"/>
        </w:rPr>
        <w:t>provided</w:t>
      </w:r>
      <w:r>
        <w:rPr>
          <w:rFonts w:ascii="Arial" w:cs="Arial" w:eastAsia="Arial" w:hAnsi="Arial"/>
          <w:sz w:val="19"/>
          <w:szCs w:val="19"/>
          <w:color w:val="auto"/>
        </w:rPr>
        <w:t>, that, (A) for each taxable period, the amount of such payments made in respect of such taxable period in the aggregate shall not exceed the amount of such Taxes that the Borrower and/or its applicable Subsidiaries would have been required to pay if they were a stand-alone taxpayer or a stand-alone Tax Group consisting only of the Borrower and such Subsidiaries for all relevant periods, reduced, in all cases, by any such Taxes directly paid by the Borrower or any of its Subsidiaries and (B) the payment otherwise permitted pursuant to this clause (iii) with respect to any Taxes attributable to the taxable income, revenue, receipts, gross receipts, gross profits, capital or margin of any Unrestricted Subsidiary shall be limited to the amount actually paid with respect to such taxable period by such Unrestricted Subsidiary to the Borrower or its Restricted Subsidiaries for the purposes of paying such consolidated, combined, unitary or similar Taxes, (C) with respect to any taxable year ended prior to January 1, 2021, payments pursuant to this clause (iii) shall be permitted only to the extent relating to Tax adjustments as a result of audits or other Tax proceedings, or as otherwise required by Law, that in each case arise after the Restatement Date and (D) with respect to the taxable years ending after December 31, 2020 and on or prior to December 31, 2022, payments pursuant to this clause (iii) shall be reduced by the amount of any estimated Tax payments in respect of such years that were made by the Borrower or any of its Subsidiaries (or for which the Borrower or any of its Subsidiaries made Tax distributions) prior to the Restatement Date;</w:t>
      </w:r>
    </w:p>
    <w:p>
      <w:pPr>
        <w:spacing w:after="0" w:line="160" w:lineRule="exact"/>
        <w:rPr>
          <w:sz w:val="20"/>
          <w:szCs w:val="20"/>
          <w:color w:val="auto"/>
        </w:rPr>
      </w:pPr>
    </w:p>
    <w:p>
      <w:pPr>
        <w:jc w:val="both"/>
        <w:ind w:firstLine="621"/>
        <w:spacing w:after="0" w:line="213" w:lineRule="auto"/>
        <w:tabs>
          <w:tab w:leader="none" w:pos="1123"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xml:space="preserve">to finance any Investment that would be permitted to be made pursuant to Section 7.02 (other than Section 7.02(e)) if such parent were subject to such Section 7.02;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such Restricted Payment shall be made substantially concurrently with the closing of such Investment and (B) such parent shall, immediately following the closing thereof, cause (1) all property acquired (whether assets or Equity Interests) to be contributed to the Borrower or the Restricted Subsidiaries or (2) the merger (to the extent permitted in Section 7.04) of the Person formed or acquired into the Borrower or its Restricted Subsidiaries in order to consummate such Permitted Acquisition or Investment, in each case, in accordance with the requirements of Section 6.11;</w:t>
      </w:r>
    </w:p>
    <w:p>
      <w:pPr>
        <w:spacing w:after="0" w:line="149" w:lineRule="exact"/>
        <w:rPr>
          <w:rFonts w:ascii="Arial" w:cs="Arial" w:eastAsia="Arial" w:hAnsi="Arial"/>
          <w:sz w:val="21"/>
          <w:szCs w:val="21"/>
          <w:color w:val="auto"/>
        </w:rPr>
      </w:pPr>
    </w:p>
    <w:p>
      <w:pPr>
        <w:jc w:val="both"/>
        <w:ind w:firstLine="621"/>
        <w:spacing w:after="0" w:line="243" w:lineRule="auto"/>
        <w:tabs>
          <w:tab w:leader="none" w:pos="1075"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proceeds of which shall be used to pay customary salary, bonus, indemnity and other benefits payable to future, present or former officers, directors, managers, members, partners, independent contractors, consultants or employees of Holdings, the Borrower or any direct or indirect parent company of the Borrower to the extent such salaries, bonuses, indemnity and other benefits are attributable to the ownership or operation of the Borrower and the Restricted Subsidiaries;</w:t>
      </w:r>
    </w:p>
    <w:p>
      <w:pPr>
        <w:spacing w:after="0" w:line="146" w:lineRule="exact"/>
        <w:rPr>
          <w:rFonts w:ascii="Arial" w:cs="Arial" w:eastAsia="Arial" w:hAnsi="Arial"/>
          <w:sz w:val="19"/>
          <w:szCs w:val="19"/>
          <w:color w:val="auto"/>
        </w:rPr>
      </w:pPr>
    </w:p>
    <w:p>
      <w:pPr>
        <w:jc w:val="both"/>
        <w:ind w:firstLine="621"/>
        <w:spacing w:after="0" w:line="219" w:lineRule="auto"/>
        <w:tabs>
          <w:tab w:leader="none" w:pos="114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the proceeds of which shall be used by Holdings or the Borrower to pay (or to make Restricted Payments to allow any direct or indirect parent thereof to pay) fees and expenses (other than to Affiliates) related to any equity or debt offering, financing transaction, acquisition, divestiture, investment or other non-ordinary course transaction not prohibited by this Agreement (whether or not successful); provided that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195</w:t>
      </w:r>
    </w:p>
    <w:p>
      <w:pPr>
        <w:sectPr>
          <w:pgSz w:w="11900" w:h="16838" w:orient="portrait"/>
          <w:cols w:equalWidth="0" w:num="1">
            <w:col w:w="10620"/>
          </w:cols>
          <w:pgMar w:left="940" w:top="1440" w:right="339" w:bottom="1440" w:gutter="0" w:footer="0" w:header="0"/>
        </w:sectPr>
      </w:pPr>
    </w:p>
    <w:bookmarkStart w:id="243" w:name="page244"/>
    <w:bookmarkEnd w:id="243"/>
    <w:p>
      <w:pPr>
        <w:spacing w:after="0" w:line="316" w:lineRule="exact"/>
        <w:rPr>
          <w:sz w:val="20"/>
          <w:szCs w:val="20"/>
          <w:color w:val="auto"/>
        </w:rPr>
      </w:pPr>
    </w:p>
    <w:p>
      <w:pPr>
        <w:ind w:left="620" w:firstLine="6"/>
        <w:spacing w:after="0" w:line="233" w:lineRule="auto"/>
        <w:rPr>
          <w:sz w:val="20"/>
          <w:szCs w:val="20"/>
          <w:color w:val="auto"/>
        </w:rPr>
      </w:pPr>
      <w:r>
        <w:rPr>
          <w:rFonts w:ascii="Arial" w:cs="Arial" w:eastAsia="Arial" w:hAnsi="Arial"/>
          <w:sz w:val="21"/>
          <w:szCs w:val="21"/>
          <w:color w:val="auto"/>
        </w:rPr>
        <w:t>transaction was in the good faith judgment of the Borrower intended to be for the benefit of the Borrower and its Restricted Subsidiaries; and</w:t>
      </w:r>
    </w:p>
    <w:p>
      <w:pPr>
        <w:spacing w:after="0" w:line="150" w:lineRule="exact"/>
        <w:rPr>
          <w:sz w:val="20"/>
          <w:szCs w:val="20"/>
          <w:color w:val="auto"/>
        </w:rPr>
      </w:pPr>
    </w:p>
    <w:p>
      <w:pPr>
        <w:jc w:val="both"/>
        <w:ind w:left="620" w:firstLine="698"/>
        <w:spacing w:after="0" w:line="225" w:lineRule="auto"/>
        <w:tabs>
          <w:tab w:leader="none" w:pos="2007" w:val="left"/>
        </w:tabs>
        <w:numPr>
          <w:ilvl w:val="1"/>
          <w:numId w:val="224"/>
        </w:numPr>
        <w:rPr>
          <w:rFonts w:ascii="Arial" w:cs="Arial" w:eastAsia="Arial" w:hAnsi="Arial"/>
          <w:sz w:val="20"/>
          <w:szCs w:val="20"/>
          <w:color w:val="auto"/>
        </w:rPr>
      </w:pPr>
      <w:r>
        <w:rPr>
          <w:rFonts w:ascii="Arial" w:cs="Arial" w:eastAsia="Arial" w:hAnsi="Arial"/>
          <w:sz w:val="20"/>
          <w:szCs w:val="20"/>
          <w:color w:val="auto"/>
        </w:rPr>
        <w:t>the proceeds of which shall be used by Holdings or the Borrower to pay (or to make Restricted Payments to allow any direct or indirect parent thereof to pay) amounts payable pursuant to the Support and Services Agreement (including any amendment thereto or replacement thereof so long as any such amendment or replacement is not materially disadvantageous in the good faith judgment of the Borrower to the Lenders when taken as a whole, as compared to the Support and Services Agreement as in effect immediately prior to such amendment or replacement ), solely to the extent such amounts are not paid directly by the Borrower or its Subsidiaries;</w:t>
      </w:r>
    </w:p>
    <w:p>
      <w:pPr>
        <w:spacing w:after="0" w:line="150" w:lineRule="exact"/>
        <w:rPr>
          <w:rFonts w:ascii="Arial" w:cs="Arial" w:eastAsia="Arial" w:hAnsi="Arial"/>
          <w:sz w:val="20"/>
          <w:szCs w:val="20"/>
          <w:color w:val="auto"/>
        </w:rPr>
      </w:pPr>
    </w:p>
    <w:p>
      <w:pPr>
        <w:jc w:val="both"/>
        <w:ind w:firstLine="622"/>
        <w:spacing w:after="0" w:line="225" w:lineRule="auto"/>
        <w:tabs>
          <w:tab w:leader="none" w:pos="1141" w:val="left"/>
        </w:tabs>
        <w:numPr>
          <w:ilvl w:val="0"/>
          <w:numId w:val="225"/>
        </w:numPr>
        <w:rPr>
          <w:rFonts w:ascii="Arial" w:cs="Arial" w:eastAsia="Arial" w:hAnsi="Arial"/>
          <w:sz w:val="20"/>
          <w:szCs w:val="20"/>
          <w:color w:val="auto"/>
        </w:rPr>
      </w:pPr>
      <w:r>
        <w:rPr>
          <w:rFonts w:ascii="Arial" w:cs="Arial" w:eastAsia="Arial" w:hAnsi="Arial"/>
          <w:sz w:val="20"/>
          <w:szCs w:val="20"/>
          <w:color w:val="auto"/>
        </w:rPr>
        <w:t>payments made or expected to be made by the Borrower or any of the Restricted Subsidiaries in respect of required withholding or similar Taxes payable upon or in connection with the exercise or vesting of Equity Interests or any other equity award with respect to any future, present or former employee, director, manager, officer, partner, independent consultant or consultant (or their respective Controlled Investment Affiliates and Immediate Family Members) and any repurchases or withholdings of Equity Interests in consideration of such payments, in each case in connection with the exercise or vesting of stock options, warrants or the issuance of restricted stock units or similar stock based awards;</w:t>
      </w:r>
    </w:p>
    <w:p>
      <w:pPr>
        <w:spacing w:after="0" w:line="150" w:lineRule="exact"/>
        <w:rPr>
          <w:rFonts w:ascii="Arial" w:cs="Arial" w:eastAsia="Arial" w:hAnsi="Arial"/>
          <w:sz w:val="20"/>
          <w:szCs w:val="20"/>
          <w:color w:val="auto"/>
        </w:rPr>
      </w:pPr>
    </w:p>
    <w:p>
      <w:pPr>
        <w:jc w:val="both"/>
        <w:ind w:firstLine="622"/>
        <w:spacing w:after="0" w:line="230" w:lineRule="auto"/>
        <w:tabs>
          <w:tab w:leader="none" w:pos="1124"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Borrower or any Restricted Subsidiary may (i) pay cash in lieu of fractional Equity Interests in connection with any dividend, distribution, split, merger, consolidation, amalgamation or combination thereof or any Permitted Acquisition and (ii) honor any conversion request by a holder of convertible Indebtedness and make cash payments in lieu of fractional shares in connection with any such conversion and may make payments on convertible Indebtedness in accordance with its terms;</w:t>
      </w:r>
    </w:p>
    <w:p>
      <w:pPr>
        <w:spacing w:after="0" w:line="149" w:lineRule="exact"/>
        <w:rPr>
          <w:rFonts w:ascii="Arial" w:cs="Arial" w:eastAsia="Arial" w:hAnsi="Arial"/>
          <w:sz w:val="20"/>
          <w:szCs w:val="20"/>
          <w:color w:val="auto"/>
        </w:rPr>
      </w:pPr>
    </w:p>
    <w:p>
      <w:pPr>
        <w:jc w:val="both"/>
        <w:ind w:firstLine="622"/>
        <w:spacing w:after="0" w:line="239" w:lineRule="auto"/>
        <w:tabs>
          <w:tab w:leader="none" w:pos="1036" w:val="left"/>
        </w:tabs>
        <w:numPr>
          <w:ilvl w:val="0"/>
          <w:numId w:val="225"/>
        </w:numPr>
        <w:rPr>
          <w:rFonts w:ascii="Arial" w:cs="Arial" w:eastAsia="Arial" w:hAnsi="Arial"/>
          <w:sz w:val="19"/>
          <w:szCs w:val="19"/>
          <w:color w:val="auto"/>
        </w:rPr>
      </w:pPr>
      <w:r>
        <w:rPr>
          <w:rFonts w:ascii="Arial" w:cs="Arial" w:eastAsia="Arial" w:hAnsi="Arial"/>
          <w:sz w:val="19"/>
          <w:szCs w:val="19"/>
          <w:color w:val="auto"/>
        </w:rPr>
        <w:t>so long as no Event of Default has occurred and is continuing or would result therefrom, (i) any Restricted Payment by the Borrower or any other direct or indirect parent of the Borrower to pay listing fees and other costs and expenses attributable to being a publicly traded company which are reasonable and customary and (ii) Restricted Payments not to exceed up to the sum of (A) up to 6.00% per annum of the net proceeds received by (or contributed to) the Borrower and its Restricted Subsidiaries from such Qualified IPO and (B) Restricted Payments in an aggregate amount per annum not to exceed 7.00% of Market Capitalization;</w:t>
      </w:r>
    </w:p>
    <w:p>
      <w:pPr>
        <w:spacing w:after="0" w:line="149" w:lineRule="exact"/>
        <w:rPr>
          <w:rFonts w:ascii="Arial" w:cs="Arial" w:eastAsia="Arial" w:hAnsi="Arial"/>
          <w:sz w:val="19"/>
          <w:szCs w:val="19"/>
          <w:color w:val="auto"/>
        </w:rPr>
      </w:pPr>
    </w:p>
    <w:p>
      <w:pPr>
        <w:ind w:left="1120" w:hanging="498"/>
        <w:spacing w:after="0"/>
        <w:tabs>
          <w:tab w:leader="none" w:pos="112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distributions or payments of Securitization Fees;</w:t>
      </w:r>
    </w:p>
    <w:p>
      <w:pPr>
        <w:spacing w:after="0" w:line="171" w:lineRule="exact"/>
        <w:rPr>
          <w:rFonts w:ascii="Arial" w:cs="Arial" w:eastAsia="Arial" w:hAnsi="Arial"/>
          <w:sz w:val="21"/>
          <w:szCs w:val="21"/>
          <w:color w:val="auto"/>
        </w:rPr>
      </w:pPr>
    </w:p>
    <w:p>
      <w:pPr>
        <w:jc w:val="both"/>
        <w:ind w:firstLine="622"/>
        <w:spacing w:after="0" w:line="219" w:lineRule="auto"/>
        <w:tabs>
          <w:tab w:leader="none" w:pos="1068" w:val="left"/>
        </w:tabs>
        <w:numPr>
          <w:ilvl w:val="0"/>
          <w:numId w:val="225"/>
        </w:numPr>
        <w:rPr>
          <w:rFonts w:ascii="Arial" w:cs="Arial" w:eastAsia="Arial" w:hAnsi="Arial"/>
          <w:sz w:val="21"/>
          <w:szCs w:val="21"/>
          <w:color w:val="auto"/>
        </w:rPr>
      </w:pPr>
      <w:r>
        <w:rPr>
          <w:rFonts w:ascii="Arial" w:cs="Arial" w:eastAsia="Arial" w:hAnsi="Arial"/>
          <w:sz w:val="21"/>
          <w:szCs w:val="21"/>
          <w:color w:val="auto"/>
        </w:rPr>
        <w:t>payments or distributions to dissenting stockholders pursuant to applicable law (including in connection with, or as a result of, exercise of appraisal rights and the settlement of any claims or action (whether actual, contingent or potential)), pursuant to or in connection with any Investment permitted by Section 7.02 (other than Section 7.02(e)) or any consolidation, merger or transfer of assets permitted by Section 7.04;</w:t>
      </w:r>
    </w:p>
    <w:p>
      <w:pPr>
        <w:spacing w:after="0" w:line="149" w:lineRule="exact"/>
        <w:rPr>
          <w:rFonts w:ascii="Arial" w:cs="Arial" w:eastAsia="Arial" w:hAnsi="Arial"/>
          <w:sz w:val="21"/>
          <w:szCs w:val="21"/>
          <w:color w:val="auto"/>
        </w:rPr>
      </w:pPr>
    </w:p>
    <w:p>
      <w:pPr>
        <w:ind w:firstLine="622"/>
        <w:spacing w:after="0" w:line="233" w:lineRule="auto"/>
        <w:tabs>
          <w:tab w:leader="none" w:pos="1073" w:val="left"/>
        </w:tabs>
        <w:numPr>
          <w:ilvl w:val="0"/>
          <w:numId w:val="225"/>
        </w:numPr>
        <w:rPr>
          <w:rFonts w:ascii="Arial" w:cs="Arial" w:eastAsia="Arial" w:hAnsi="Arial"/>
          <w:sz w:val="21"/>
          <w:szCs w:val="21"/>
          <w:color w:val="auto"/>
        </w:rPr>
      </w:pPr>
      <w:r>
        <w:rPr>
          <w:rFonts w:ascii="Arial" w:cs="Arial" w:eastAsia="Arial" w:hAnsi="Arial"/>
          <w:sz w:val="21"/>
          <w:szCs w:val="21"/>
          <w:color w:val="auto"/>
        </w:rPr>
        <w:t>the distribution, by dividend or otherwise, of Equity Interests of an Unrestricted Subsidiary (or a Restricted Subsidiary that owns one or more Unrestricted Subsidiaries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196</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316"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color w:val="auto"/>
        </w:rPr>
        <w:t>other material assets) or Indebtedness owed to the Borrower or a Restricted Subsidiary by an Unrestricted Subsidiary (or a Restricted Subsidiary that owns one or more Unrestricted Subsidiaries and no other material assets), in each case, other than Unrestricted Subsidiaries the primary assets of which are cash and/or Cash Equivalents;</w:t>
      </w:r>
    </w:p>
    <w:p>
      <w:pPr>
        <w:spacing w:after="0" w:line="149" w:lineRule="exact"/>
        <w:rPr>
          <w:sz w:val="20"/>
          <w:szCs w:val="20"/>
          <w:color w:val="auto"/>
        </w:rPr>
      </w:pPr>
    </w:p>
    <w:p>
      <w:pPr>
        <w:jc w:val="both"/>
        <w:ind w:firstLine="622"/>
        <w:spacing w:after="0" w:line="230" w:lineRule="auto"/>
        <w:tabs>
          <w:tab w:leader="none" w:pos="106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Restricted Payments that are made in (i) an amount equal to the amount of Excluded Contributions previously received and the Borrower elects to apply under this clause (p) or (ii) without duplication with clause (i), in an amount equal to the Net Proceeds from a Disposition in respect of property or assets acquired after the Restatement Date, if the acquisition of such property or assets was financed with Excluded Contributions, in each case, to the extent Not Otherwise Applied; and</w:t>
      </w:r>
    </w:p>
    <w:p>
      <w:pPr>
        <w:spacing w:after="0" w:line="149" w:lineRule="exact"/>
        <w:rPr>
          <w:rFonts w:ascii="Arial" w:cs="Arial" w:eastAsia="Arial" w:hAnsi="Arial"/>
          <w:sz w:val="20"/>
          <w:szCs w:val="20"/>
          <w:color w:val="auto"/>
        </w:rPr>
      </w:pPr>
    </w:p>
    <w:p>
      <w:pPr>
        <w:jc w:val="both"/>
        <w:ind w:firstLine="622"/>
        <w:spacing w:after="0" w:line="219" w:lineRule="auto"/>
        <w:tabs>
          <w:tab w:leader="none" w:pos="108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the payment of any dividend or other distribution or the consummation of any irrevocable redemption within 60 days after the date of declaration of the dividend or other distribution or the giving of the redemption notice, as the case may be, if at the date of declaration or notice, the dividend or other distribution or redemption payment would have complied with the provisions of this Agreement.</w:t>
      </w:r>
    </w:p>
    <w:p>
      <w:pPr>
        <w:spacing w:after="0" w:line="150"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For purposes of determining compliance with this Section 7.06, in the event that a Restricted Payment meets the criteria of more than one of the categories of Restricted Payments described above, the Borrower may, in its sole discretion, classify or later divide, classify or reclassify all or a portion of such Restricted Payment or any portion thereof in a manner that complies with this Section 7.06 and will only be required to include the amount and type of such Restricted Payment in one or more of the above clauses. In the event that a portion of the Restricted Payments or other obligations could be classified as incurred under a “ratio-based” basket (giving pro forma effect to the making of such portion of such Restricted Payments), the Borrower, in its sole discretion, may classify such portion of such Restricted Payment (and any obligations in respect thereof) as having been made pursuant to such “ratio-based” basket and thereafter the remainder of the Restricted Payments as having been made pursuant to one or more of the other clauses of this Section 7.06 and if any such test would be satisfied in any subsequent fiscal quarter following the relevant date of determination, then such reclassification shall be deemed to have automatically occurred at such time.</w:t>
      </w:r>
    </w:p>
    <w:p>
      <w:pPr>
        <w:spacing w:after="0" w:line="157"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7.07.</w:t>
      </w:r>
      <w:r>
        <w:rPr>
          <w:sz w:val="20"/>
          <w:szCs w:val="20"/>
          <w:color w:val="auto"/>
        </w:rPr>
        <w:tab/>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71"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 xml:space="preserve">Section 7.08. </w:t>
      </w:r>
      <w:r>
        <w:rPr>
          <w:rFonts w:ascii="Arial" w:cs="Arial" w:eastAsia="Arial" w:hAnsi="Arial"/>
          <w:sz w:val="20"/>
          <w:szCs w:val="20"/>
          <w:i w:val="1"/>
          <w:iCs w:val="1"/>
          <w:color w:val="auto"/>
        </w:rPr>
        <w:t>Transactions with Affiliates</w:t>
      </w:r>
      <w:r>
        <w:rPr>
          <w:rFonts w:ascii="Arial" w:cs="Arial" w:eastAsia="Arial" w:hAnsi="Arial"/>
          <w:sz w:val="20"/>
          <w:szCs w:val="20"/>
          <w:color w:val="auto"/>
        </w:rPr>
        <w:t>. The Borrower shall not, nor shall the Borrower permit any of the Restricted Subsidiaries to, directly or indirectly, enter into any transaction of any kind with any Affiliate of the Borrower, whether or not in the ordinary course of business, involving aggregate payments or consideration in excess of $20,000,000, other than (a) loans and other transactions among the Borrower and its Restricted Subsidiaries or any entity that becomes a Restricted Subsidiary as a result of such loan or other transaction to the extent permitted under this Article 7, (b) on terms substantially as favorable to the Borrower or such Restricted Subsidiary as would be obtainable by the Borrower or such Restricted Subsidiary at the time in a comparable arm’s-length transaction with a Person other than an Affiliate, (c) the Transactions and the payment of Transaction Expenses as part of or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197</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316" w:lineRule="exact"/>
        <w:rPr>
          <w:sz w:val="20"/>
          <w:szCs w:val="20"/>
          <w:color w:val="auto"/>
        </w:rPr>
      </w:pPr>
    </w:p>
    <w:p>
      <w:pPr>
        <w:jc w:val="both"/>
        <w:ind w:firstLine="6"/>
        <w:spacing w:after="0" w:line="241" w:lineRule="auto"/>
        <w:rPr>
          <w:sz w:val="20"/>
          <w:szCs w:val="20"/>
          <w:color w:val="auto"/>
        </w:rPr>
      </w:pPr>
      <w:r>
        <w:rPr>
          <w:rFonts w:ascii="Arial" w:cs="Arial" w:eastAsia="Arial" w:hAnsi="Arial"/>
          <w:sz w:val="18"/>
          <w:szCs w:val="18"/>
          <w:color w:val="auto"/>
        </w:rPr>
        <w:t>Transactions, (d) compensation and other customary arrangements relating to the operation of the investment advisory business of the Borrower and its Restricted Subsidiaries, (e) Restricted Payments permitted under Section 7.06 and Investments permitted under Section 7.02 and prepayments redemptions, purchases, defeasances and other payments permitted by Section 7.13, (f) employment and severance arrangements between Holdings, the Borrower and its Restricted Subsidiaries and their respective officers and employees in the ordinary course of business or consistent with past practice and transactions pursuant to equity-based plans and employee benefit plans and arrangements in the ordinary course of business, (g) the payment of customary fees and reasonable out of pocket costs to, and indemnities provided on behalf of, directors, managers, officers, employees and consultants of Holdings, the Borrower and its Restricted Subsidiaries (or any direct or indirect parent of the Borrower) in the ordinary course of business to the extent attributable to the ownership or operation of the Borrower and its Restricted Subsidiaries, (h) transactions pursuant to agreements in existence on the Restatement Date and set forth on Schedule 7.08 or any amendment thereto to the extent such an amendment is not materially adverse to the Lenders in any material respect, (i) (x) the payment of management, consulting, monitoring, transaction, advisory and other fees, indemnities and expenses pursuant to the Support and Services Agreement (plus any unpaid management, consulting, monitoring, transaction, advisory and other fees, indemnities and expenses accrued in any prior year) and any termination fees (including any such cash lump sum or present value fee upon the consummation of a corporate event, including an initial public equity offering) pursuant to the Support and Services Agreement, or any amendment thereto or replacement thereof so long as any such amendment or replacement is not materially disadvantageous in the good faith judgment of the Borrower to the Lenders when taken as a whole, as compared to the Support and Services Agreement as in effect immediately prior to such amendment or replacement, (y) the payment of indemnification and other similar amounts to the Investors and reimbursement of expenses of the Investors and (z) customary payments by the Borrower and any of its Restricted Subsidiaries to the Investors made for any financial advisory, financing, underwriting or placement services or in respect of other investment banking activities (including in connection with acquisitions or divestitures), which payments are approved by a majority of the members of the board of directors or managers or a majority of the disinterested members of the board of directors or managers of the Borrower, in good faith, (j) payments by the Borrower or any of its Subsidiaries pursuant to any tax sharing agreements with any direct or indirect parent of the Borrower to the extent attributable to the ownership or operation of the Borrower and its Subsidiaries, but only to the extent permitted by Section 7.06(i)(iii), (k) the issuance or transfer of Equity Interests (other than Disqualified Equity Interests) of Holdings or the Borrower to any Permitted Holder or to any former, present or future director, manager, officer, employee or consultant (or any Affiliate or any Immediate Family Member of any of the foregoing) of Holdings or the Borrower, any of its Subsidiaries or any direct or indirect parent thereof, (l) sales of accounts receivable, or participations therein, or Securitization Assets or related assets in connection with any Qualified Securitization Facility, (m) Permitted Intercompany Activities, (n) a joint venture which would constitute a transaction with an Affiliate solely as a result of Holdings, the Borrower or any Restricted Subsidiary owning an equity interest or otherwise controlling such joint venture or similar entity and (o) transactions with any Affiliated Lender in its capacity as a Lender party to any Loan Document or party to any agreement, document or instrument governing or relating to any Indebtedness permitted to be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198</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pursuant to Section 7.03 (including Permitted Refinancings thereof) to the extent such Affiliated Lender is being treated no more favorably than all other Lenders or lenders thereunder.</w:t>
      </w:r>
    </w:p>
    <w:p>
      <w:pPr>
        <w:spacing w:after="0" w:line="176"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Burdensome Agreements</w:t>
      </w:r>
      <w:r>
        <w:rPr>
          <w:rFonts w:ascii="Arial" w:cs="Arial" w:eastAsia="Arial" w:hAnsi="Arial"/>
          <w:sz w:val="18"/>
          <w:szCs w:val="18"/>
          <w:color w:val="auto"/>
        </w:rPr>
        <w:t xml:space="preserve">. The Borrower shall not, nor shall the Borrower permit any of the Restricted Subsidiaries to, enter into or permit to exist any Contractual Obligation (other than this Agreement or any other Loan Document) that prohibits (a) any Restricted Subsidiary of the Borrower that is not a Guarantor to make Restricted Payments to the Borrower or any Guarantor or to make or repay intercompany loans and advances to the Borrower or any Guarantor or (b) any Loan Party to create, incur, assume or suffer to exist Liens on property of such Person for the benefit of the Lenders with respect to the Facilities and the Obligations or under the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clauses (a) and (b) shall not apply to Contractual Obligations which (i) (x) exist on the Restatement Date and (to the extent not otherwise permitted by this Section 7.09) are listed on Schedule 7.09 hereto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w:t>
      </w:r>
    </w:p>
    <w:p>
      <w:pPr>
        <w:spacing w:after="0" w:line="2" w:lineRule="exact"/>
        <w:rPr>
          <w:sz w:val="20"/>
          <w:szCs w:val="20"/>
          <w:color w:val="auto"/>
        </w:rPr>
      </w:pPr>
    </w:p>
    <w:p>
      <w:pPr>
        <w:jc w:val="both"/>
        <w:ind w:firstLine="3"/>
        <w:spacing w:after="0" w:line="228" w:lineRule="auto"/>
        <w:tabs>
          <w:tab w:leader="none" w:pos="307"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are binding on a Restricted Subsidiary at the time such Restricted Subsidiary first becomes a Restricted Subsidiary of the Borrower, so long as such Contractual Obligations were not entered into solely in contemplation of such Person becoming a Restricted Subsidiary of the Borrower; </w:t>
      </w:r>
      <w:r>
        <w:rPr>
          <w:rFonts w:ascii="Arial" w:cs="Arial" w:eastAsia="Arial" w:hAnsi="Arial"/>
          <w:sz w:val="19"/>
          <w:szCs w:val="19"/>
          <w:i w:val="1"/>
          <w:iCs w:val="1"/>
          <w:color w:val="auto"/>
        </w:rPr>
        <w:t>provided, further</w:t>
      </w:r>
      <w:r>
        <w:rPr>
          <w:rFonts w:ascii="Arial" w:cs="Arial" w:eastAsia="Arial" w:hAnsi="Arial"/>
          <w:sz w:val="19"/>
          <w:szCs w:val="19"/>
          <w:color w:val="auto"/>
        </w:rPr>
        <w:t>, that this clause (ii) shall not apply to Contractual Obligations that are binding on a Person that becomes a Restricted Subsidiary pursuant to Section 6.14, (iii) represent Indebtedness of a Restricted Subsidiary of the Borrower which is not a Loan Party which is permitted by Section 7.03, (iv) arise in connection with (x) any Lien permitted by Section 7.01 and relate to the property subject to such Lien or (y) any Disposition permitted by Sections 7.04 or 7.05 and relate solely to the assets or Person subject to such Disposition, (v) are customary provisions in joint venture agreements and other similar agreements applicable to joint ventures permitted under Section 7.02 and applicable solely to such joint venture entered into in the ordinary course of business, (vi) are negative pledges and restrictions on Liens in favor of any holder of Indebtedness permitted under Section 7.03 but solely to the extent any negative pledge relates to the property financed by such Indebtedness, (vii) are customary restrictions on leases, subleases, licenses or asset sale agreements otherwise permitted hereby so long as such restrictions relate to the assets subject thereto, (viii) comprise restrictions imposed by any agreement relating to secured Indebtedness permitted pursuant to Section 7.03 and to the extent that such restrictions apply only to the property or assets securing such Indebtedness or to the Restricted Subsidiaries incurring or guaranteeing such Indebtedness, (ix) are customary provisions restricting subletting or assignment of any lease governing a leasehold interest of the Borrower or any Restricted Subsidiary or the assignment of any license or sublicense agreement, (x) are customary provisions restricting assignment of any agreement entered into in the ordinary course of business, (xi) are restrictions on cash or other deposits imposed by customers under contracts entered into in the ordinary course of business or consistent with past practice, (xii) are restrictions created in connection with any Qualified Securitization Facility that in the good faith determination of the Borrower are necessary or advisable to effect such Qualified Securitization Facility and relate solely to the Securitization Assets subject thereto, (xiii) arise in connection with cash or other deposits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199</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Sections 7.01 and 7.02 and limited to such cash or deposit and (xiv) are customary restrictions contained in any Permitted Refinancing thereof.</w:t>
      </w:r>
    </w:p>
    <w:p>
      <w:pPr>
        <w:spacing w:after="0" w:line="150"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7.10.</w:t>
      </w:r>
      <w:r>
        <w:rPr>
          <w:sz w:val="20"/>
          <w:szCs w:val="20"/>
          <w:color w:val="auto"/>
        </w:rPr>
        <w:tab/>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71"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7.11. </w:t>
      </w:r>
      <w:r>
        <w:rPr>
          <w:rFonts w:ascii="Arial" w:cs="Arial" w:eastAsia="Arial" w:hAnsi="Arial"/>
          <w:sz w:val="21"/>
          <w:szCs w:val="21"/>
          <w:i w:val="1"/>
          <w:iCs w:val="1"/>
          <w:color w:val="auto"/>
        </w:rPr>
        <w:t>Financial Covenant</w:t>
      </w:r>
      <w:r>
        <w:rPr>
          <w:rFonts w:ascii="Arial" w:cs="Arial" w:eastAsia="Arial" w:hAnsi="Arial"/>
          <w:sz w:val="21"/>
          <w:szCs w:val="21"/>
          <w:color w:val="auto"/>
        </w:rPr>
        <w:t>. The Borrower will not permit the Consolidated Total Net Leverage Ratio as of the last day of a Test Period (commencing with the Test Period ending on or about September 30, 2022) to exceed ratio set forth below opposite such period set forth below (the “</w:t>
      </w:r>
      <w:r>
        <w:rPr>
          <w:rFonts w:ascii="Arial" w:cs="Arial" w:eastAsia="Arial" w:hAnsi="Arial"/>
          <w:sz w:val="21"/>
          <w:szCs w:val="21"/>
          <w:b w:val="1"/>
          <w:bCs w:val="1"/>
          <w:color w:val="auto"/>
        </w:rPr>
        <w:t>Financial Covenant</w:t>
      </w:r>
      <w:r>
        <w:rPr>
          <w:rFonts w:ascii="Arial" w:cs="Arial" w:eastAsia="Arial" w:hAnsi="Arial"/>
          <w:sz w:val="21"/>
          <w:szCs w:val="21"/>
          <w:color w:val="auto"/>
        </w:rPr>
        <w:t>”):</w:t>
      </w:r>
    </w:p>
    <w:p>
      <w:pPr>
        <w:spacing w:after="0" w:line="189" w:lineRule="exact"/>
        <w:rPr>
          <w:sz w:val="20"/>
          <w:szCs w:val="20"/>
          <w:color w:val="auto"/>
        </w:rPr>
      </w:pPr>
    </w:p>
    <w:tbl>
      <w:tblPr>
        <w:tblLayout w:type="fixed"/>
        <w:tblInd w:w="610" w:type="dxa"/>
        <w:tblCellMar>
          <w:top w:w="0" w:type="dxa"/>
          <w:left w:w="0" w:type="dxa"/>
          <w:bottom w:w="0" w:type="dxa"/>
          <w:right w:w="0" w:type="dxa"/>
        </w:tblCellMar>
      </w:tblPr>
      <w:tr>
        <w:trPr>
          <w:trHeight w:val="271"/>
        </w:trPr>
        <w:tc>
          <w:tcPr>
            <w:tcW w:w="1260" w:type="dxa"/>
            <w:vAlign w:val="bottom"/>
            <w:tcBorders>
              <w:top w:val="single" w:sz="8" w:color="auto"/>
              <w:left w:val="single" w:sz="8" w:color="auto"/>
              <w:bottom w:val="single" w:sz="8" w:color="auto"/>
            </w:tcBorders>
          </w:tcPr>
          <w:p>
            <w:pPr>
              <w:spacing w:after="0"/>
              <w:rPr>
                <w:sz w:val="23"/>
                <w:szCs w:val="23"/>
                <w:color w:val="auto"/>
              </w:rPr>
            </w:pPr>
          </w:p>
        </w:tc>
        <w:tc>
          <w:tcPr>
            <w:tcW w:w="510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21"/>
                <w:szCs w:val="21"/>
                <w:b w:val="1"/>
                <w:bCs w:val="1"/>
                <w:color w:val="auto"/>
              </w:rPr>
              <w:t>Testing Period Ending</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4"/>
              </w:rPr>
              <w:t>Maximum Ratio</w:t>
            </w:r>
          </w:p>
        </w:tc>
      </w:tr>
      <w:tr>
        <w:trPr>
          <w:trHeight w:val="251"/>
        </w:trPr>
        <w:tc>
          <w:tcPr>
            <w:tcW w:w="63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1"/>
                <w:szCs w:val="21"/>
                <w:color w:val="auto"/>
              </w:rPr>
              <w:t>September 30, 2022 through June 30, 2024</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8"/>
              </w:rPr>
              <w:t>4.00 to 1.00</w:t>
            </w:r>
          </w:p>
        </w:tc>
      </w:tr>
      <w:tr>
        <w:trPr>
          <w:trHeight w:val="251"/>
        </w:trPr>
        <w:tc>
          <w:tcPr>
            <w:tcW w:w="1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1"/>
                <w:szCs w:val="21"/>
                <w:color w:val="auto"/>
                <w:w w:val="87"/>
              </w:rPr>
              <w:t>September 30,</w:t>
            </w:r>
          </w:p>
        </w:tc>
        <w:tc>
          <w:tcPr>
            <w:tcW w:w="5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2024 through June 30, 2025</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8"/>
              </w:rPr>
              <w:t>3.75 to 1.00</w:t>
            </w:r>
          </w:p>
        </w:tc>
      </w:tr>
      <w:tr>
        <w:trPr>
          <w:trHeight w:val="251"/>
        </w:trPr>
        <w:tc>
          <w:tcPr>
            <w:tcW w:w="1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1"/>
                <w:szCs w:val="21"/>
                <w:color w:val="auto"/>
                <w:w w:val="87"/>
              </w:rPr>
              <w:t>September 30,</w:t>
            </w:r>
          </w:p>
        </w:tc>
        <w:tc>
          <w:tcPr>
            <w:tcW w:w="5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2025 and thereafter</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8"/>
              </w:rPr>
              <w:t>3.50 to 1.00</w:t>
            </w:r>
          </w:p>
        </w:tc>
      </w:tr>
    </w:tbl>
    <w:p>
      <w:pPr>
        <w:spacing w:after="0" w:line="269" w:lineRule="exact"/>
        <w:rPr>
          <w:sz w:val="20"/>
          <w:szCs w:val="20"/>
          <w:color w:val="auto"/>
        </w:rPr>
      </w:pPr>
    </w:p>
    <w:p>
      <w:pPr>
        <w:jc w:val="both"/>
        <w:ind w:firstLine="3"/>
        <w:spacing w:after="0" w:line="234" w:lineRule="auto"/>
        <w:tabs>
          <w:tab w:leader="none" w:pos="122" w:val="left"/>
        </w:tabs>
        <w:numPr>
          <w:ilvl w:val="0"/>
          <w:numId w:val="228"/>
        </w:numPr>
        <w:rPr>
          <w:rFonts w:ascii="Arial" w:cs="Arial" w:eastAsia="Arial" w:hAnsi="Arial"/>
          <w:sz w:val="19"/>
          <w:szCs w:val="19"/>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the event the Borrower consummates a Qualified Acquisition, the Borrower may elect (a “</w:t>
      </w:r>
      <w:r>
        <w:rPr>
          <w:rFonts w:ascii="Arial" w:cs="Arial" w:eastAsia="Arial" w:hAnsi="Arial"/>
          <w:sz w:val="19"/>
          <w:szCs w:val="19"/>
          <w:b w:val="1"/>
          <w:bCs w:val="1"/>
          <w:color w:val="auto"/>
        </w:rPr>
        <w:t>Qualified Acquisition</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Election</w:t>
      </w:r>
      <w:r>
        <w:rPr>
          <w:rFonts w:ascii="Arial" w:cs="Arial" w:eastAsia="Arial" w:hAnsi="Arial"/>
          <w:sz w:val="19"/>
          <w:szCs w:val="19"/>
          <w:color w:val="auto"/>
        </w:rPr>
        <w:t>”) upon notice to the Administrative Agent (which Qualified Acquisition Election may be made (x) at any time on or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that the next Compliance Certificate is delivered pursuant to Section 6.02(a) following the consummation of such Qualified Acquisition or (y) in such Compliance Certificate) that the Consolidated Total Net Leverage Ratio level set forth above be (and, subject to this proviso to Section 7.11, the Consolidated Total Net Leverage Ratio level set forth above shall be) (i) with respect to the last day of the fiscal quarter in which such Qualified Acquisition is consummated and with respect to the last day of each of the next succeeding three (3) fiscal quarters, 0.50x greater than the applicable Consolidated Total Net Leverage Ratio level in the table above and (ii) with respect to the last day of the fiscal quarter in which the first anniversary of the consummation of such Qualified Acquisition occurs and thereafter, the applicable Consolidated Total Net Leverage Ratio level in the table above.</w:t>
      </w:r>
    </w:p>
    <w:p>
      <w:pPr>
        <w:spacing w:after="0" w:line="151"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7.12.</w:t>
      </w:r>
      <w:r>
        <w:rPr>
          <w:sz w:val="20"/>
          <w:szCs w:val="20"/>
          <w:color w:val="auto"/>
        </w:rPr>
        <w:tab/>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71"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 xml:space="preserve">Section 7.13. </w:t>
      </w:r>
      <w:r>
        <w:rPr>
          <w:rFonts w:ascii="Arial" w:cs="Arial" w:eastAsia="Arial" w:hAnsi="Arial"/>
          <w:sz w:val="20"/>
          <w:szCs w:val="20"/>
          <w:i w:val="1"/>
          <w:iCs w:val="1"/>
          <w:color w:val="auto"/>
        </w:rPr>
        <w:t>Prepayments, Etc. of Indebtedness</w:t>
      </w:r>
      <w:r>
        <w:rPr>
          <w:rFonts w:ascii="Arial" w:cs="Arial" w:eastAsia="Arial" w:hAnsi="Arial"/>
          <w:sz w:val="20"/>
          <w:szCs w:val="20"/>
          <w:color w:val="auto"/>
        </w:rPr>
        <w:t>. (a) The Borrower shall not, nor shall the Borrower permit any of the Restricted Subsidiaries to, directly or indirectly, voluntarily prepay, redeem, purchase, defease or otherwise satisfy prior to the scheduled maturity thereof in any manner (it being understood that (A) payments of regularly scheduled principal and interest, (B) customary “AHYDO catchup” payments and (C) any prepayment, redemption, purchase, defeasance or other retirement in anticipation of satisfying a sinking fund obligation, principal installment or final maturity, in each case, due within one year of such prepayment redemption, purchase, defeasance or other retirement thereof shall be permitted), any principal amount in respect of any subordinated Indebtedness incurred under Section 7.03(g), (q), (s) or (w) or any other Indebtedness that is or is required to be subordinated, in right of payment to the Obligations pursuant to the terms of the Loan Documents (collectively, “</w:t>
      </w:r>
      <w:r>
        <w:rPr>
          <w:rFonts w:ascii="Arial" w:cs="Arial" w:eastAsia="Arial" w:hAnsi="Arial"/>
          <w:sz w:val="20"/>
          <w:szCs w:val="20"/>
          <w:b w:val="1"/>
          <w:bCs w:val="1"/>
          <w:color w:val="auto"/>
        </w:rPr>
        <w:t>Junior Financing</w:t>
      </w:r>
      <w:r>
        <w:rPr>
          <w:rFonts w:ascii="Arial" w:cs="Arial" w:eastAsia="Arial" w:hAnsi="Arial"/>
          <w:sz w:val="20"/>
          <w:szCs w:val="20"/>
          <w:color w:val="auto"/>
        </w:rPr>
        <w:t>”), in each case, in an amount in excess of the Threshold Amount or make any payment in violation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200</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316" w:lineRule="exact"/>
        <w:rPr>
          <w:sz w:val="20"/>
          <w:szCs w:val="20"/>
          <w:color w:val="auto"/>
        </w:rPr>
      </w:pPr>
    </w:p>
    <w:p>
      <w:pPr>
        <w:jc w:val="both"/>
        <w:ind w:firstLine="6"/>
        <w:spacing w:after="0" w:line="229" w:lineRule="auto"/>
        <w:rPr>
          <w:sz w:val="20"/>
          <w:szCs w:val="20"/>
          <w:color w:val="auto"/>
        </w:rPr>
      </w:pPr>
      <w:r>
        <w:rPr>
          <w:rFonts w:ascii="Arial" w:cs="Arial" w:eastAsia="Arial" w:hAnsi="Arial"/>
          <w:sz w:val="19"/>
          <w:szCs w:val="19"/>
          <w:color w:val="auto"/>
        </w:rPr>
        <w:t>subordination terms of any Junior Financing Documentation, except (i) the refinancing thereof with the Net Proceeds of any Indebtedness (to the extent such Indebtedness constitutes a Permitted Refinancing and, if such Indebtedness was originally incurred under Section 7.03(g), (q), (s) or (w), is permitted pursuant to Section 7.03(g), (q), (s) or (w)), to the extent not required to prepay any Loans pursuant to Section 2.05(b), (ii) the conversion of any Junior Financing to Equity Interests (other than Disqualified Equity Interests) of the Borrower or any of its direct or indirect parents, (iii) the prepayment of Indebtedness of the Borrower or any Restricted Subsidiary to the Borrower or any Restricted Subsidiary to the extent not prohibited by the subordination provisions contained in the Intercompany Note, (iv) prepayments, redemptions, purchases, defeasances and other payments in respect of Junior Financings prior to their scheduled maturity in (x) an amount equal to the amount of Excluded Contributions previously received and the Borrower elects to apply under this clause (iv) or (y) without duplication with clause (x), in an amount equal to the Net Proceeds from a Disposition in respect of property or assets acquired after the Restatement Date, if the acquisition of such property or assets was financed with Excluded Contributions, in each case, to the extent Not Otherwise Applied, (v) prepayments, redemptions, purchases, defeasances and other payments in respect of Junior Financings prior to their scheduled maturity in an aggregate amount not to exceed, when combined with the amount of Restricted Payments pursuant to Section 7.06(h), (x) the greater of (I) $100,000,000 and (II) 40% of LTM Consolidated EBITDA plus (y) subject to, solely in the case of the portion of the Cumulative Credit attributable to clause (b) thereof, no Event of Default under Sections 8.01(a) or (f) with respect to the Borrower having occurred and continuing or resulting therefrom, the portion, if any, of the Cumulative Credit on such date that the Borrower elects to apply to this clause (a), (vi) prepayments, redemptions, purchases, defeasances and other payments in respect of Junior Financings prior to their scheduled maturity in an aggregate amount not to exceed the Available RP Capacity Amount and (vii) so long as no Event of Default has occurred and is continuing or would result therefrom, prepayments, redemptions, or purchases, defeasances and other payments in respect of Junior Financings prior to their scheduled maturity in an unlimited amount so long as the Consolidated Total Net Leverage Ratio calculated on a Pro Forma Basis is less than or equal to 2.75 to 1.00.</w:t>
      </w:r>
    </w:p>
    <w:p>
      <w:pPr>
        <w:spacing w:after="0" w:line="160" w:lineRule="exact"/>
        <w:rPr>
          <w:sz w:val="20"/>
          <w:szCs w:val="20"/>
          <w:color w:val="auto"/>
        </w:rPr>
      </w:pPr>
    </w:p>
    <w:p>
      <w:pPr>
        <w:jc w:val="both"/>
        <w:ind w:firstLine="622"/>
        <w:spacing w:after="0" w:line="243" w:lineRule="auto"/>
        <w:tabs>
          <w:tab w:leader="none" w:pos="1113"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Borrower shall not, nor shall the Borrower permit any of the Restricted Subsidiaries to amend, modify or change in any manner materially adverse to the interests of the Lenders any term or condition of any Junior Financing Documentation in respect of any Junior Financing having an aggregate outstanding principal amount in excess of the Threshold Amount without the consent of the Administrative Agent (which consent shall not be unreasonably withheld, conditioned or delayed).</w:t>
      </w:r>
    </w:p>
    <w:p>
      <w:pPr>
        <w:spacing w:after="0" w:line="146" w:lineRule="exact"/>
        <w:rPr>
          <w:rFonts w:ascii="Arial" w:cs="Arial" w:eastAsia="Arial" w:hAnsi="Arial"/>
          <w:sz w:val="19"/>
          <w:szCs w:val="19"/>
          <w:color w:val="auto"/>
        </w:rPr>
      </w:pPr>
    </w:p>
    <w:p>
      <w:pPr>
        <w:jc w:val="both"/>
        <w:ind w:firstLine="622"/>
        <w:spacing w:after="0" w:line="223" w:lineRule="auto"/>
        <w:tabs>
          <w:tab w:leader="none" w:pos="106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For purposes of determining compliance with this Section 7.13, in the event that a payment meets the criteria of more than one of the categories of payments described above, the Borrower may, in its sole discretion, classify or later divide, classify or reclassify all or a portion of such payment or any portion thereof in a manner that complies with this Section 7.13 and will only be required to include the amount and type of such payment in one or more of the above clauses. In the event that a payment or other obligations could be classified as incurred under a “ratio-based” basket (giving pro forma effect to the making of such portion of such payment), the Borrower, in its sole discretion, may classify such portion of such payment (and any obligations in respect thereof) as having been made pursuant to such “ratio-based” basket and thereafter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201</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316"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color w:val="auto"/>
        </w:rPr>
        <w:t>remainder of the payment as having been made pursuant to one or more of the other clauses of this Section 7.13 and if any such test would be satisfied in any subsequent fiscal quarter following the relevant date of determination, then such reclassification shall be deemed to have automatically occurred at such time.</w:t>
      </w:r>
    </w:p>
    <w:p>
      <w:pPr>
        <w:spacing w:after="0" w:line="149"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i w:val="1"/>
          <w:iCs w:val="1"/>
          <w:color w:val="auto"/>
        </w:rPr>
        <w:t>Permitted Activities</w:t>
      </w:r>
      <w:r>
        <w:rPr>
          <w:rFonts w:ascii="Arial" w:cs="Arial" w:eastAsia="Arial" w:hAnsi="Arial"/>
          <w:sz w:val="19"/>
          <w:szCs w:val="19"/>
          <w:color w:val="auto"/>
        </w:rPr>
        <w:t xml:space="preserve">. Holdings shall not engage in any material operating or business activities;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following and activities incidental thereto shall be permitted in any event: (i) its ownership of the Equity Interests of the Borrower and its direct and indirect Subsidiaries and activities incidental thereto, (ii) the maintenance of its legal existence (including the ability to incur fees, costs and expenses relating to such maintenance), (iii) the performance of its obligations with respect to the Transactions, the Loan Documents and any other Indebtedness, (iv) any public offering of its common stock or any other issuance or sale of its Equity Interests, (v) financing activities, including the issuance of securities, payment of dividends and other distributions and the making of contributions of capital to the Borrower and other investments, (vi) incurrence of debt and guaranteeing the obligations of the Borrower and its Restricted Subsidiaries, (vii) participating in tax, accounting and other administrative matters, including as owner of the Borrower and its Subsidiaries, (viii) holding any cash incidental to any activities permitted under this Section 7.14, (ix) providing indemnification to officers, managers and directors and (x) any activities incidental to the foregoing.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8</w:t>
      </w:r>
    </w:p>
    <w:p>
      <w:pPr>
        <w:jc w:val="center"/>
        <w:spacing w:after="0"/>
        <w:rPr>
          <w:sz w:val="20"/>
          <w:szCs w:val="20"/>
          <w:color w:val="auto"/>
        </w:rPr>
      </w:pPr>
      <w:r>
        <w:rPr>
          <w:rFonts w:ascii="Arial" w:cs="Arial" w:eastAsia="Arial" w:hAnsi="Arial"/>
          <w:sz w:val="21"/>
          <w:szCs w:val="21"/>
          <w:color w:val="auto"/>
        </w:rPr>
        <w:t>EVENTS OF DEFAULT AND REMEDIES</w:t>
      </w:r>
    </w:p>
    <w:p>
      <w:pPr>
        <w:spacing w:after="0" w:line="153"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i w:val="1"/>
          <w:iCs w:val="1"/>
          <w:color w:val="auto"/>
        </w:rPr>
        <w:t>Events of Default</w:t>
      </w:r>
      <w:r>
        <w:rPr>
          <w:rFonts w:ascii="Arial" w:cs="Arial" w:eastAsia="Arial" w:hAnsi="Arial"/>
          <w:sz w:val="21"/>
          <w:szCs w:val="21"/>
          <w:color w:val="auto"/>
        </w:rPr>
        <w:t>. Any of the following from and after the Restatement Date shall constitute an event of default (an “</w:t>
      </w:r>
      <w:r>
        <w:rPr>
          <w:rFonts w:ascii="Arial" w:cs="Arial" w:eastAsia="Arial" w:hAnsi="Arial"/>
          <w:sz w:val="21"/>
          <w:szCs w:val="21"/>
          <w:b w:val="1"/>
          <w:bCs w:val="1"/>
          <w:color w:val="auto"/>
        </w:rPr>
        <w:t>Event of Default</w:t>
      </w:r>
      <w:r>
        <w:rPr>
          <w:rFonts w:ascii="Arial" w:cs="Arial" w:eastAsia="Arial" w:hAnsi="Arial"/>
          <w:sz w:val="21"/>
          <w:szCs w:val="21"/>
          <w:color w:val="auto"/>
        </w:rPr>
        <w:t>”):</w:t>
      </w:r>
    </w:p>
    <w:p>
      <w:pPr>
        <w:spacing w:after="0" w:line="150" w:lineRule="exact"/>
        <w:rPr>
          <w:sz w:val="20"/>
          <w:szCs w:val="20"/>
          <w:color w:val="auto"/>
        </w:rPr>
      </w:pPr>
    </w:p>
    <w:p>
      <w:pPr>
        <w:jc w:val="both"/>
        <w:ind w:firstLine="622"/>
        <w:spacing w:after="0" w:line="224" w:lineRule="auto"/>
        <w:tabs>
          <w:tab w:leader="none" w:pos="1131" w:val="left"/>
        </w:tabs>
        <w:numPr>
          <w:ilvl w:val="0"/>
          <w:numId w:val="230"/>
        </w:numPr>
        <w:rPr>
          <w:rFonts w:ascii="Arial" w:cs="Arial" w:eastAsia="Arial" w:hAnsi="Arial"/>
          <w:sz w:val="21"/>
          <w:szCs w:val="21"/>
          <w:color w:val="auto"/>
        </w:rPr>
      </w:pPr>
      <w:r>
        <w:rPr>
          <w:rFonts w:ascii="Arial" w:cs="Arial" w:eastAsia="Arial" w:hAnsi="Arial"/>
          <w:sz w:val="21"/>
          <w:szCs w:val="21"/>
          <w:i w:val="1"/>
          <w:iCs w:val="1"/>
          <w:color w:val="auto"/>
        </w:rPr>
        <w:t>Non-Payment</w:t>
      </w:r>
      <w:r>
        <w:rPr>
          <w:rFonts w:ascii="Arial" w:cs="Arial" w:eastAsia="Arial" w:hAnsi="Arial"/>
          <w:sz w:val="21"/>
          <w:szCs w:val="21"/>
          <w:color w:val="auto"/>
        </w:rPr>
        <w:t>. Any Loan Party fails to pay (i) when and as required to be paid herein, any amount of principal of any</w:t>
      </w:r>
      <w:r>
        <w:rPr>
          <w:rFonts w:ascii="Arial" w:cs="Arial" w:eastAsia="Arial" w:hAnsi="Arial"/>
          <w:sz w:val="21"/>
          <w:szCs w:val="21"/>
          <w:i w:val="1"/>
          <w:iCs w:val="1"/>
          <w:color w:val="auto"/>
        </w:rPr>
        <w:t xml:space="preserve"> </w:t>
      </w:r>
      <w:r>
        <w:rPr>
          <w:rFonts w:ascii="Arial" w:cs="Arial" w:eastAsia="Arial" w:hAnsi="Arial"/>
          <w:sz w:val="21"/>
          <w:szCs w:val="21"/>
          <w:color w:val="auto"/>
        </w:rPr>
        <w:t>Loan, or (ii) within five (5) Business Days after the same becomes due, any interest on any Loan or any other amount payable hereunder or with respect to any other Loan Document; or</w:t>
      </w:r>
    </w:p>
    <w:p>
      <w:pPr>
        <w:spacing w:after="0" w:line="148" w:lineRule="exact"/>
        <w:rPr>
          <w:rFonts w:ascii="Arial" w:cs="Arial" w:eastAsia="Arial" w:hAnsi="Arial"/>
          <w:sz w:val="21"/>
          <w:szCs w:val="21"/>
          <w:color w:val="auto"/>
        </w:rPr>
      </w:pPr>
    </w:p>
    <w:p>
      <w:pPr>
        <w:jc w:val="both"/>
        <w:ind w:firstLine="622"/>
        <w:spacing w:after="0" w:line="214" w:lineRule="auto"/>
        <w:tabs>
          <w:tab w:leader="none" w:pos="1091" w:val="left"/>
        </w:tabs>
        <w:numPr>
          <w:ilvl w:val="0"/>
          <w:numId w:val="230"/>
        </w:numPr>
        <w:rPr>
          <w:rFonts w:ascii="Arial" w:cs="Arial" w:eastAsia="Arial" w:hAnsi="Arial"/>
          <w:sz w:val="21"/>
          <w:szCs w:val="21"/>
          <w:color w:val="auto"/>
        </w:rPr>
      </w:pPr>
      <w:r>
        <w:rPr>
          <w:rFonts w:ascii="Arial" w:cs="Arial" w:eastAsia="Arial" w:hAnsi="Arial"/>
          <w:sz w:val="21"/>
          <w:szCs w:val="21"/>
          <w:i w:val="1"/>
          <w:iCs w:val="1"/>
          <w:color w:val="auto"/>
        </w:rPr>
        <w:t>Specific Covenants</w:t>
      </w:r>
      <w:r>
        <w:rPr>
          <w:rFonts w:ascii="Arial" w:cs="Arial" w:eastAsia="Arial" w:hAnsi="Arial"/>
          <w:sz w:val="21"/>
          <w:szCs w:val="21"/>
          <w:color w:val="auto"/>
        </w:rPr>
        <w:t>. The Borrower, any Restricted Subsidiary or, in the case of Section 7.14, Holdings, fails to perform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observe any term, covenant or agreement contained in any of Section 6.03(a), 6.05(a) (solely with respect to the Borrower), 6.16 or Article 7;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a Default as a result of a breach of Section 7.11 is subject to cure pursuant to Section 8.05 and (ii) subsequent delivery of a notice to the Administrative Agent of the occurrence of any Default shall cure an Event of Default for failure to provide a notice under Section 6.03(a) unless a Responsible Officer of Holdings or the Borrower had actual knowledge that such Default had occurred and was continuing; or</w:t>
      </w:r>
    </w:p>
    <w:p>
      <w:pPr>
        <w:spacing w:after="0" w:line="151" w:lineRule="exact"/>
        <w:rPr>
          <w:rFonts w:ascii="Arial" w:cs="Arial" w:eastAsia="Arial" w:hAnsi="Arial"/>
          <w:sz w:val="21"/>
          <w:szCs w:val="21"/>
          <w:color w:val="auto"/>
        </w:rPr>
      </w:pPr>
    </w:p>
    <w:p>
      <w:pPr>
        <w:jc w:val="both"/>
        <w:ind w:firstLine="622"/>
        <w:spacing w:after="0" w:line="224" w:lineRule="auto"/>
        <w:tabs>
          <w:tab w:leader="none" w:pos="1118" w:val="left"/>
        </w:tabs>
        <w:numPr>
          <w:ilvl w:val="0"/>
          <w:numId w:val="230"/>
        </w:numPr>
        <w:rPr>
          <w:rFonts w:ascii="Arial" w:cs="Arial" w:eastAsia="Arial" w:hAnsi="Arial"/>
          <w:sz w:val="21"/>
          <w:szCs w:val="21"/>
          <w:color w:val="auto"/>
        </w:rPr>
      </w:pPr>
      <w:r>
        <w:rPr>
          <w:rFonts w:ascii="Arial" w:cs="Arial" w:eastAsia="Arial" w:hAnsi="Arial"/>
          <w:sz w:val="21"/>
          <w:szCs w:val="21"/>
          <w:i w:val="1"/>
          <w:iCs w:val="1"/>
          <w:color w:val="auto"/>
        </w:rPr>
        <w:t>Other Defaults</w:t>
      </w:r>
      <w:r>
        <w:rPr>
          <w:rFonts w:ascii="Arial" w:cs="Arial" w:eastAsia="Arial" w:hAnsi="Arial"/>
          <w:sz w:val="21"/>
          <w:szCs w:val="21"/>
          <w:color w:val="auto"/>
        </w:rPr>
        <w:t>. Any Loan Party fails to perform or observe any other covenant or agreement (not specified in Sections</w:t>
      </w:r>
      <w:r>
        <w:rPr>
          <w:rFonts w:ascii="Arial" w:cs="Arial" w:eastAsia="Arial" w:hAnsi="Arial"/>
          <w:sz w:val="21"/>
          <w:szCs w:val="21"/>
          <w:i w:val="1"/>
          <w:iCs w:val="1"/>
          <w:color w:val="auto"/>
        </w:rPr>
        <w:t xml:space="preserve"> </w:t>
      </w:r>
      <w:r>
        <w:rPr>
          <w:rFonts w:ascii="Arial" w:cs="Arial" w:eastAsia="Arial" w:hAnsi="Arial"/>
          <w:sz w:val="21"/>
          <w:szCs w:val="21"/>
          <w:color w:val="auto"/>
        </w:rPr>
        <w:t>8.01(a) or (b) above) contained in any Loan Document on its part to be performed or observed and such failure continues for thirty (30) days after written notice thereof by the Administrative Agent to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202</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622"/>
        <w:spacing w:after="0" w:line="216" w:lineRule="auto"/>
        <w:tabs>
          <w:tab w:leader="none" w:pos="1078" w:val="left"/>
        </w:tabs>
        <w:numPr>
          <w:ilvl w:val="0"/>
          <w:numId w:val="231"/>
        </w:numPr>
        <w:rPr>
          <w:rFonts w:ascii="Arial" w:cs="Arial" w:eastAsia="Arial" w:hAnsi="Arial"/>
          <w:sz w:val="21"/>
          <w:szCs w:val="21"/>
          <w:color w:val="auto"/>
        </w:rPr>
      </w:pPr>
      <w:r>
        <w:rPr>
          <w:rFonts w:ascii="Arial" w:cs="Arial" w:eastAsia="Arial" w:hAnsi="Arial"/>
          <w:sz w:val="21"/>
          <w:szCs w:val="21"/>
          <w:i w:val="1"/>
          <w:iCs w:val="1"/>
          <w:color w:val="auto"/>
        </w:rPr>
        <w:t>Representations and Warranties</w:t>
      </w:r>
      <w:r>
        <w:rPr>
          <w:rFonts w:ascii="Arial" w:cs="Arial" w:eastAsia="Arial" w:hAnsi="Arial"/>
          <w:sz w:val="21"/>
          <w:szCs w:val="21"/>
          <w:color w:val="auto"/>
        </w:rPr>
        <w:t>. Any representation, warranty, certification or statement of fact made or deemed made by</w:t>
      </w:r>
      <w:r>
        <w:rPr>
          <w:rFonts w:ascii="Arial" w:cs="Arial" w:eastAsia="Arial" w:hAnsi="Arial"/>
          <w:sz w:val="21"/>
          <w:szCs w:val="21"/>
          <w:i w:val="1"/>
          <w:iCs w:val="1"/>
          <w:color w:val="auto"/>
        </w:rPr>
        <w:t xml:space="preserve"> </w:t>
      </w:r>
      <w:r>
        <w:rPr>
          <w:rFonts w:ascii="Arial" w:cs="Arial" w:eastAsia="Arial" w:hAnsi="Arial"/>
          <w:sz w:val="21"/>
          <w:szCs w:val="21"/>
          <w:color w:val="auto"/>
        </w:rPr>
        <w:t>or on behalf of the Borrower or any other Loan Party herein, in any other Loan Document, or in any document required to be delivered in connection herewith or therewith shall be incorrect in any material respect when made or deemed made and, to the extent capable of being cured, such incorrect representation or warranty shall remain incorrect for a period of thirty (30) days after written notice thereof from the Administrative Agent to the Borrower; or</w:t>
      </w:r>
    </w:p>
    <w:p>
      <w:pPr>
        <w:spacing w:after="0" w:line="150" w:lineRule="exact"/>
        <w:rPr>
          <w:rFonts w:ascii="Arial" w:cs="Arial" w:eastAsia="Arial" w:hAnsi="Arial"/>
          <w:sz w:val="21"/>
          <w:szCs w:val="21"/>
          <w:color w:val="auto"/>
        </w:rPr>
      </w:pPr>
    </w:p>
    <w:p>
      <w:pPr>
        <w:jc w:val="both"/>
        <w:ind w:firstLine="622"/>
        <w:spacing w:after="0" w:line="231" w:lineRule="auto"/>
        <w:tabs>
          <w:tab w:leader="none" w:pos="1105" w:val="left"/>
        </w:tabs>
        <w:numPr>
          <w:ilvl w:val="0"/>
          <w:numId w:val="231"/>
        </w:numPr>
        <w:rPr>
          <w:rFonts w:ascii="Arial" w:cs="Arial" w:eastAsia="Arial" w:hAnsi="Arial"/>
          <w:sz w:val="19"/>
          <w:szCs w:val="19"/>
          <w:color w:val="auto"/>
        </w:rPr>
      </w:pPr>
      <w:r>
        <w:rPr>
          <w:rFonts w:ascii="Arial" w:cs="Arial" w:eastAsia="Arial" w:hAnsi="Arial"/>
          <w:sz w:val="19"/>
          <w:szCs w:val="19"/>
          <w:i w:val="1"/>
          <w:iCs w:val="1"/>
          <w:color w:val="auto"/>
        </w:rPr>
        <w:t>Cross-Default</w:t>
      </w:r>
      <w:r>
        <w:rPr>
          <w:rFonts w:ascii="Arial" w:cs="Arial" w:eastAsia="Arial" w:hAnsi="Arial"/>
          <w:sz w:val="19"/>
          <w:szCs w:val="19"/>
          <w:color w:val="auto"/>
        </w:rPr>
        <w:t>. Any Loan Party or any Restricted Subsidiary (A) fails to make any payment beyond the applicable grace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period with respect thereto, if any, (whether by scheduled maturity, required prepayment, acceleration, demand, or otherwise) in respect of any Indebtedness (other than Indebtedness hereunder) having an outstanding aggregate principal amount of not less than the Threshold Amount, or (B) fails to observe or perform any other agreement or condition (after giving effect to the applicable grace periods with respect thereto) relating to any such Indebtedness (other than Indebtedness hereunder) having an outstanding aggregate principal amount of not less than the Threshold Amount, or any other event occurs (other than, with respect to Indebtedness consisting of Swap Contracts, termination events or equivalent events pursuant to the terms of such Swap Contracts), the effect of which default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 (e)(B)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spacing w:after="0" w:line="153" w:lineRule="exact"/>
        <w:rPr>
          <w:rFonts w:ascii="Arial" w:cs="Arial" w:eastAsia="Arial" w:hAnsi="Arial"/>
          <w:sz w:val="19"/>
          <w:szCs w:val="19"/>
          <w:color w:val="auto"/>
        </w:rPr>
      </w:pPr>
    </w:p>
    <w:p>
      <w:pPr>
        <w:jc w:val="both"/>
        <w:ind w:firstLine="622"/>
        <w:spacing w:after="0" w:line="234" w:lineRule="auto"/>
        <w:tabs>
          <w:tab w:leader="none" w:pos="1083" w:val="left"/>
        </w:tabs>
        <w:numPr>
          <w:ilvl w:val="0"/>
          <w:numId w:val="231"/>
        </w:numPr>
        <w:rPr>
          <w:rFonts w:ascii="Arial" w:cs="Arial" w:eastAsia="Arial" w:hAnsi="Arial"/>
          <w:sz w:val="19"/>
          <w:szCs w:val="19"/>
          <w:color w:val="auto"/>
        </w:rPr>
      </w:pPr>
      <w:r>
        <w:rPr>
          <w:rFonts w:ascii="Arial" w:cs="Arial" w:eastAsia="Arial" w:hAnsi="Arial"/>
          <w:sz w:val="19"/>
          <w:szCs w:val="19"/>
          <w:i w:val="1"/>
          <w:iCs w:val="1"/>
          <w:color w:val="auto"/>
        </w:rPr>
        <w:t>Insolvency Proceedings, Etc</w:t>
      </w:r>
      <w:r>
        <w:rPr>
          <w:rFonts w:ascii="Arial" w:cs="Arial" w:eastAsia="Arial" w:hAnsi="Arial"/>
          <w:sz w:val="19"/>
          <w:szCs w:val="19"/>
          <w:color w:val="auto"/>
        </w:rPr>
        <w:t>. Any Loan Party or any Restricted Subsidiary institutes or consents to the institution of any</w:t>
      </w:r>
      <w:r>
        <w:rPr>
          <w:rFonts w:ascii="Arial" w:cs="Arial" w:eastAsia="Arial" w:hAnsi="Arial"/>
          <w:sz w:val="19"/>
          <w:szCs w:val="19"/>
          <w:i w:val="1"/>
          <w:iCs w:val="1"/>
          <w:color w:val="auto"/>
        </w:rPr>
        <w:t xml:space="preserve"> </w:t>
      </w:r>
      <w:r>
        <w:rPr>
          <w:rFonts w:ascii="Arial" w:cs="Arial" w:eastAsia="Arial" w:hAnsi="Arial"/>
          <w:sz w:val="19"/>
          <w:szCs w:val="19"/>
          <w:color w:val="auto"/>
        </w:rPr>
        <w:t>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52" w:lineRule="exact"/>
        <w:rPr>
          <w:rFonts w:ascii="Arial" w:cs="Arial" w:eastAsia="Arial" w:hAnsi="Arial"/>
          <w:sz w:val="19"/>
          <w:szCs w:val="19"/>
          <w:color w:val="auto"/>
        </w:rPr>
      </w:pPr>
    </w:p>
    <w:p>
      <w:pPr>
        <w:jc w:val="both"/>
        <w:ind w:firstLine="622"/>
        <w:spacing w:after="0" w:line="219" w:lineRule="auto"/>
        <w:tabs>
          <w:tab w:leader="none" w:pos="1091" w:val="left"/>
        </w:tabs>
        <w:numPr>
          <w:ilvl w:val="0"/>
          <w:numId w:val="231"/>
        </w:numPr>
        <w:rPr>
          <w:rFonts w:ascii="Arial" w:cs="Arial" w:eastAsia="Arial" w:hAnsi="Arial"/>
          <w:sz w:val="21"/>
          <w:szCs w:val="21"/>
          <w:color w:val="auto"/>
        </w:rPr>
      </w:pPr>
      <w:r>
        <w:rPr>
          <w:rFonts w:ascii="Arial" w:cs="Arial" w:eastAsia="Arial" w:hAnsi="Arial"/>
          <w:sz w:val="21"/>
          <w:szCs w:val="21"/>
          <w:i w:val="1"/>
          <w:iCs w:val="1"/>
          <w:color w:val="auto"/>
        </w:rPr>
        <w:t>Inability to Pay Debts; Attachment</w:t>
      </w:r>
      <w:r>
        <w:rPr>
          <w:rFonts w:ascii="Arial" w:cs="Arial" w:eastAsia="Arial" w:hAnsi="Arial"/>
          <w:sz w:val="21"/>
          <w:szCs w:val="21"/>
          <w:color w:val="auto"/>
        </w:rPr>
        <w:t>. (i) Any Loan Party or any Restricted Subsidiary becomes unable or admits in writing</w:t>
      </w:r>
      <w:r>
        <w:rPr>
          <w:rFonts w:ascii="Arial" w:cs="Arial" w:eastAsia="Arial" w:hAnsi="Arial"/>
          <w:sz w:val="21"/>
          <w:szCs w:val="21"/>
          <w:i w:val="1"/>
          <w:iCs w:val="1"/>
          <w:color w:val="auto"/>
        </w:rPr>
        <w:t xml:space="preserve"> </w:t>
      </w:r>
      <w:r>
        <w:rPr>
          <w:rFonts w:ascii="Arial" w:cs="Arial" w:eastAsia="Arial" w:hAnsi="Arial"/>
          <w:sz w:val="21"/>
          <w:szCs w:val="21"/>
          <w:color w:val="auto"/>
        </w:rPr>
        <w:t>its inability or fails generally to pay its debts as 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203</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61" w:lineRule="auto"/>
        <w:tabs>
          <w:tab w:leader="none" w:pos="1066"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Judgments</w:t>
      </w:r>
      <w:r>
        <w:rPr>
          <w:rFonts w:ascii="Arial" w:cs="Arial" w:eastAsia="Arial" w:hAnsi="Arial"/>
          <w:sz w:val="18"/>
          <w:szCs w:val="18"/>
          <w:color w:val="auto"/>
        </w:rPr>
        <w:t>. There is entered against any Loan Party or any Restricted Subsidiary a final judgment or order for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money in an aggregate amount exceeding the Threshold Amount (to the extent not covered by independent third-party insurance as to which the insurer has been notified of such judgment or order and has not denied coverage) and such judgment or order shall not have been satisfied, vacated, discharged or stayed or bonded pending an appeal for a period of sixty (60) consecutive days; or</w:t>
      </w:r>
    </w:p>
    <w:p>
      <w:pPr>
        <w:spacing w:after="0" w:line="130" w:lineRule="exact"/>
        <w:rPr>
          <w:rFonts w:ascii="Arial" w:cs="Arial" w:eastAsia="Arial" w:hAnsi="Arial"/>
          <w:sz w:val="18"/>
          <w:szCs w:val="18"/>
          <w:color w:val="auto"/>
        </w:rPr>
      </w:pPr>
    </w:p>
    <w:p>
      <w:pPr>
        <w:jc w:val="both"/>
        <w:ind w:firstLine="622"/>
        <w:spacing w:after="0" w:line="222" w:lineRule="auto"/>
        <w:tabs>
          <w:tab w:leader="none" w:pos="1045" w:val="left"/>
        </w:tabs>
        <w:numPr>
          <w:ilvl w:val="0"/>
          <w:numId w:val="232"/>
        </w:numPr>
        <w:rPr>
          <w:rFonts w:ascii="Arial" w:cs="Arial" w:eastAsia="Arial" w:hAnsi="Arial"/>
          <w:sz w:val="20"/>
          <w:szCs w:val="20"/>
          <w:color w:val="auto"/>
        </w:rPr>
      </w:pPr>
      <w:r>
        <w:rPr>
          <w:rFonts w:ascii="Arial" w:cs="Arial" w:eastAsia="Arial" w:hAnsi="Arial"/>
          <w:sz w:val="20"/>
          <w:szCs w:val="20"/>
          <w:i w:val="1"/>
          <w:iCs w:val="1"/>
          <w:color w:val="auto"/>
        </w:rPr>
        <w:t>Invalidity of Loan Documents</w:t>
      </w:r>
      <w:r>
        <w:rPr>
          <w:rFonts w:ascii="Arial" w:cs="Arial" w:eastAsia="Arial" w:hAnsi="Arial"/>
          <w:sz w:val="20"/>
          <w:szCs w:val="20"/>
          <w:color w:val="auto"/>
        </w:rPr>
        <w:t>. Any material provision of any Loan Document, at any time after its execution and delivery</w:t>
      </w:r>
      <w:r>
        <w:rPr>
          <w:rFonts w:ascii="Arial" w:cs="Arial" w:eastAsia="Arial" w:hAnsi="Arial"/>
          <w:sz w:val="20"/>
          <w:szCs w:val="20"/>
          <w:i w:val="1"/>
          <w:iCs w:val="1"/>
          <w:color w:val="auto"/>
        </w:rPr>
        <w:t xml:space="preserve"> </w:t>
      </w:r>
      <w:r>
        <w:rPr>
          <w:rFonts w:ascii="Arial" w:cs="Arial" w:eastAsia="Arial" w:hAnsi="Arial"/>
          <w:sz w:val="20"/>
          <w:szCs w:val="20"/>
          <w:color w:val="auto"/>
        </w:rPr>
        <w:t>and for any reason other than as expressly permitted hereunder or thereunder (including as a result of a transaction permitted under Sections 7.04 or 7.05) or as a result of acts or omissions by the Administrative Agent or Collateral Agent or any Lender or the satisfaction in full of all the Obligations, ceases to be in full force and effect; or any Loan Party contests in writing the validity or enforceability of any provision of any Loan Document or the validity or priority of a Lien as required by the Collateral Documents on a material portion of the Collateral; or any Loan Party denies in writing that it has any or further liability or obligation under any Loan Document (other than as a result of repayment in full of the Obligations and termination of the Aggregate Commitments), or purports in writing to revoke or rescind any Loan Document; or</w:t>
      </w:r>
    </w:p>
    <w:p>
      <w:pPr>
        <w:spacing w:after="0" w:line="154" w:lineRule="exact"/>
        <w:rPr>
          <w:rFonts w:ascii="Arial" w:cs="Arial" w:eastAsia="Arial" w:hAnsi="Arial"/>
          <w:sz w:val="20"/>
          <w:szCs w:val="20"/>
          <w:color w:val="auto"/>
        </w:rPr>
      </w:pPr>
    </w:p>
    <w:p>
      <w:pPr>
        <w:ind w:left="1020" w:hanging="398"/>
        <w:spacing w:after="0"/>
        <w:tabs>
          <w:tab w:leader="none" w:pos="1020" w:val="left"/>
        </w:tabs>
        <w:numPr>
          <w:ilvl w:val="0"/>
          <w:numId w:val="232"/>
        </w:numPr>
        <w:rPr>
          <w:rFonts w:ascii="Arial" w:cs="Arial" w:eastAsia="Arial" w:hAnsi="Arial"/>
          <w:sz w:val="21"/>
          <w:szCs w:val="21"/>
          <w:color w:val="auto"/>
        </w:rPr>
      </w:pPr>
      <w:r>
        <w:rPr>
          <w:rFonts w:ascii="Arial" w:cs="Arial" w:eastAsia="Arial" w:hAnsi="Arial"/>
          <w:sz w:val="21"/>
          <w:szCs w:val="21"/>
          <w:i w:val="1"/>
          <w:iCs w:val="1"/>
          <w:color w:val="auto"/>
        </w:rPr>
        <w:t>Change of Control</w:t>
      </w:r>
      <w:r>
        <w:rPr>
          <w:rFonts w:ascii="Arial" w:cs="Arial" w:eastAsia="Arial" w:hAnsi="Arial"/>
          <w:sz w:val="21"/>
          <w:szCs w:val="21"/>
          <w:color w:val="auto"/>
        </w:rPr>
        <w:t>. There occurs any Change of Control; or</w:t>
      </w:r>
    </w:p>
    <w:p>
      <w:pPr>
        <w:spacing w:after="0" w:line="171" w:lineRule="exact"/>
        <w:rPr>
          <w:rFonts w:ascii="Arial" w:cs="Arial" w:eastAsia="Arial" w:hAnsi="Arial"/>
          <w:sz w:val="21"/>
          <w:szCs w:val="21"/>
          <w:color w:val="auto"/>
        </w:rPr>
      </w:pPr>
    </w:p>
    <w:p>
      <w:pPr>
        <w:jc w:val="both"/>
        <w:ind w:firstLine="622"/>
        <w:spacing w:after="0" w:line="234" w:lineRule="auto"/>
        <w:tabs>
          <w:tab w:leader="none" w:pos="1233" w:val="left"/>
        </w:tabs>
        <w:numPr>
          <w:ilvl w:val="0"/>
          <w:numId w:val="232"/>
        </w:numPr>
        <w:rPr>
          <w:rFonts w:ascii="Arial" w:cs="Arial" w:eastAsia="Arial" w:hAnsi="Arial"/>
          <w:sz w:val="19"/>
          <w:szCs w:val="19"/>
          <w:color w:val="auto"/>
        </w:rPr>
      </w:pPr>
      <w:r>
        <w:rPr>
          <w:rFonts w:ascii="Arial" w:cs="Arial" w:eastAsia="Arial" w:hAnsi="Arial"/>
          <w:sz w:val="19"/>
          <w:szCs w:val="19"/>
          <w:i w:val="1"/>
          <w:iCs w:val="1"/>
          <w:color w:val="auto"/>
        </w:rPr>
        <w:t>Collateral Documents</w:t>
      </w:r>
      <w:r>
        <w:rPr>
          <w:rFonts w:ascii="Arial" w:cs="Arial" w:eastAsia="Arial" w:hAnsi="Arial"/>
          <w:sz w:val="19"/>
          <w:szCs w:val="19"/>
          <w:color w:val="auto"/>
        </w:rPr>
        <w:t>. Any Collateral Document after delivery thereof pursuant to the Original Credit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Sections 4.01, 6.11, 6.13, 6.16 or the Security Agreement shall for any reason (other than pursuant to the terms thereof including as a result of a transaction not prohibited under this Agreement) cease to create a valid and perfected Lien, with the priority required by the Collateral Documents and the Intercreditor Agreements on and security interest in any material portion of the Collateral purported to be covered thereby, subject to Liens permitted under Section 7.01, except to the extent that any such perfection or priority is not required pursuant to the Collateral and Guarantee Requirement or any loss thereof results from the failure of the Administrative Agent or the Collateral Agent to maintain possession of certificates actually delivered to it representing securities pledged under the Collateral Documents or to file Uniform Commercial Code continuation statements; or</w:t>
      </w:r>
    </w:p>
    <w:p>
      <w:pPr>
        <w:spacing w:after="0" w:line="152" w:lineRule="exact"/>
        <w:rPr>
          <w:rFonts w:ascii="Arial" w:cs="Arial" w:eastAsia="Arial" w:hAnsi="Arial"/>
          <w:sz w:val="19"/>
          <w:szCs w:val="19"/>
          <w:color w:val="auto"/>
        </w:rPr>
      </w:pPr>
    </w:p>
    <w:p>
      <w:pPr>
        <w:jc w:val="both"/>
        <w:ind w:firstLine="622"/>
        <w:spacing w:after="0" w:line="239" w:lineRule="auto"/>
        <w:tabs>
          <w:tab w:leader="none" w:pos="1097" w:val="left"/>
        </w:tabs>
        <w:numPr>
          <w:ilvl w:val="0"/>
          <w:numId w:val="232"/>
        </w:numPr>
        <w:rPr>
          <w:rFonts w:ascii="Arial" w:cs="Arial" w:eastAsia="Arial" w:hAnsi="Arial"/>
          <w:sz w:val="19"/>
          <w:szCs w:val="19"/>
          <w:color w:val="auto"/>
        </w:rPr>
      </w:pPr>
      <w:r>
        <w:rPr>
          <w:rFonts w:ascii="Arial" w:cs="Arial" w:eastAsia="Arial" w:hAnsi="Arial"/>
          <w:sz w:val="19"/>
          <w:szCs w:val="19"/>
          <w:i w:val="1"/>
          <w:iCs w:val="1"/>
          <w:color w:val="auto"/>
        </w:rPr>
        <w:t>ERISA</w:t>
      </w:r>
      <w:r>
        <w:rPr>
          <w:rFonts w:ascii="Arial" w:cs="Arial" w:eastAsia="Arial" w:hAnsi="Arial"/>
          <w:sz w:val="19"/>
          <w:szCs w:val="19"/>
          <w:color w:val="auto"/>
        </w:rPr>
        <w:t>. (i) An ERISA Event occurs which has resulted or would reasonably be expected to result in liability of a Loan</w:t>
      </w:r>
      <w:r>
        <w:rPr>
          <w:rFonts w:ascii="Arial" w:cs="Arial" w:eastAsia="Arial" w:hAnsi="Arial"/>
          <w:sz w:val="19"/>
          <w:szCs w:val="19"/>
          <w:i w:val="1"/>
          <w:iCs w:val="1"/>
          <w:color w:val="auto"/>
        </w:rPr>
        <w:t xml:space="preserve"> </w:t>
      </w:r>
      <w:r>
        <w:rPr>
          <w:rFonts w:ascii="Arial" w:cs="Arial" w:eastAsia="Arial" w:hAnsi="Arial"/>
          <w:sz w:val="19"/>
          <w:szCs w:val="19"/>
          <w:color w:val="auto"/>
        </w:rPr>
        <w:t>Party or a Restricted Subsidiary or any ERISA Affiliate in an aggregate amount which would reasonably be expected to result in a Material Adverse Effect, or (ii) a Loan Party, any Restricted Subsidiary or any ERISA Affiliate fails to pay when due, after the expiration of any applicable grace period, any installment payment with respect to its withdrawal liability under Section 4201 of ERISA under a Multiemployer Plan in an aggregate amount which would reasonably be expected to result in a Material Adverse Effect.</w:t>
      </w:r>
    </w:p>
    <w:p>
      <w:pPr>
        <w:spacing w:after="0" w:line="150"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9"/>
          <w:szCs w:val="19"/>
          <w:color w:val="auto"/>
        </w:rPr>
        <w:t>Notwithstanding anything to the contrary contained herein or in any other Loan Document, any Default or Event of Default under the Loan Documents or similarly defined term hereunder or thereunder (and any Default or Event of Default under the Loan Documents or similarly defined term hereunder or thereunder resulting from failure to provide notice thereof) resulting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204</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316" w:lineRule="exact"/>
        <w:rPr>
          <w:sz w:val="20"/>
          <w:szCs w:val="20"/>
          <w:color w:val="auto"/>
        </w:rPr>
      </w:pPr>
    </w:p>
    <w:p>
      <w:pPr>
        <w:ind w:firstLine="6"/>
        <w:spacing w:after="0" w:line="213" w:lineRule="auto"/>
        <w:rPr>
          <w:sz w:val="20"/>
          <w:szCs w:val="20"/>
          <w:color w:val="auto"/>
        </w:rPr>
      </w:pPr>
      <w:r>
        <w:rPr>
          <w:rFonts w:ascii="Arial" w:cs="Arial" w:eastAsia="Arial" w:hAnsi="Arial"/>
          <w:sz w:val="21"/>
          <w:szCs w:val="21"/>
          <w:color w:val="auto"/>
        </w:rPr>
        <w:t>failure to deliver a notice pursuant to Section 6.03(a) shall cease to exist and be cured in all respects if the underlying Default or Event of Default giving rise to such notice requirement shall have ceased to exist and/or be cured.</w:t>
      </w:r>
    </w:p>
    <w:p>
      <w:pPr>
        <w:spacing w:after="0" w:line="2" w:lineRule="exact"/>
        <w:rPr>
          <w:sz w:val="20"/>
          <w:szCs w:val="20"/>
          <w:color w:val="auto"/>
        </w:rPr>
      </w:pPr>
    </w:p>
    <w:p>
      <w:pPr>
        <w:ind w:firstLine="619"/>
        <w:spacing w:after="0" w:line="224"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i w:val="1"/>
          <w:iCs w:val="1"/>
          <w:color w:val="auto"/>
        </w:rPr>
        <w:t>Remedies Upon Event of Default</w:t>
      </w:r>
      <w:r>
        <w:rPr>
          <w:rFonts w:ascii="Arial" w:cs="Arial" w:eastAsia="Arial" w:hAnsi="Arial"/>
          <w:sz w:val="21"/>
          <w:szCs w:val="21"/>
          <w:color w:val="auto"/>
        </w:rPr>
        <w:t>. If any Event of Default occurs and is continuing, the Administrative Agent may and, at the request of the Required Lenders, shall take any or all of the following actions:</w:t>
      </w:r>
    </w:p>
    <w:p>
      <w:pPr>
        <w:spacing w:after="0" w:line="150" w:lineRule="exact"/>
        <w:rPr>
          <w:sz w:val="20"/>
          <w:szCs w:val="20"/>
          <w:color w:val="auto"/>
        </w:rPr>
      </w:pPr>
    </w:p>
    <w:p>
      <w:pPr>
        <w:ind w:left="620" w:firstLine="621"/>
        <w:spacing w:after="0" w:line="233" w:lineRule="auto"/>
        <w:tabs>
          <w:tab w:leader="none" w:pos="1689" w:val="left"/>
        </w:tabs>
        <w:numPr>
          <w:ilvl w:val="0"/>
          <w:numId w:val="233"/>
        </w:numPr>
        <w:rPr>
          <w:rFonts w:ascii="Arial" w:cs="Arial" w:eastAsia="Arial" w:hAnsi="Arial"/>
          <w:sz w:val="21"/>
          <w:szCs w:val="21"/>
          <w:color w:val="auto"/>
        </w:rPr>
      </w:pPr>
      <w:r>
        <w:rPr>
          <w:rFonts w:ascii="Arial" w:cs="Arial" w:eastAsia="Arial" w:hAnsi="Arial"/>
          <w:sz w:val="21"/>
          <w:szCs w:val="21"/>
          <w:color w:val="auto"/>
        </w:rPr>
        <w:t>declare the commitment of each Lender to make Loans and any obligation of the L/C Issuers to make L/C Credit Extensions to be terminated, whereupon such commitments and obligation shall be terminated;</w:t>
      </w:r>
    </w:p>
    <w:p>
      <w:pPr>
        <w:spacing w:after="0" w:line="149" w:lineRule="exact"/>
        <w:rPr>
          <w:rFonts w:ascii="Arial" w:cs="Arial" w:eastAsia="Arial" w:hAnsi="Arial"/>
          <w:sz w:val="21"/>
          <w:szCs w:val="21"/>
          <w:color w:val="auto"/>
        </w:rPr>
      </w:pPr>
    </w:p>
    <w:p>
      <w:pPr>
        <w:jc w:val="both"/>
        <w:ind w:left="620" w:firstLine="621"/>
        <w:spacing w:after="0" w:line="251" w:lineRule="auto"/>
        <w:tabs>
          <w:tab w:leader="none" w:pos="1714" w:val="left"/>
        </w:tabs>
        <w:numPr>
          <w:ilvl w:val="0"/>
          <w:numId w:val="233"/>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39" w:lineRule="exact"/>
        <w:rPr>
          <w:rFonts w:ascii="Arial" w:cs="Arial" w:eastAsia="Arial" w:hAnsi="Arial"/>
          <w:sz w:val="19"/>
          <w:szCs w:val="19"/>
          <w:color w:val="auto"/>
        </w:rPr>
      </w:pPr>
    </w:p>
    <w:p>
      <w:pPr>
        <w:ind w:left="620" w:firstLine="621"/>
        <w:spacing w:after="0" w:line="233" w:lineRule="auto"/>
        <w:tabs>
          <w:tab w:leader="none" w:pos="1845" w:val="left"/>
        </w:tabs>
        <w:numPr>
          <w:ilvl w:val="0"/>
          <w:numId w:val="233"/>
        </w:numPr>
        <w:rPr>
          <w:rFonts w:ascii="Arial" w:cs="Arial" w:eastAsia="Arial" w:hAnsi="Arial"/>
          <w:sz w:val="21"/>
          <w:szCs w:val="21"/>
          <w:color w:val="auto"/>
        </w:rPr>
      </w:pPr>
      <w:r>
        <w:rPr>
          <w:rFonts w:ascii="Arial" w:cs="Arial" w:eastAsia="Arial" w:hAnsi="Arial"/>
          <w:sz w:val="21"/>
          <w:szCs w:val="21"/>
          <w:color w:val="auto"/>
        </w:rPr>
        <w:t>require that the Borrower Cash Collateralize the L/C Obligations (in an amount equal to the then Outstanding Amount thereof); and</w:t>
      </w:r>
    </w:p>
    <w:p>
      <w:pPr>
        <w:spacing w:after="0" w:line="149" w:lineRule="exact"/>
        <w:rPr>
          <w:rFonts w:ascii="Arial" w:cs="Arial" w:eastAsia="Arial" w:hAnsi="Arial"/>
          <w:sz w:val="21"/>
          <w:szCs w:val="21"/>
          <w:color w:val="auto"/>
        </w:rPr>
      </w:pPr>
    </w:p>
    <w:p>
      <w:pPr>
        <w:ind w:left="620" w:firstLine="621"/>
        <w:spacing w:after="0" w:line="233" w:lineRule="auto"/>
        <w:tabs>
          <w:tab w:leader="none" w:pos="1771" w:val="left"/>
        </w:tabs>
        <w:numPr>
          <w:ilvl w:val="0"/>
          <w:numId w:val="233"/>
        </w:numPr>
        <w:rPr>
          <w:rFonts w:ascii="Arial" w:cs="Arial" w:eastAsia="Arial" w:hAnsi="Arial"/>
          <w:sz w:val="21"/>
          <w:szCs w:val="21"/>
          <w:color w:val="auto"/>
        </w:rPr>
      </w:pPr>
      <w:r>
        <w:rPr>
          <w:rFonts w:ascii="Arial" w:cs="Arial" w:eastAsia="Arial" w:hAnsi="Arial"/>
          <w:sz w:val="21"/>
          <w:szCs w:val="21"/>
          <w:color w:val="auto"/>
        </w:rPr>
        <w:t>exercise on behalf of itself and the Lenders all rights and remedies available to it and the Lenders under the Loan Documents or applicable Law;</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upon the occurrence of an actual or deemed entry of an order for relief with respect to the Borrower under the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Code of the United States,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38"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i w:val="1"/>
          <w:iCs w:val="1"/>
          <w:color w:val="auto"/>
        </w:rPr>
        <w:t>Exclusion of Immaterial Subsidiaries</w:t>
      </w:r>
      <w:r>
        <w:rPr>
          <w:rFonts w:ascii="Arial" w:cs="Arial" w:eastAsia="Arial" w:hAnsi="Arial"/>
          <w:sz w:val="20"/>
          <w:szCs w:val="20"/>
          <w:color w:val="auto"/>
        </w:rPr>
        <w:t>. Solely for the purpose of determining whether a Default or Event of Default has occurred under Section 8.01(f) or (g), any reference in any such clause to any Restricted Subsidiary or Loan Party shall be deemed not to include any Restricted Subsidiary (an “</w:t>
      </w:r>
      <w:r>
        <w:rPr>
          <w:rFonts w:ascii="Arial" w:cs="Arial" w:eastAsia="Arial" w:hAnsi="Arial"/>
          <w:sz w:val="20"/>
          <w:szCs w:val="20"/>
          <w:b w:val="1"/>
          <w:bCs w:val="1"/>
          <w:color w:val="auto"/>
        </w:rPr>
        <w:t>Immaterial Subsidiary</w:t>
      </w:r>
      <w:r>
        <w:rPr>
          <w:rFonts w:ascii="Arial" w:cs="Arial" w:eastAsia="Arial" w:hAnsi="Arial"/>
          <w:sz w:val="20"/>
          <w:szCs w:val="20"/>
          <w:color w:val="auto"/>
        </w:rPr>
        <w:t>”) affected by any event or circumstances referred to in any such clause that did not, as of the last day of the most recent completed fiscal quarter of the Borrower, have assets with a fair market value in excess of 2.5% of Total Assets (it being agreed that all Restricted Subsidiaries affected by any event or circumstance referred to in any such clause shall be considered together, as a single consolidated Restricted Subsidiary, for purposes of determining whether the condition specified above is satisfied).</w:t>
      </w:r>
    </w:p>
    <w:p>
      <w:pPr>
        <w:spacing w:after="0" w:line="154"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i w:val="1"/>
          <w:iCs w:val="1"/>
          <w:color w:val="auto"/>
        </w:rPr>
        <w:t>Application of Funds</w:t>
      </w:r>
      <w:r>
        <w:rPr>
          <w:rFonts w:ascii="Arial" w:cs="Arial" w:eastAsia="Arial" w:hAnsi="Arial"/>
          <w:sz w:val="21"/>
          <w:szCs w:val="21"/>
          <w:color w:val="auto"/>
        </w:rPr>
        <w:t>. After the exercise of remedies provided for in Section 8.02 (or after the Loans have automatically become immediately due and payable and the L/C Obligations have automatically been required to be Cash Collateralized as set forth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205</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316"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color w:val="auto"/>
        </w:rPr>
        <w:t>proviso to Section 8.02), any amounts received on account of the Obligations shall, subject to any Intercreditor Agreements then in effect, be applied by the Administrative Agent in the following order (to the fullest extent permitted by mandatory provisions of applicable Law):</w:t>
      </w:r>
    </w:p>
    <w:p>
      <w:pPr>
        <w:spacing w:after="0" w:line="149"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First, to payment of that portion of the Obligations constituting fees, indemnities, expenses and other amounts (other than principal and interest, but including Attorney Costs payable under Section 10.04 and amounts payable under Article 3) payable to the Administrative Agent or the Collateral Agent in its capacity as such;</w:t>
      </w:r>
    </w:p>
    <w:p>
      <w:pPr>
        <w:spacing w:after="0" w:line="149"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Second, to payment of that portion of the Obligations constituting fees, indemnities and other amounts (other than principal and interest and other than obligations under Secured Hedge Agreements and Treasury Services Agreements) payable to the Lenders (including Attorney Costs payable under Section 10.04 and amounts payable under Article 3), ratably among them in proportion to the amounts described in this clause Second payable to them;</w:t>
      </w:r>
    </w:p>
    <w:p>
      <w:pPr>
        <w:spacing w:after="0" w:line="150"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9"/>
          <w:szCs w:val="19"/>
          <w:color w:val="auto"/>
        </w:rPr>
        <w:t>Third, to payment of that portion of the Obligations constituting accrued and unpaid interest on the Loans and L/C Borrowings, and any fees, premiums and scheduled periodic payments due under Treasury Services Agreements or Secured Hedge Agreements, ratably among the Secured Parties in proportion to the respective amounts described in this clause Third payable to them;</w:t>
      </w:r>
    </w:p>
    <w:p>
      <w:pPr>
        <w:spacing w:after="0" w:line="140"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9"/>
          <w:szCs w:val="19"/>
          <w:color w:val="auto"/>
        </w:rPr>
        <w:t>Fourth, to payment of that portion of the Obligations constituting unpaid principal of the Loans and L/C Borrowings (including to Cash Collateralize that portion of L/C Obligations comprised of the aggregate undrawn amount of Letters of Credit), and any breakage, termination or other payments under Treasury Services Agreements or Secured Hedge Agreements, ratably among the Secured Parties in proportion to the respective amounts described in this clause Fourth held by them;</w:t>
      </w:r>
    </w:p>
    <w:p>
      <w:pPr>
        <w:spacing w:after="0" w:line="14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Fifth, to the payment of all other Obligations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Last, the balance, if any, after all of the Obligations have been paid in full, to the Borrower or as otherwise required by Law.</w:t>
      </w:r>
    </w:p>
    <w:p>
      <w:pPr>
        <w:spacing w:after="0" w:line="194"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Subject to Section 2.03(g), amounts used to Cash Collateralize the aggregate undrawn amount of Letters of Credit pursuant to clause Fourth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 as applicable. Notwithstanding the foregoing, no amounts received from any Guarantor shall be applied to any Excluded Swap Obligation of such Guarantor.</w:t>
      </w:r>
    </w:p>
    <w:p>
      <w:pPr>
        <w:spacing w:after="0" w:line="152"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i w:val="1"/>
          <w:iCs w:val="1"/>
          <w:color w:val="auto"/>
        </w:rPr>
        <w:t>Borrower’s Right to Cure</w:t>
      </w:r>
      <w:r>
        <w:rPr>
          <w:rFonts w:ascii="Arial" w:cs="Arial" w:eastAsia="Arial" w:hAnsi="Arial"/>
          <w:sz w:val="21"/>
          <w:szCs w:val="21"/>
          <w:color w:val="auto"/>
        </w:rPr>
        <w:t>. (a) Notwithstanding anything to the contrary contained in Sections 8.01 or 8.02, if the Borrower determines that an Event of Default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206</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316" w:lineRule="exact"/>
        <w:rPr>
          <w:sz w:val="20"/>
          <w:szCs w:val="20"/>
          <w:color w:val="auto"/>
        </w:rPr>
      </w:pPr>
    </w:p>
    <w:p>
      <w:pPr>
        <w:jc w:val="both"/>
        <w:ind w:firstLine="6"/>
        <w:spacing w:after="0" w:line="229" w:lineRule="auto"/>
        <w:rPr>
          <w:sz w:val="20"/>
          <w:szCs w:val="20"/>
          <w:color w:val="auto"/>
        </w:rPr>
      </w:pPr>
      <w:r>
        <w:rPr>
          <w:rFonts w:ascii="Arial" w:cs="Arial" w:eastAsia="Arial" w:hAnsi="Arial"/>
          <w:sz w:val="19"/>
          <w:szCs w:val="19"/>
          <w:color w:val="auto"/>
        </w:rPr>
        <w:t>covenant set forth in Section 7.11 has occurred or may occur, during the period commencing after the beginning of the last fiscal quarter included in such Test Period and ending ten (10) Business Days after the date on which financial statements are required to be delivered hereunder with respect to such fiscal quarter (the “</w:t>
      </w:r>
      <w:r>
        <w:rPr>
          <w:rFonts w:ascii="Arial" w:cs="Arial" w:eastAsia="Arial" w:hAnsi="Arial"/>
          <w:sz w:val="19"/>
          <w:szCs w:val="19"/>
          <w:b w:val="1"/>
          <w:bCs w:val="1"/>
          <w:color w:val="auto"/>
        </w:rPr>
        <w:t>Cure Expiration Date</w:t>
      </w:r>
      <w:r>
        <w:rPr>
          <w:rFonts w:ascii="Arial" w:cs="Arial" w:eastAsia="Arial" w:hAnsi="Arial"/>
          <w:sz w:val="19"/>
          <w:szCs w:val="19"/>
          <w:color w:val="auto"/>
        </w:rPr>
        <w:t>”), a Specified Equity Contribution may be made to the Borrower (a “</w:t>
      </w:r>
      <w:r>
        <w:rPr>
          <w:rFonts w:ascii="Arial" w:cs="Arial" w:eastAsia="Arial" w:hAnsi="Arial"/>
          <w:sz w:val="19"/>
          <w:szCs w:val="19"/>
          <w:b w:val="1"/>
          <w:bCs w:val="1"/>
          <w:color w:val="auto"/>
        </w:rPr>
        <w:t>Designated Equity Contribution</w:t>
      </w:r>
      <w:r>
        <w:rPr>
          <w:rFonts w:ascii="Arial" w:cs="Arial" w:eastAsia="Arial" w:hAnsi="Arial"/>
          <w:sz w:val="19"/>
          <w:szCs w:val="19"/>
          <w:color w:val="auto"/>
        </w:rPr>
        <w:t xml:space="preserve">”), and the amount of the net cash proceeds thereof shall be deemed to increase Consolidated EBITDA with respect to such applicable quarter;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net cash proceeds (i) are actually received by the Borrower as cash common equity (including through capital contribution of such net cash proceeds to the Borrower) during the period commencing after the beginning of the last fiscal quarter included in such Test Period by the Borrower and ending on the Cure Expiration Date and (ii) are Not Otherwise Applied. The parties hereby acknowledge that this Section 8.05(a) may not be relied on for purposes of calculating any financial ratios (other than as applicable to Section 7.11) and shall not result in any adjustment to any baskets or other amounts other than the amount of the Consolidated EBITDA for the purpose of Section 7.11. Notwithstanding anything to the contrary contained in Section 8.01 and Section 8.02, (A) upon designation of the Designated Equity Contribution by the Borrower in an amount necessary to cure any Event of Default under the covenant set forth in Section 7.11, such covenant will be deemed satisfied and complied with as of the end of the relevant fiscal quarter with the same effect as though there had been no failure to comply with such covenant and any Event of Default under such covenant (and any other Default as a result thereof) will be deemed not to have occurred for purposes of the Loan Documents, and (B) from and after the date that the Borrower delivers a written notice to the Administrative Agent that it intends to exercise its cure right under this Section 8.05 (a “</w:t>
      </w:r>
      <w:r>
        <w:rPr>
          <w:rFonts w:ascii="Arial" w:cs="Arial" w:eastAsia="Arial" w:hAnsi="Arial"/>
          <w:sz w:val="19"/>
          <w:szCs w:val="19"/>
          <w:b w:val="1"/>
          <w:bCs w:val="1"/>
          <w:color w:val="auto"/>
        </w:rPr>
        <w:t>Notice of Intent to Cure</w:t>
      </w:r>
      <w:r>
        <w:rPr>
          <w:rFonts w:ascii="Arial" w:cs="Arial" w:eastAsia="Arial" w:hAnsi="Arial"/>
          <w:sz w:val="19"/>
          <w:szCs w:val="19"/>
          <w:color w:val="auto"/>
        </w:rPr>
        <w:t xml:space="preserve">”) neither the Administrative Agent nor any Lender may exercise any rights or remedies under Section 8.02 (or under any other Loan Document) on the basis of any actual or purported Event of Default under the covenant set forth in Section 7.11 with respect to the quarter for which a Notice of Intent to Cure has been provided until and unless the Cure Expiration Date has occurred without the Designated Equity Contribution having been designated;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permitted to borrow Revolving Credit Loans and Swing Line Loans and make any request for an L/C Credit Extension until and unless the Cure Expiration Date has occurred without the Designated Equity Contribution having been designated (unless all such Defaults and Events of Defaults have otherwise been waived in accordance with the terms of this Agreement).</w:t>
      </w:r>
    </w:p>
    <w:p>
      <w:pPr>
        <w:spacing w:after="0" w:line="181" w:lineRule="exact"/>
        <w:rPr>
          <w:sz w:val="20"/>
          <w:szCs w:val="20"/>
          <w:color w:val="auto"/>
        </w:rPr>
      </w:pPr>
    </w:p>
    <w:p>
      <w:pPr>
        <w:jc w:val="both"/>
        <w:ind w:firstLine="622"/>
        <w:spacing w:after="0" w:line="235" w:lineRule="auto"/>
        <w:tabs>
          <w:tab w:leader="none" w:pos="1145"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(i) In each period of four consecutive fiscal quarters, there shall be at least two fiscal quarters in which no Designated Equity Contribution is made, (ii) no more than five Designated Equity Contributions may be made in the aggregate during the term of this Agreement, (iii) the amount of any Designated Equity Contribution shall be no more than the amount required to cause the Borrower to be in Pro Forma Compliance with Section 7.11 for any applicable period and (iv) there shall be no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reduction in Indebtedness with the proceeds of any Designated Equity Contribution for determining compliance with Section 7.11 for the fiscal quarter with respect to which such Designated Equity Contribution was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proceeds are actually applied to prepay Indebtedness, such reduction may be credited in any subsequent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207</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9</w:t>
      </w:r>
    </w:p>
    <w:p>
      <w:pPr>
        <w:jc w:val="center"/>
        <w:spacing w:after="0"/>
        <w:rPr>
          <w:sz w:val="20"/>
          <w:szCs w:val="20"/>
          <w:color w:val="auto"/>
        </w:rPr>
      </w:pPr>
      <w:r>
        <w:rPr>
          <w:rFonts w:ascii="Arial" w:cs="Arial" w:eastAsia="Arial" w:hAnsi="Arial"/>
          <w:sz w:val="21"/>
          <w:szCs w:val="21"/>
          <w:color w:val="auto"/>
        </w:rPr>
        <w:t>ADMINISTRATIVE AGENT AND OTHER AGENTS</w:t>
      </w:r>
    </w:p>
    <w:p>
      <w:pPr>
        <w:spacing w:after="0" w:line="153"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Appointment and Authorization of Agents</w:t>
      </w:r>
      <w:r>
        <w:rPr>
          <w:rFonts w:ascii="Arial" w:cs="Arial" w:eastAsia="Arial" w:hAnsi="Arial"/>
          <w:sz w:val="18"/>
          <w:szCs w:val="18"/>
          <w:color w:val="auto"/>
        </w:rPr>
        <w:t>. (a) Each Lender hereby irrevocably appoints JPMorgan to act on its behalf as the Administrative Agent and Collateral Agent hereunder and under the other Loan Documents, designates and authorizes each of the Administrative Agent and the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hereby expressly authorize the Administrative Agent and Collateral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by any Agent shall bind the Lenders. Notwithstanding any provision to the contrary contained elsewhere herein or in any other Loan Document, neither the Administrative Agent, the Collateral Agent nor any Lead Arranger shall have any duties or responsibilities, except those expressly set forth herein, nor shall the Administrative Agent, the Collateral Agent or any Lead Arranger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the Collateral Agent or any Lead Arranger. Without limiting the generality of the foregoing sentence, the use of the term “</w:t>
      </w:r>
      <w:r>
        <w:rPr>
          <w:rFonts w:ascii="Arial" w:cs="Arial" w:eastAsia="Arial" w:hAnsi="Arial"/>
          <w:sz w:val="18"/>
          <w:szCs w:val="18"/>
          <w:b w:val="1"/>
          <w:bCs w:val="1"/>
          <w:color w:val="auto"/>
        </w:rPr>
        <w:t>agent</w:t>
      </w:r>
      <w:r>
        <w:rPr>
          <w:rFonts w:ascii="Arial" w:cs="Arial" w:eastAsia="Arial" w:hAnsi="Arial"/>
          <w:sz w:val="18"/>
          <w:szCs w:val="18"/>
          <w:color w:val="auto"/>
        </w:rPr>
        <w: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50" w:lineRule="exact"/>
        <w:rPr>
          <w:sz w:val="20"/>
          <w:szCs w:val="20"/>
          <w:color w:val="auto"/>
        </w:rPr>
      </w:pPr>
    </w:p>
    <w:p>
      <w:pPr>
        <w:jc w:val="both"/>
        <w:ind w:firstLine="622"/>
        <w:spacing w:after="0" w:line="237" w:lineRule="auto"/>
        <w:tabs>
          <w:tab w:leader="none" w:pos="1131" w:val="left"/>
        </w:tabs>
        <w:numPr>
          <w:ilvl w:val="0"/>
          <w:numId w:val="235"/>
        </w:numPr>
        <w:rPr>
          <w:rFonts w:ascii="Arial" w:cs="Arial" w:eastAsia="Arial" w:hAnsi="Arial"/>
          <w:sz w:val="19"/>
          <w:szCs w:val="19"/>
          <w:color w:val="auto"/>
        </w:rPr>
      </w:pPr>
      <w:r>
        <w:rPr>
          <w:rFonts w:ascii="Arial" w:cs="Arial" w:eastAsia="Arial" w:hAnsi="Arial"/>
          <w:sz w:val="19"/>
          <w:szCs w:val="19"/>
          <w:color w:val="auto"/>
        </w:rPr>
        <w:t>Each L/C Issuer shall act on behalf of the Lenders with respect to any Letters of Credit issued by it and the documents associated therewith, and each such L/C Issuer shall have all of the benefits and immunities (i) provided to the Agents in this Article 9 with respect to any acts taken or omissions suffered by such L/C Issuer in connection with Letters of Credit issued by it or proposed to be issued by it and the applications and agreements for letters of credit pertaining to such Letters of Credit as fully as if the term “</w:t>
      </w:r>
      <w:r>
        <w:rPr>
          <w:rFonts w:ascii="Arial" w:cs="Arial" w:eastAsia="Arial" w:hAnsi="Arial"/>
          <w:sz w:val="19"/>
          <w:szCs w:val="19"/>
          <w:b w:val="1"/>
          <w:bCs w:val="1"/>
          <w:color w:val="auto"/>
        </w:rPr>
        <w:t>Agent</w:t>
      </w:r>
      <w:r>
        <w:rPr>
          <w:rFonts w:ascii="Arial" w:cs="Arial" w:eastAsia="Arial" w:hAnsi="Arial"/>
          <w:sz w:val="19"/>
          <w:szCs w:val="19"/>
          <w:color w:val="auto"/>
        </w:rPr>
        <w:t>” as used in this Article 9 and in the definition of “</w:t>
      </w:r>
      <w:r>
        <w:rPr>
          <w:rFonts w:ascii="Arial" w:cs="Arial" w:eastAsia="Arial" w:hAnsi="Arial"/>
          <w:sz w:val="19"/>
          <w:szCs w:val="19"/>
          <w:b w:val="1"/>
          <w:bCs w:val="1"/>
          <w:color w:val="auto"/>
        </w:rPr>
        <w:t>Agent-Related Person</w:t>
      </w:r>
      <w:r>
        <w:rPr>
          <w:rFonts w:ascii="Arial" w:cs="Arial" w:eastAsia="Arial" w:hAnsi="Arial"/>
          <w:sz w:val="19"/>
          <w:szCs w:val="19"/>
          <w:color w:val="auto"/>
        </w:rPr>
        <w:t>” included such L/C Issuer with respect to such acts or omissions, and (ii) as additionally provided herein with respect to such L/C Issuer.</w:t>
      </w:r>
    </w:p>
    <w:p>
      <w:pPr>
        <w:spacing w:after="0" w:line="149" w:lineRule="exact"/>
        <w:rPr>
          <w:rFonts w:ascii="Arial" w:cs="Arial" w:eastAsia="Arial" w:hAnsi="Arial"/>
          <w:sz w:val="19"/>
          <w:szCs w:val="19"/>
          <w:color w:val="auto"/>
        </w:rPr>
      </w:pPr>
    </w:p>
    <w:p>
      <w:pPr>
        <w:jc w:val="both"/>
        <w:ind w:firstLine="622"/>
        <w:spacing w:after="0" w:line="237" w:lineRule="auto"/>
        <w:tabs>
          <w:tab w:leader="none" w:pos="1101" w:val="left"/>
        </w:tabs>
        <w:numPr>
          <w:ilvl w:val="0"/>
          <w:numId w:val="235"/>
        </w:numPr>
        <w:rPr>
          <w:rFonts w:ascii="Arial" w:cs="Arial" w:eastAsia="Arial" w:hAnsi="Arial"/>
          <w:sz w:val="19"/>
          <w:szCs w:val="19"/>
          <w:color w:val="auto"/>
        </w:rPr>
      </w:pPr>
      <w:r>
        <w:rPr>
          <w:rFonts w:ascii="Arial" w:cs="Arial" w:eastAsia="Arial" w:hAnsi="Arial"/>
          <w:sz w:val="19"/>
          <w:szCs w:val="19"/>
          <w:color w:val="auto"/>
        </w:rPr>
        <w:t>Each of the Secured Parties (by acceptance of the benefits of the Collateral Documents) hereby irrevocably appoints and authorizes the Collateral Agent to act as the agent of (and to hold any security interest created by the Collateral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In this connection, the Collateral Agent (and any co-agents, sub-agents and attorneys-in-fact appointed by the Administrative Agent pursuant to Section 9.02 for purposes of holding or enforcing any Lien on the Collateral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208</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316" w:lineRule="exact"/>
        <w:rPr>
          <w:sz w:val="20"/>
          <w:szCs w:val="20"/>
          <w:color w:val="auto"/>
        </w:rPr>
      </w:pPr>
    </w:p>
    <w:p>
      <w:pPr>
        <w:jc w:val="both"/>
        <w:ind w:firstLine="6"/>
        <w:spacing w:after="0" w:line="272" w:lineRule="auto"/>
        <w:rPr>
          <w:sz w:val="20"/>
          <w:szCs w:val="20"/>
          <w:color w:val="auto"/>
        </w:rPr>
      </w:pPr>
      <w:r>
        <w:rPr>
          <w:rFonts w:ascii="Arial" w:cs="Arial" w:eastAsia="Arial" w:hAnsi="Arial"/>
          <w:sz w:val="18"/>
          <w:szCs w:val="18"/>
          <w:color w:val="auto"/>
        </w:rPr>
        <w:t>portion thereof) granted under the Collateral Documents, or for exercising any rights and remedies thereunder at the direction of the Collateral Agent), shall be entitled to the benefits of all provisions of this Article 9 (including Section 9.07, as though such co-agents, sub-agents and attorneys-in-fact were the Collateral Agent under the Loan Documents) as if set forth in full herein with respect thereto.</w:t>
      </w:r>
    </w:p>
    <w:p>
      <w:pPr>
        <w:spacing w:after="0" w:line="147" w:lineRule="exact"/>
        <w:rPr>
          <w:sz w:val="20"/>
          <w:szCs w:val="20"/>
          <w:color w:val="auto"/>
        </w:rPr>
      </w:pPr>
    </w:p>
    <w:p>
      <w:pPr>
        <w:jc w:val="both"/>
        <w:ind w:firstLine="622"/>
        <w:spacing w:after="0" w:line="243" w:lineRule="auto"/>
        <w:tabs>
          <w:tab w:leader="none" w:pos="1225" w:val="left"/>
        </w:tabs>
        <w:numPr>
          <w:ilvl w:val="0"/>
          <w:numId w:val="236"/>
        </w:numPr>
        <w:rPr>
          <w:rFonts w:ascii="Arial" w:cs="Arial" w:eastAsia="Arial" w:hAnsi="Arial"/>
          <w:sz w:val="19"/>
          <w:szCs w:val="19"/>
          <w:color w:val="auto"/>
        </w:rPr>
      </w:pPr>
      <w:r>
        <w:rPr>
          <w:rFonts w:ascii="Arial" w:cs="Arial" w:eastAsia="Arial" w:hAnsi="Arial"/>
          <w:sz w:val="19"/>
          <w:szCs w:val="19"/>
          <w:color w:val="auto"/>
        </w:rPr>
        <w:t>Each Lender and each other Secured Party (by acceptance of the benefits of the Collateral Documents) hereby (i) acknowledges that it has received a copy of the Intercreditor Agreements, (ii) agrees that it will be bound by and will take no actions contrary to the provisions of the Intercreditor Agreements to the extent then in effect, and (iii) authorizes and instructs the Collateral Agent to enter into each Intercreditor Agreement as Collateral Agent and on behalf of such Lender or Secured Party.</w:t>
      </w:r>
    </w:p>
    <w:p>
      <w:pPr>
        <w:spacing w:after="0" w:line="146" w:lineRule="exact"/>
        <w:rPr>
          <w:rFonts w:ascii="Arial" w:cs="Arial" w:eastAsia="Arial" w:hAnsi="Arial"/>
          <w:sz w:val="19"/>
          <w:szCs w:val="19"/>
          <w:color w:val="auto"/>
        </w:rPr>
      </w:pPr>
    </w:p>
    <w:p>
      <w:pPr>
        <w:jc w:val="both"/>
        <w:ind w:firstLine="622"/>
        <w:spacing w:after="0" w:line="224" w:lineRule="auto"/>
        <w:tabs>
          <w:tab w:leader="none" w:pos="1265" w:val="left"/>
        </w:tabs>
        <w:numPr>
          <w:ilvl w:val="0"/>
          <w:numId w:val="236"/>
        </w:numPr>
        <w:rPr>
          <w:rFonts w:ascii="Arial" w:cs="Arial" w:eastAsia="Arial" w:hAnsi="Arial"/>
          <w:sz w:val="21"/>
          <w:szCs w:val="21"/>
          <w:color w:val="auto"/>
        </w:rPr>
      </w:pPr>
      <w:r>
        <w:rPr>
          <w:rFonts w:ascii="Arial" w:cs="Arial" w:eastAsia="Arial" w:hAnsi="Arial"/>
          <w:sz w:val="21"/>
          <w:szCs w:val="21"/>
          <w:color w:val="auto"/>
        </w:rPr>
        <w:t>Except as provided in Sections 9.09 and 9.11, the provisions of this Article 9 are solely for the benefit of the Administrative Agent, the Lenders and the L/C Issuer, and neither the Borrower nor any other Loan Party shall have rights as a third-party beneficiary of any of such provisions.</w:t>
      </w:r>
    </w:p>
    <w:p>
      <w:pPr>
        <w:spacing w:after="0" w:line="149"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i w:val="1"/>
          <w:iCs w:val="1"/>
          <w:color w:val="auto"/>
        </w:rPr>
        <w:t>Delegation of Duties</w:t>
      </w:r>
      <w:r>
        <w:rPr>
          <w:rFonts w:ascii="Arial" w:cs="Arial" w:eastAsia="Arial" w:hAnsi="Arial"/>
          <w:sz w:val="19"/>
          <w:szCs w:val="19"/>
          <w:color w:val="auto"/>
        </w:rPr>
        <w:t>. Each of the Administrative Agent and the Collateral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the Collateral Agent and any such sub-agent may perform any and all of its duties and exercise its rights and powers by or through their respective Agent-Related Persons. The exculpatory provisions of this Article shall apply to any such sub-agent and to the Agent-Related Persons of the Administrative Agent, the Collateral Agent and any such sub-agent, and shall apply to their respective activities in connection with the syndication of the Facilities as well as activities as Administrative Agent or Collateral Agent. The Administrative Agent shall not be responsible for the negligence or misconduct of any agent or sub-agent or attorney-in-fact that it selects in the absence of gross negligence or willful misconduct (as determined in the final non-appealable judgment of a court of competent jurisdiction).</w:t>
      </w:r>
    </w:p>
    <w:p>
      <w:pPr>
        <w:spacing w:after="0" w:line="152"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i w:val="1"/>
          <w:iCs w:val="1"/>
          <w:color w:val="auto"/>
        </w:rPr>
        <w:t>Liability of Agents</w:t>
      </w:r>
      <w:r>
        <w:rPr>
          <w:rFonts w:ascii="Arial" w:cs="Arial" w:eastAsia="Arial" w:hAnsi="Arial"/>
          <w:sz w:val="19"/>
          <w:szCs w:val="19"/>
          <w:color w:val="auto"/>
        </w:rPr>
        <w:t>. No Agent-Related Person nor any Lead Arranger shall (a) be liable for any action taken or omitted to be taken by any of them under or in connection with this Agreement or any other Loan Document or the transactions contemplated hereby (except for its own gross negligence or willful misconduct, as determined by the final non-appealable judgment of a court of competent jurisdiction, in connection with its duties expressly set forth herein), (b) except as expressly set forth herein and in the other Loan Documents,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by or in the possession of the Person serving as the Administrative Agent, any Lead Arranger or any of theirRelated Parties in any capacity,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209</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316" w:lineRule="exact"/>
        <w:rPr>
          <w:sz w:val="20"/>
          <w:szCs w:val="20"/>
          <w:color w:val="auto"/>
        </w:rPr>
      </w:pPr>
    </w:p>
    <w:p>
      <w:pPr>
        <w:jc w:val="both"/>
        <w:ind w:firstLine="6"/>
        <w:spacing w:after="0" w:line="229" w:lineRule="auto"/>
        <w:rPr>
          <w:sz w:val="20"/>
          <w:szCs w:val="20"/>
          <w:color w:val="auto"/>
        </w:rPr>
      </w:pPr>
      <w:r>
        <w:rPr>
          <w:rFonts w:ascii="Arial" w:cs="Arial" w:eastAsia="Arial" w:hAnsi="Arial"/>
          <w:sz w:val="19"/>
          <w:szCs w:val="19"/>
          <w:color w:val="auto"/>
        </w:rPr>
        <w:t xml:space="preserve">be responsible for or have any duty to ascertain or inquire into the satisfaction of any condition set forth in Article 4 or elsewhere herein, other than to confirm receipt of items expressly required to be delivered to the Administrative Agent or (d) be responsible in any manner for, or have any duty to ascertain or inquire into, (i) any recital, statement, representation or warranty made by any Loan Party or any officer thereof, contained herein or in any other Loan Document, or in any certificate, report, statement or other document referred to or provided for in, or received by the Administrative Agent or the Collateral Agent under or in connection with, this Agreement or any other Loan Document, (ii) the validity, effectiveness, genuineness, enforceability or sufficiency of this Agreement or any other Loan Document, (iii) the existence, value or collectability of the Collateral, any failure to monitor or maintain any part of the Collateral, or the perfection or priority of any Lien or security interest created or purported to be created under the Collateral Documents, (iv) for any failure of any Loan Party or any other party to any Loan Document to perform its obligations hereunder or thereunder or (v) the compliance by Affiliated Lenders with the terms hereof relating to Affiliated Lenders. No Agent-Related Person nor any Lead Arranger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Notwithstanding the foregoing, neither the Administrative Agent, the Collateral Agent nor any Lead Arranger shall have any duty to take any discretionary action or exercise any discretionary powers, except discretionary rights and powers expressly contemplated hereby or by the other Loan Documents that the Administrative Agent or Collateral Agent (as applicable) is required to exercise as directed in writing by the Required Lenders (or such other number or percentage of the Lenders as shall be expressly provided for herein or in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or Collateral Agent (as applicable) shall not be required to take any action that, in its opinion or the opinion of its counsel, may expose the Administrative Agent or Collateral Agent (as applicable)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4"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 xml:space="preserve">Section 9.04. </w:t>
      </w:r>
      <w:r>
        <w:rPr>
          <w:rFonts w:ascii="Arial" w:cs="Arial" w:eastAsia="Arial" w:hAnsi="Arial"/>
          <w:sz w:val="20"/>
          <w:szCs w:val="20"/>
          <w:i w:val="1"/>
          <w:iCs w:val="1"/>
          <w:color w:val="auto"/>
        </w:rPr>
        <w:t>Reliance by Agents</w:t>
      </w:r>
      <w:r>
        <w:rPr>
          <w:rFonts w:ascii="Arial" w:cs="Arial" w:eastAsia="Arial" w:hAnsi="Arial"/>
          <w:sz w:val="20"/>
          <w:szCs w:val="20"/>
          <w:color w:val="auto"/>
        </w:rPr>
        <w:t>. 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210</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number of Lenders as may be expressly required hereby in any instance) and such request and any action taken or failure to act pursuant thereto shall be binding upon all the Lenders.</w:t>
      </w:r>
    </w:p>
    <w:p>
      <w:pPr>
        <w:spacing w:after="0" w:line="176"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i w:val="1"/>
          <w:iCs w:val="1"/>
          <w:color w:val="auto"/>
        </w:rPr>
        <w:t>Notice of Default</w:t>
      </w:r>
      <w:r>
        <w:rPr>
          <w:rFonts w:ascii="Arial" w:cs="Arial" w:eastAsia="Arial" w:hAnsi="Arial"/>
          <w:sz w:val="19"/>
          <w:szCs w:val="19"/>
          <w:color w:val="auto"/>
        </w:rPr>
        <w:t>.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w:t>
      </w:r>
      <w:r>
        <w:rPr>
          <w:rFonts w:ascii="Arial" w:cs="Arial" w:eastAsia="Arial" w:hAnsi="Arial"/>
          <w:sz w:val="19"/>
          <w:szCs w:val="19"/>
          <w:b w:val="1"/>
          <w:bCs w:val="1"/>
          <w:color w:val="auto"/>
        </w:rPr>
        <w:t>notice of default.</w:t>
      </w:r>
      <w:r>
        <w:rPr>
          <w:rFonts w:ascii="Arial" w:cs="Arial" w:eastAsia="Arial" w:hAnsi="Arial"/>
          <w:sz w:val="19"/>
          <w:szCs w:val="19"/>
          <w:color w:val="auto"/>
        </w:rPr>
        <w:t xml:space="preserve">” The Administrative Agent will notify the Lenders of its receipt of any such notice. The Administrative Agent shall take such action with respect to any Event of Default as may be directed by the Required Lenders in accordance with Article 8;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52"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Credit Decision; Disclosure of Information by Agents</w:t>
      </w:r>
      <w:r>
        <w:rPr>
          <w:rFonts w:ascii="Arial" w:cs="Arial" w:eastAsia="Arial" w:hAnsi="Arial"/>
          <w:sz w:val="18"/>
          <w:szCs w:val="18"/>
          <w:color w:val="auto"/>
        </w:rPr>
        <w:t>. Each Lender and each L/C Issuer acknowledges that no Agent-Related Person nor any Lead Arranger has made any representation or warranty to it, and that no act by any Agent or any Lead Arranger hereafter taken, including any consent to and acceptance of any assignment or review of the affairs of any Loan Party or any Affiliate thereof, shall be deemed to constitute any representation or warranty by any Agent-Related Person or any Lead Arranger to any Lender or any L/C Issuer as to any matter, including whether Agent-Related Persons or the Lead Arrangers have disclosed material information in their possession. Each Lender and each L/C Issuer represents to each Agent and each Lead Arranger that it has, independently and without reliance upon any Agent-Related Person or any Lead Arranger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L/C Issuer also represents that it will, independently and without reliance upon any Agent-Related Person or any Lead Arranger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as applicable,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211</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316" w:lineRule="exact"/>
        <w:rPr>
          <w:sz w:val="20"/>
          <w:szCs w:val="20"/>
          <w:color w:val="auto"/>
        </w:rPr>
      </w:pPr>
    </w:p>
    <w:p>
      <w:pPr>
        <w:jc w:val="both"/>
        <w:ind w:firstLine="6"/>
        <w:spacing w:after="0" w:line="225" w:lineRule="auto"/>
        <w:rPr>
          <w:sz w:val="20"/>
          <w:szCs w:val="20"/>
          <w:color w:val="auto"/>
        </w:rPr>
      </w:pPr>
      <w:r>
        <w:rPr>
          <w:rFonts w:ascii="Arial" w:cs="Arial" w:eastAsia="Arial" w:hAnsi="Arial"/>
          <w:sz w:val="20"/>
          <w:szCs w:val="20"/>
          <w:color w:val="auto"/>
        </w:rPr>
        <w:t>and either it, or the Person exercising discretion in making its decision to make, acquire and/or hold such commercial loans or to provide such other facilities, is experienced in making, acquiring or holding such commercial loans or providing such other facilities.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Affiliates which may come into the possession of any Agent-Related Person.</w:t>
      </w:r>
    </w:p>
    <w:p>
      <w:pPr>
        <w:spacing w:after="0" w:line="176"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i w:val="1"/>
          <w:iCs w:val="1"/>
          <w:color w:val="auto"/>
        </w:rPr>
        <w:t>Indemnification of Agents</w:t>
      </w:r>
      <w:r>
        <w:rPr>
          <w:rFonts w:ascii="Arial" w:cs="Arial" w:eastAsia="Arial" w:hAnsi="Arial"/>
          <w:sz w:val="19"/>
          <w:szCs w:val="19"/>
          <w:color w:val="auto"/>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acting as an Agent, pro rata, and hold harmless each Agent-Related Person from and against any and all Indemnified Liabilities incurred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be liable for the payment to any Agent-Related Person of any portion of such Indemnified Liabilities resulting from such Agent-Related Person’s own gross negligence or willful misconduct, as determined by the final non-appealable judgment of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Section 9.07;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any obligation to indemnify an L/C Issuer pursuant to this Section 9.07 shall be limited to Revolving Credit Lenders only.</w:t>
      </w:r>
      <w:r>
        <w:rPr>
          <w:rFonts w:ascii="Arial" w:cs="Arial" w:eastAsia="Arial" w:hAnsi="Arial"/>
          <w:sz w:val="19"/>
          <w:szCs w:val="19"/>
          <w:i w:val="1"/>
          <w:iCs w:val="1"/>
          <w:color w:val="auto"/>
        </w:rPr>
        <w:t xml:space="preserve"> </w:t>
      </w:r>
      <w:r>
        <w:rPr>
          <w:rFonts w:ascii="Arial" w:cs="Arial" w:eastAsia="Arial" w:hAnsi="Arial"/>
          <w:sz w:val="19"/>
          <w:szCs w:val="19"/>
          <w:color w:val="auto"/>
        </w:rPr>
        <w:t>In the case of any investigation, litigation or proceeding giving rise to any Indemnified Liabilities, this Section 9.07 applies whether any such investigation, litigation or proceeding is brought by any Lender or any other Person. Without limitation of the foregoing, each Lender shall reimburse each of the Administrative Agent and the Collateral Agent upon demand for its ratable share of any costs or out-of-pocket expenses (including Attorney Costs) incurred by the Administrative Agent or the Collateral Agent, as the case may be,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or the Collateral Agent, as the case may be, is not reimbursed for such expenses by or on behalf of the Loan Parties and without limiting their obligation to do so. The undertaking in this Section 9.07 shall survive termination of the Aggregate Commitments, the payment of all other Obligations and the resignation of the Administrative Agent or the Collateral Agent, as the case may be.</w:t>
      </w:r>
    </w:p>
    <w:p>
      <w:pPr>
        <w:spacing w:after="0" w:line="164"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20"/>
          <w:szCs w:val="20"/>
          <w:color w:val="auto"/>
        </w:rPr>
        <w:t xml:space="preserve">Section 9.08. </w:t>
      </w:r>
      <w:r>
        <w:rPr>
          <w:rFonts w:ascii="Arial" w:cs="Arial" w:eastAsia="Arial" w:hAnsi="Arial"/>
          <w:sz w:val="20"/>
          <w:szCs w:val="20"/>
          <w:i w:val="1"/>
          <w:iCs w:val="1"/>
          <w:color w:val="auto"/>
        </w:rPr>
        <w:t>Agents in Their Individual Capacities</w:t>
      </w:r>
      <w:r>
        <w:rPr>
          <w:rFonts w:ascii="Arial" w:cs="Arial" w:eastAsia="Arial" w:hAnsi="Arial"/>
          <w:sz w:val="20"/>
          <w:szCs w:val="20"/>
          <w:color w:val="auto"/>
        </w:rPr>
        <w:t>. JPMorgan and its Affiliates may make loans to, issue letters of credit for the account of, accept deposits from, acquire Equity Interests in and generally engage in any kind of banking, trust, financial advisory, underwriting or other business with the Borrower and its respective Affiliates as though JPMorgan were not the Administrative Agent, the Collateral Agent, the Swing Line Lender or an L/C Issuer hereunder and without notice to or consent of the Lenders. The Lenders acknowledge that, pursuant to such activities, JPMorgan or its Affiliates may receive information regarding the Borrower or its Affiliates (including information that may be subject to confidentiality obligations in favor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212</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316" w:lineRule="exact"/>
        <w:rPr>
          <w:sz w:val="20"/>
          <w:szCs w:val="20"/>
          <w:color w:val="auto"/>
        </w:rPr>
      </w:pPr>
    </w:p>
    <w:p>
      <w:pPr>
        <w:jc w:val="both"/>
        <w:ind w:firstLine="6"/>
        <w:spacing w:after="0" w:line="214" w:lineRule="auto"/>
        <w:rPr>
          <w:sz w:val="20"/>
          <w:szCs w:val="20"/>
          <w:color w:val="auto"/>
        </w:rPr>
      </w:pPr>
      <w:r>
        <w:rPr>
          <w:rFonts w:ascii="Arial" w:cs="Arial" w:eastAsia="Arial" w:hAnsi="Arial"/>
          <w:sz w:val="21"/>
          <w:szCs w:val="21"/>
          <w:color w:val="auto"/>
        </w:rPr>
        <w:t>Borrower or such Affiliate) and acknowledge that neither the Administrative Agent nor the Collateral Agent shall be under any obligation to provide such information to them. With respect to its Loans, JPMorgan and its Affiliates shall have the same rights and powers under this Agreement as any other Lender and may exercise such rights and powers as though it were not the Administrative Agent, the Collateral Agent, the Swing Line Lender or an L/C Issuer, and the terms “</w:t>
      </w:r>
      <w:r>
        <w:rPr>
          <w:rFonts w:ascii="Arial" w:cs="Arial" w:eastAsia="Arial" w:hAnsi="Arial"/>
          <w:sz w:val="21"/>
          <w:szCs w:val="21"/>
          <w:b w:val="1"/>
          <w:bCs w:val="1"/>
          <w:color w:val="auto"/>
        </w:rPr>
        <w:t>Lender</w:t>
      </w:r>
      <w:r>
        <w:rPr>
          <w:rFonts w:ascii="Arial" w:cs="Arial" w:eastAsia="Arial" w:hAnsi="Arial"/>
          <w:sz w:val="21"/>
          <w:szCs w:val="21"/>
          <w:color w:val="auto"/>
        </w:rPr>
        <w:t>” and “</w:t>
      </w:r>
      <w:r>
        <w:rPr>
          <w:rFonts w:ascii="Arial" w:cs="Arial" w:eastAsia="Arial" w:hAnsi="Arial"/>
          <w:sz w:val="21"/>
          <w:szCs w:val="21"/>
          <w:b w:val="1"/>
          <w:bCs w:val="1"/>
          <w:color w:val="auto"/>
        </w:rPr>
        <w:t>Lenders</w:t>
      </w:r>
      <w:r>
        <w:rPr>
          <w:rFonts w:ascii="Arial" w:cs="Arial" w:eastAsia="Arial" w:hAnsi="Arial"/>
          <w:sz w:val="21"/>
          <w:szCs w:val="21"/>
          <w:color w:val="auto"/>
        </w:rPr>
        <w:t>” include JPMorgan in its individual capacity. Any successor to JPMorgan as the Administrative Agent or the Collateral Agent shall also have the rights attributed to JPMorgan under this Section 9.08.</w:t>
      </w:r>
    </w:p>
    <w:p>
      <w:pPr>
        <w:spacing w:after="0" w:line="178"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i w:val="1"/>
          <w:iCs w:val="1"/>
          <w:color w:val="auto"/>
        </w:rPr>
        <w:t>Successor Agents</w:t>
      </w:r>
      <w:r>
        <w:rPr>
          <w:rFonts w:ascii="Arial" w:cs="Arial" w:eastAsia="Arial" w:hAnsi="Arial"/>
          <w:sz w:val="18"/>
          <w:szCs w:val="18"/>
          <w:color w:val="auto"/>
        </w:rPr>
        <w:t>. Each of the Administrative Agent and the Collateral Agent may resign as the Administrative Agent or the Collateral Agent, as applicable upon thirty (30) days’ notice to the Lenders and the Borrower and if either the Administrative Agent or the Collateral Agent is a Defaulting Lender, the Borrower may remove such Defaulting Lender from such role upon ten (10) days’ notice to the Lenders unless the Administrative Agent or the Collateral Agent, as applicable, is a Defaulting Lender solely as a result of the occurrence of a Lender-Related Distress Event with respect to a person that directly or indirectly controls the Administrative Agent or the Collateral Agent, as applicable. If the Administrative Agent or the Collateral Agent resigns under this Agreement or is removed by the Borrower, the Required Lenders shall appoint from among the Lenders a successor agent for the Lenders, which successor agent shall be consented to by the Borrower at all times other than during the existence of an Event of Default under Sections 8.01(f) or (g) (which consent of the Borrower shall not be unreasonably withheld or delayed). If no successor agent is appointed prior to the effective date of the resignation or removal of the Administrative Agent or the Collateral Agent, as applicable, the Administrative Agent or the Collateral Agent, as applicable, in the case of a resignation, and the Borrower, in the case of a removal may appoint, after consulting with the Lenders and the Borrower (in the case of a resignation), a successor agent from among the Lenders. Upon the acceptance of its appointment as successor agent hereunder, the Person acting as such successor agent shall succeed to all the rights, powers and duties of the retiring Administrative Agent or retiring Collateral Agent and the term “</w:t>
      </w:r>
      <w:r>
        <w:rPr>
          <w:rFonts w:ascii="Arial" w:cs="Arial" w:eastAsia="Arial" w:hAnsi="Arial"/>
          <w:sz w:val="18"/>
          <w:szCs w:val="18"/>
          <w:b w:val="1"/>
          <w:bCs w:val="1"/>
          <w:color w:val="auto"/>
        </w:rPr>
        <w:t>Administrative Agent</w:t>
      </w:r>
      <w:r>
        <w:rPr>
          <w:rFonts w:ascii="Arial" w:cs="Arial" w:eastAsia="Arial" w:hAnsi="Arial"/>
          <w:sz w:val="18"/>
          <w:szCs w:val="18"/>
          <w:color w:val="auto"/>
        </w:rPr>
        <w:t>” or “</w:t>
      </w:r>
      <w:r>
        <w:rPr>
          <w:rFonts w:ascii="Arial" w:cs="Arial" w:eastAsia="Arial" w:hAnsi="Arial"/>
          <w:sz w:val="18"/>
          <w:szCs w:val="18"/>
          <w:b w:val="1"/>
          <w:bCs w:val="1"/>
          <w:color w:val="auto"/>
        </w:rPr>
        <w:t>Collateral Agent</w:t>
      </w:r>
      <w:r>
        <w:rPr>
          <w:rFonts w:ascii="Arial" w:cs="Arial" w:eastAsia="Arial" w:hAnsi="Arial"/>
          <w:sz w:val="18"/>
          <w:szCs w:val="18"/>
          <w:color w:val="auto"/>
        </w:rPr>
        <w:t>” shall mean such successor administrative agent or collateral agent and/or Supplemental Agent, as the case may be, and the retiring Administrative Agent’s or Collateral Agent’s appointment, powers and duties as the Administrative Agent or Collateral Agent shall be terminated. After the retiring Administrative Agent’s or the Collateral Agent’s resignation or removal hereunder as the Administrative Agent or Collateral Agent, the provisions of this Article 9 and the provisions of Sections 10.04 and 10.05 shall inure to its benefit as to any actions taken or omitted to be taken by it while it was the Administrative Agent or Collateral Agent under this Agreement. If no successor agent has accepted appointment as the Administrative Agent or the Collateral Agent by the date which is thirty (30) days following the retiring Administrative Agent’s or Collateral Agent’s notice of resignation or ten (10) days following the Borrower’s notice of removal, the retiring Administrative Agent’s or the retiring Collateral Agent’s resignation shall nevertheless thereupon become effective and the Lenders shall perform all of the duties of the Administrative Agent or Collateral Agent hereunder until such time, if any, as the Required Lenders appoint a successor agent as provided for above. Upon the acceptance of any appointment as the Administrative Agent or Collateral Agent hereunder by a successor and upon the execution and filing or recording of such financing statements, or amendments thereto, and such other instruments or notices,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213</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316" w:lineRule="exact"/>
        <w:rPr>
          <w:sz w:val="20"/>
          <w:szCs w:val="20"/>
          <w:color w:val="auto"/>
        </w:rPr>
      </w:pPr>
    </w:p>
    <w:p>
      <w:pPr>
        <w:jc w:val="both"/>
        <w:ind w:firstLine="6"/>
        <w:spacing w:after="0" w:line="212" w:lineRule="auto"/>
        <w:rPr>
          <w:sz w:val="20"/>
          <w:szCs w:val="20"/>
          <w:color w:val="auto"/>
        </w:rPr>
      </w:pPr>
      <w:r>
        <w:rPr>
          <w:rFonts w:ascii="Arial" w:cs="Arial" w:eastAsia="Arial" w:hAnsi="Arial"/>
          <w:sz w:val="21"/>
          <w:szCs w:val="21"/>
          <w:color w:val="auto"/>
        </w:rPr>
        <w:t>be necessary or desirable, or as the Required Lenders may request, in order to (a) continue the perfection of the Liens granted or purported to be granted by the Collateral Documents or (b) otherwise ensure that Section 6.11 is satisfied, the Administrative Agent or Collateral Agent shall thereupon succeed to and become vested with all the rights, powers, discretion, privileges, and duties of the retiring Administrative Agent or Collateral Agent, and the retiring Administrative Agent or Collateral Agent shall be discharged from its duties and obligations under the Loan Documents. After the retiring Administrative Agent’s or Collateral Agent’s resignation hereunder as the Administrative Agent or the Collateral Agent, the provisions of this Article 9 and Sections 10.04 and 10.05 shall continue in effect for its benefit in respect of any actions taken or omitted to be taken by it while it was acting as the Administrative Agent or the Collateral Agent.</w:t>
      </w:r>
    </w:p>
    <w:p>
      <w:pPr>
        <w:spacing w:after="0" w:line="176"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Any resignation by JPMorgan as Administrative Agent pursuant to this Section shall also constitute its resignation as a L/C Issuer and Swing Line Lender pursuant to Sections 2.03(q) and 2.04(h).</w:t>
      </w:r>
    </w:p>
    <w:p>
      <w:pPr>
        <w:spacing w:after="0" w:line="150"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i w:val="1"/>
          <w:iCs w:val="1"/>
          <w:color w:val="auto"/>
        </w:rPr>
        <w:t>Administrative Agent May File Proofs of Claim</w:t>
      </w:r>
      <w:r>
        <w:rPr>
          <w:rFonts w:ascii="Arial" w:cs="Arial" w:eastAsia="Arial" w:hAnsi="Arial"/>
          <w:sz w:val="20"/>
          <w:szCs w:val="20"/>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or the Collateral Agent) shall be (to the fullest extent permitted by mandatory provisions of applicable Law) entitled and empowered, by intervention in such proceeding or otherwise:</w:t>
      </w:r>
    </w:p>
    <w:p>
      <w:pPr>
        <w:spacing w:after="0" w:line="150" w:lineRule="exact"/>
        <w:rPr>
          <w:sz w:val="20"/>
          <w:szCs w:val="20"/>
          <w:color w:val="auto"/>
        </w:rPr>
      </w:pPr>
    </w:p>
    <w:p>
      <w:pPr>
        <w:jc w:val="both"/>
        <w:ind w:firstLine="622"/>
        <w:spacing w:after="0" w:line="237" w:lineRule="auto"/>
        <w:tabs>
          <w:tab w:leader="none" w:pos="1075" w:val="left"/>
        </w:tabs>
        <w:numPr>
          <w:ilvl w:val="0"/>
          <w:numId w:val="237"/>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Collateral Agent and the Administrative Agent (including any claim for the reasonable compensation, expenses, disbursements and advances of the Lenders, the Collateral Agent and the Administrative Agent and their respective agents and counsel and all other amounts due to the Lenders, the Collateral Agent and the Administrative Agent under Sections 2.03(h) and (i), 2.09, 10.04 and 10.05) allowed in such judicial proceeding; and</w:t>
      </w:r>
    </w:p>
    <w:p>
      <w:pPr>
        <w:spacing w:after="0" w:line="149" w:lineRule="exact"/>
        <w:rPr>
          <w:rFonts w:ascii="Arial" w:cs="Arial" w:eastAsia="Arial" w:hAnsi="Arial"/>
          <w:sz w:val="19"/>
          <w:szCs w:val="19"/>
          <w:color w:val="auto"/>
        </w:rPr>
      </w:pPr>
    </w:p>
    <w:p>
      <w:pPr>
        <w:jc w:val="both"/>
        <w:ind w:firstLine="622"/>
        <w:spacing w:after="0" w:line="223" w:lineRule="auto"/>
        <w:tabs>
          <w:tab w:leader="none" w:pos="1104"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 and any custodian, curator, receiver, assignee, trustee, liquidator, sequestrator or other similar official in any such judicial proceeding is hereby authorized by each Lender to make such payments to the Administrative Agent or the Collateral Agent and, in the event that the Administrative Agent shall consent to the making of such payments directly to the Lenders, to pay to the Administrative Agent or the Collateral Agent any amount due for the reasonable compensation, expenses, disbursements and advances of the Agents and their respective agents and counsel, and any other amounts due the Administrative Agent or the Collateral Agent under Sections 2.09, 10.04 and 10.05.</w:t>
      </w:r>
    </w:p>
    <w:p>
      <w:pPr>
        <w:spacing w:after="0" w:line="154" w:lineRule="exact"/>
        <w:rPr>
          <w:sz w:val="20"/>
          <w:szCs w:val="20"/>
          <w:color w:val="auto"/>
        </w:rPr>
      </w:pPr>
    </w:p>
    <w:p>
      <w:pPr>
        <w:ind w:firstLine="619"/>
        <w:spacing w:after="0" w:line="233" w:lineRule="auto"/>
        <w:rPr>
          <w:sz w:val="20"/>
          <w:szCs w:val="20"/>
          <w:color w:val="auto"/>
        </w:rPr>
      </w:pPr>
      <w:r>
        <w:rPr>
          <w:rFonts w:ascii="Arial" w:cs="Arial" w:eastAsia="Arial" w:hAnsi="Arial"/>
          <w:sz w:val="21"/>
          <w:szCs w:val="21"/>
          <w:color w:val="auto"/>
        </w:rPr>
        <w:t>Nothing contained herein shall be deemed to authorize the Administrative Agent to authorize or consent to or accept or adopt on behalf of any Lender any plan of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214</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arrangement, adjustment or composition affecting the Obligations or the rights of any Lender or to authorize the Administrative Agent to vote in respect of the claim of any Lender in any such proceeding.</w:t>
      </w:r>
    </w:p>
    <w:p>
      <w:pPr>
        <w:spacing w:after="0" w:line="150"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(j) of </w:t>
      </w:r>
      <w:r>
        <w:rPr>
          <w:rFonts w:ascii="Arial" w:cs="Arial" w:eastAsia="Arial" w:hAnsi="Arial"/>
          <w:sz w:val="19"/>
          <w:szCs w:val="19"/>
          <w:u w:val="single" w:color="auto"/>
          <w:color w:val="auto"/>
        </w:rPr>
        <w:t>Section 10.01</w:t>
      </w:r>
      <w:r>
        <w:rPr>
          <w:rFonts w:ascii="Arial" w:cs="Arial" w:eastAsia="Arial" w:hAnsi="Arial"/>
          <w:sz w:val="19"/>
          <w:szCs w:val="19"/>
          <w:color w:val="auto"/>
        </w:rPr>
        <w: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5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9.11. </w:t>
      </w:r>
      <w:r>
        <w:rPr>
          <w:rFonts w:ascii="Arial" w:cs="Arial" w:eastAsia="Arial" w:hAnsi="Arial"/>
          <w:sz w:val="21"/>
          <w:szCs w:val="21"/>
          <w:i w:val="1"/>
          <w:iCs w:val="1"/>
          <w:color w:val="auto"/>
        </w:rPr>
        <w:t>Collateral and Guaranty Matters</w:t>
      </w:r>
      <w:r>
        <w:rPr>
          <w:rFonts w:ascii="Arial" w:cs="Arial" w:eastAsia="Arial" w:hAnsi="Arial"/>
          <w:sz w:val="21"/>
          <w:szCs w:val="21"/>
          <w:color w:val="auto"/>
        </w:rPr>
        <w:t>. Each Lender (including in its capacity as a counterparty to a Secured Hedge Agreement or Treasury Services Agreement) and each other Secured Party by its acceptance of the Collateral Documents irrevocably agrees:</w:t>
      </w:r>
    </w:p>
    <w:p>
      <w:pPr>
        <w:spacing w:after="0" w:line="149" w:lineRule="exact"/>
        <w:rPr>
          <w:sz w:val="20"/>
          <w:szCs w:val="20"/>
          <w:color w:val="auto"/>
        </w:rPr>
      </w:pPr>
    </w:p>
    <w:p>
      <w:pPr>
        <w:jc w:val="both"/>
        <w:ind w:firstLine="622"/>
        <w:spacing w:after="0" w:line="230" w:lineRule="auto"/>
        <w:tabs>
          <w:tab w:leader="none" w:pos="1142"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that any Lien on any property granted to or held by the Administrative Agent or the Collateral Agent under any Loan Document shall be automatically released (i) upon termination of the Aggregate Commitments and payment in full of all Obligations (other than (x) obligations under Secured Hedge Agreements and Treasury Services Agreements not yet due and payable and (y) contingent indemnification obligations not yet accrued and payable) and the expiration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215</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316" w:lineRule="exact"/>
        <w:rPr>
          <w:sz w:val="20"/>
          <w:szCs w:val="20"/>
          <w:color w:val="auto"/>
        </w:rPr>
      </w:pPr>
    </w:p>
    <w:p>
      <w:pPr>
        <w:jc w:val="both"/>
        <w:ind w:firstLine="6"/>
        <w:spacing w:after="0" w:line="231" w:lineRule="auto"/>
        <w:rPr>
          <w:sz w:val="20"/>
          <w:szCs w:val="20"/>
          <w:color w:val="auto"/>
        </w:rPr>
      </w:pPr>
      <w:r>
        <w:rPr>
          <w:rFonts w:ascii="Arial" w:cs="Arial" w:eastAsia="Arial" w:hAnsi="Arial"/>
          <w:sz w:val="19"/>
          <w:szCs w:val="19"/>
          <w:color w:val="auto"/>
        </w:rPr>
        <w:t xml:space="preserve">termination or cash collateralization of all Letters of Credit (or if such Letters of Credit have been backstopped by letters of credit reasonably satisfactory to the applicable L/C Issuers or deemed reissued under another agreement reasonably satisfactory to the applicable L/C Issuers), (ii) at the time the property subject to such Lien is disposed as part of or in connection with any Disposition permitted hereunder or under any other Loan Document to any Person other than a Person required to grant a Lien to the Administrative Agent or the Collateral Agent under the Loan Documents, (iii) subject to Section 10.01, if the release of such Lien is approved, authorized or ratified in writing by the Required Lenders, (iv) to the extent such asset constitutes an Excluded Asset or (v) if the property subject to such Lien is owned by a Guarantor, upon release of such Guarantor from its obligations under its Guaranty pursuant to clause (c) below;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without limitation to the operation of the automatic releases described in this clause (a), a certificate of a Responsible Officer, delivered at the option of the Borrower, to the Administrative Agent with respect to any release described in this clause (a) stating that the Borrower has determined in good faith that such release satisfies the foregoing requirements shall be conclusive evidence that such release satisfies the foregoing requirement and such automatic release has occurred (and the Administrative Agent and the Collateral Agent may rely conclusively on such certificate without further inquiry); provided, further, that the Agents shall have no obligation to acknowledge such release unless such certificate is delivered to it;</w:t>
      </w:r>
    </w:p>
    <w:p>
      <w:pPr>
        <w:spacing w:after="0" w:line="180" w:lineRule="exact"/>
        <w:rPr>
          <w:sz w:val="20"/>
          <w:szCs w:val="20"/>
          <w:color w:val="auto"/>
        </w:rPr>
      </w:pPr>
    </w:p>
    <w:p>
      <w:pPr>
        <w:jc w:val="both"/>
        <w:ind w:firstLine="622"/>
        <w:spacing w:after="0" w:line="243" w:lineRule="auto"/>
        <w:tabs>
          <w:tab w:leader="none" w:pos="1094"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that upon the request of the Borrower, the Administrative Agent and the Collateral Agent shall release or subordinate any Lien on any property granted to or held by the Administrative Agent or the Collateral Agent under any Loan Document to the holder of any Lien on such property that is permitted by Sections 7.01(u) or (w) (in the case of clause (w), to the extent required by the terms of the obligations secured by such Liens) pursuant to documents reasonably acceptable to the Administrative Agent;</w:t>
      </w:r>
    </w:p>
    <w:p>
      <w:pPr>
        <w:spacing w:after="0" w:line="146" w:lineRule="exact"/>
        <w:rPr>
          <w:rFonts w:ascii="Arial" w:cs="Arial" w:eastAsia="Arial" w:hAnsi="Arial"/>
          <w:sz w:val="19"/>
          <w:szCs w:val="19"/>
          <w:color w:val="auto"/>
        </w:rPr>
      </w:pPr>
    </w:p>
    <w:p>
      <w:pPr>
        <w:jc w:val="both"/>
        <w:ind w:firstLine="622"/>
        <w:spacing w:after="0" w:line="219" w:lineRule="auto"/>
        <w:tabs>
          <w:tab w:leader="none" w:pos="1054"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xml:space="preserve">that any Subsidiary Guarantor shall be automatically released from its obligations under the Guaranty if such Person ceases to be a Restricted Subsidiary or becomes an Excluded Subsidiary as a result of a transaction or designation permitted hereunder;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(x) that no such release shall occur if such Guarantor continues to be a guarantor in respect of any Junior Financing with a</w:t>
      </w:r>
      <w:r>
        <w:rPr>
          <w:rFonts w:ascii="Arial" w:cs="Arial" w:eastAsia="Arial" w:hAnsi="Arial"/>
          <w:sz w:val="20"/>
          <w:szCs w:val="20"/>
          <w:i w:val="1"/>
          <w:iCs w:val="1"/>
          <w:color w:val="auto"/>
        </w:rPr>
        <w:t xml:space="preserve"> </w:t>
      </w:r>
      <w:r>
        <w:rPr>
          <w:rFonts w:ascii="Arial" w:cs="Arial" w:eastAsia="Arial" w:hAnsi="Arial"/>
          <w:sz w:val="20"/>
          <w:szCs w:val="20"/>
          <w:color w:val="auto"/>
        </w:rPr>
        <w:t>principal amount in excess of the Threshold Amount, (y) a Subsidiary Guarantor that becomes an Excluded Subsidiary as a result of clause (a) of the definition thereof shall only be released from its obligations under the Guaranty if either (1) such release is otherwise approved, authorized or ratified in writing by the Required Lenders or (2) such Subsidiary Guarantor became a non-wholly owned Restricted Subsidiary pursuant to a transaction where such Subsidiary Guarantor becomes a bona fide joint venture where the other Person obtaining an equity interest in such Subsidiary Guarantor is not an Affiliate of Holdings or the Borrower (other than as a result of such joint venture) and (z) without limitation of the operation of the automatic releases described in this clause (c), a certificate of a Responsible Officer delivered at the option of the Borrower, to the Administrative Agent with respect to any such automatic release stating that such Subsidiary Guarantor has ceased to be a Restricted Subsidiary or has become an Excluded Subsidiary as a result of a transaction or designation permitted hereunder, as the case may be, shall be conclusive evidence that such release satisfies the foregoing requirement and such automatic release has occurred (and the Administrative Agent and the Collateral Agent may rely conclusively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216</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316" w:lineRule="exact"/>
        <w:rPr>
          <w:sz w:val="20"/>
          <w:szCs w:val="20"/>
          <w:color w:val="auto"/>
        </w:rPr>
      </w:pPr>
    </w:p>
    <w:p>
      <w:pPr>
        <w:ind w:firstLine="6"/>
        <w:spacing w:after="0" w:line="233" w:lineRule="auto"/>
        <w:rPr>
          <w:sz w:val="20"/>
          <w:szCs w:val="20"/>
          <w:color w:val="auto"/>
        </w:rPr>
      </w:pPr>
      <w:r>
        <w:rPr>
          <w:rFonts w:ascii="Arial" w:cs="Arial" w:eastAsia="Arial" w:hAnsi="Arial"/>
          <w:sz w:val="21"/>
          <w:szCs w:val="21"/>
          <w:color w:val="auto"/>
        </w:rPr>
        <w:t xml:space="preserve">certificate without further inquiry);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Agents shall have no obligation to acknowledge such release unless such certificate is delivered to it;</w:t>
      </w:r>
    </w:p>
    <w:p>
      <w:pPr>
        <w:spacing w:after="0" w:line="176" w:lineRule="exact"/>
        <w:rPr>
          <w:sz w:val="20"/>
          <w:szCs w:val="20"/>
          <w:color w:val="auto"/>
        </w:rPr>
      </w:pPr>
    </w:p>
    <w:p>
      <w:pPr>
        <w:jc w:val="both"/>
        <w:ind w:firstLine="622"/>
        <w:spacing w:after="0" w:line="213" w:lineRule="auto"/>
        <w:tabs>
          <w:tab w:leader="none" w:pos="1176"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at the sole option of the Borrower, Holdings or any existing entity constituting “Holdings” shall be released from its obligations under the Guaranty if such entity ceases to be the direct parent of the Borrower as a result of a transaction or designation permitted pursuant to the definition thereof and otherwise permitted hereunder, subject to the assumption of all obligations of “Holdings” under the Loan Documents by such other Domestic Subsidiary that directly owns 100% of the issued and outstanding Equity Interests in the Borrower pursuant to the definition thereof and satisfaction of the Collateral and Guarantee Requirements by such Domestic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100% of the Equity Interests of the Borrower shall be pledged to the Administrative Agent to secure the Obligations; and</w:t>
      </w:r>
    </w:p>
    <w:p>
      <w:pPr>
        <w:spacing w:after="0" w:line="149" w:lineRule="exact"/>
        <w:rPr>
          <w:rFonts w:ascii="Arial" w:cs="Arial" w:eastAsia="Arial" w:hAnsi="Arial"/>
          <w:sz w:val="21"/>
          <w:szCs w:val="21"/>
          <w:color w:val="auto"/>
        </w:rPr>
      </w:pPr>
    </w:p>
    <w:p>
      <w:pPr>
        <w:jc w:val="both"/>
        <w:ind w:firstLine="622"/>
        <w:spacing w:after="0" w:line="233" w:lineRule="auto"/>
        <w:tabs>
          <w:tab w:leader="none" w:pos="1117"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the Collateral Agent may, without any further consent of any Lender, enter into (i) a First Lien Intercreditor Agreement with the collateral agent or other representatives of holders of (x) Permitted Ratio Debt that is intended to be secured on a pari passu basis with the Liens securing the Obligations and (y) Incremental Equivalent First Lien Debt permitted under Section 7.03(q) and/or (ii) a Junior Lien Intercreditor Agreement with the collateral agent or other representatives of the holders of (x) Permitted Ratio Debt that is intended to be secured on a junior basis to the Liens securing the Obligations and (y) Incremental Equivalent Junior Lien Debt permitted under Section 7.03(q), in each case, where such Indebtedness is secured by Liens permitted under Section 7.01. The Collateral Agent may rely exclusively on a certificate of a Responsible Officer of the Borrower as to whether any such other Liens are permitted. Any First Lien Intercreditor Agreement or Junior Lien Intercreditor Agreement entered into by the Collateral Agent in accordance with the terms of this Agreement shall be binding on the Secured Parties.</w:t>
      </w:r>
    </w:p>
    <w:p>
      <w:pPr>
        <w:spacing w:after="0" w:line="154"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 xml:space="preserve">Upon request by the Administrative Agent or the Collateral Agent at any time, the Required Lenders will confirm in writing the Administrative Agent’s or the Collateral Agent’s authority to release or subordinate its interest in particular types or items of property, or to release any Guarantor from its obligations under the Guaranty pursuant to this Section 9.11;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absent such confirmation in writing from the Required Lenders, the act of the Administrative Agent or the Collateral Agent making such request shall not prohibit the Administrative Agent or the Collateral Agent from releasing or subordinating its interests if it otherwise conclusively relies on a certificate of the Borrower. In each case as specified in this Section 9.11, the Administrative Agent or the Collateral Agent will promptly upon the request of the Borrower (and each Lender irrevocably authorizes the Administrative Agent and the Collateral Agent to), at the Borrower’s expense, execute and deliver to the applicable Loan Party such documents as the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Section 9.11 (and the Administrative Agent and the Collateral Agent may rely conclusively on a certificate of a Responsible Officer of the Borrower to that effect provided to it by any Loan Party upon its reasonable request without further inquiry). Any execution and delivery of documents pursuant to this Section 9.11 shall be without recourse to or warranty by the Administrative Agent or the Collateral Agent.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217</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no release of Collateral or Guarantors effected in the manner permitted by this Section 9.11 shall require the consent of any holder of obligations under Secured Hedge Agreements or any Treasury Services Agreements.</w:t>
      </w:r>
    </w:p>
    <w:p>
      <w:pPr>
        <w:spacing w:after="0" w:line="176"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20"/>
          <w:szCs w:val="20"/>
          <w:color w:val="auto"/>
        </w:rPr>
        <w:t xml:space="preserve">Section 9.12. </w:t>
      </w:r>
      <w:r>
        <w:rPr>
          <w:rFonts w:ascii="Arial" w:cs="Arial" w:eastAsia="Arial" w:hAnsi="Arial"/>
          <w:sz w:val="20"/>
          <w:szCs w:val="20"/>
          <w:i w:val="1"/>
          <w:iCs w:val="1"/>
          <w:color w:val="auto"/>
        </w:rPr>
        <w:t>Other Agents; Arrangers and Managers</w:t>
      </w:r>
      <w:r>
        <w:rPr>
          <w:rFonts w:ascii="Arial" w:cs="Arial" w:eastAsia="Arial" w:hAnsi="Arial"/>
          <w:sz w:val="20"/>
          <w:szCs w:val="20"/>
          <w:color w:val="auto"/>
        </w:rPr>
        <w:t>. None of the Lenders or other Persons identified on the facing page or signature pages of this Agreement as a “joint bookrunner” or “joint lead arranger”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50"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i w:val="1"/>
          <w:iCs w:val="1"/>
          <w:color w:val="auto"/>
        </w:rPr>
        <w:t>Withholding Tax Indemnity</w:t>
      </w:r>
      <w:r>
        <w:rPr>
          <w:rFonts w:ascii="Arial" w:cs="Arial" w:eastAsia="Arial" w:hAnsi="Arial"/>
          <w:sz w:val="19"/>
          <w:szCs w:val="19"/>
          <w:color w:val="auto"/>
        </w:rPr>
        <w:t>. 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 reimbursed by the Borrower or any Guarantor pursuant to Section 3.01 and Section 3.04 and without limiting or expanding the obligation of the Borrower or any Guarantor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all amounts at any time owing to such Lender under this Agreement or any other Loan Document against any amount due the Administrative Agent under this Section 9.13. The agreements in this Section 9.13 shall survive the resignation and/or replacement of the Administrative Agent, any assignment of rights by, or the replacement of, a Lender and the repayment, satisfaction or discharge of all other Obligations. For the avoidance of doubt, the term “</w:t>
      </w:r>
      <w:r>
        <w:rPr>
          <w:rFonts w:ascii="Arial" w:cs="Arial" w:eastAsia="Arial" w:hAnsi="Arial"/>
          <w:sz w:val="19"/>
          <w:szCs w:val="19"/>
          <w:b w:val="1"/>
          <w:bCs w:val="1"/>
          <w:color w:val="auto"/>
        </w:rPr>
        <w:t>Lender</w:t>
      </w:r>
      <w:r>
        <w:rPr>
          <w:rFonts w:ascii="Arial" w:cs="Arial" w:eastAsia="Arial" w:hAnsi="Arial"/>
          <w:sz w:val="19"/>
          <w:szCs w:val="19"/>
          <w:color w:val="auto"/>
        </w:rPr>
        <w:t>” for purposes of this Section 9.13 shall include any L/C Issuer and any Swing Line Lender.</w:t>
      </w:r>
    </w:p>
    <w:p>
      <w:pPr>
        <w:spacing w:after="0" w:line="15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i w:val="1"/>
          <w:iCs w:val="1"/>
          <w:color w:val="auto"/>
        </w:rPr>
        <w:t>Appointment of Supplemental Agents</w:t>
      </w:r>
      <w:r>
        <w:rPr>
          <w:rFonts w:ascii="Arial" w:cs="Arial" w:eastAsia="Arial" w:hAnsi="Arial"/>
          <w:sz w:val="18"/>
          <w:szCs w:val="18"/>
          <w:color w:val="auto"/>
        </w:rPr>
        <w:t>. (a)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218</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316" w:lineRule="exact"/>
        <w:rPr>
          <w:sz w:val="20"/>
          <w:szCs w:val="20"/>
          <w:color w:val="auto"/>
        </w:rPr>
      </w:pPr>
    </w:p>
    <w:p>
      <w:pPr>
        <w:jc w:val="both"/>
        <w:ind w:firstLine="6"/>
        <w:spacing w:after="0" w:line="239" w:lineRule="auto"/>
        <w:rPr>
          <w:sz w:val="20"/>
          <w:szCs w:val="20"/>
          <w:color w:val="auto"/>
        </w:rPr>
      </w:pPr>
      <w:r>
        <w:rPr>
          <w:rFonts w:ascii="Arial" w:cs="Arial" w:eastAsia="Arial" w:hAnsi="Arial"/>
          <w:sz w:val="19"/>
          <w:szCs w:val="19"/>
          <w:color w:val="auto"/>
        </w:rPr>
        <w:t>powers or remedies granted herein or in any of the other Loan Documents or take any other action which may be desirable or necessary in connection therewith, the Administrative Agent and the Collateral Agent are hereby authorized to appoint an additional individual or institution selected by the Administrative Agent or the Collateral Agent in its sole discretion as a separate trustee, co-trustee, administrative agent, collateral agent, administrative sub-agent or administrative co-agent (any such additional individual or institution being referred to herein individually as a “</w:t>
      </w:r>
      <w:r>
        <w:rPr>
          <w:rFonts w:ascii="Arial" w:cs="Arial" w:eastAsia="Arial" w:hAnsi="Arial"/>
          <w:sz w:val="19"/>
          <w:szCs w:val="19"/>
          <w:b w:val="1"/>
          <w:bCs w:val="1"/>
          <w:color w:val="auto"/>
        </w:rPr>
        <w:t>Supplemental Agent</w:t>
      </w:r>
      <w:r>
        <w:rPr>
          <w:rFonts w:ascii="Arial" w:cs="Arial" w:eastAsia="Arial" w:hAnsi="Arial"/>
          <w:sz w:val="19"/>
          <w:szCs w:val="19"/>
          <w:color w:val="auto"/>
        </w:rPr>
        <w:t>” and collectively as “</w:t>
      </w:r>
      <w:r>
        <w:rPr>
          <w:rFonts w:ascii="Arial" w:cs="Arial" w:eastAsia="Arial" w:hAnsi="Arial"/>
          <w:sz w:val="19"/>
          <w:szCs w:val="19"/>
          <w:b w:val="1"/>
          <w:bCs w:val="1"/>
          <w:color w:val="auto"/>
        </w:rPr>
        <w:t>Supplemental Agents</w:t>
      </w:r>
      <w:r>
        <w:rPr>
          <w:rFonts w:ascii="Arial" w:cs="Arial" w:eastAsia="Arial" w:hAnsi="Arial"/>
          <w:sz w:val="19"/>
          <w:szCs w:val="19"/>
          <w:color w:val="auto"/>
        </w:rPr>
        <w:t>”).</w:t>
      </w:r>
    </w:p>
    <w:p>
      <w:pPr>
        <w:spacing w:after="0" w:line="176" w:lineRule="exact"/>
        <w:rPr>
          <w:sz w:val="20"/>
          <w:szCs w:val="20"/>
          <w:color w:val="auto"/>
        </w:rPr>
      </w:pPr>
    </w:p>
    <w:p>
      <w:pPr>
        <w:jc w:val="both"/>
        <w:ind w:firstLine="622"/>
        <w:spacing w:after="0" w:line="247" w:lineRule="auto"/>
        <w:tabs>
          <w:tab w:leader="none" w:pos="113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the event that the Collateral Agent appoints a Supplemental Agent with respect to any Collateral, (i) each and every right, power, privilege or duty expressed or intended by this Agreement or any of the other Loan Documents to be exercised by or vested in or conveyed to the Collateral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Collateral Agent or such Supplemental Agent, and (ii) the provisions of this Article 9 and of Sections 10.04 and 10.05 that refer to the Administrative Agent shall inure to the benefit of such Supplemental Agent and all references therein to the Collateral Agent shall be deemed to be references to the Collateral Agent and/or such Supplemental Agent, as the context may require.</w:t>
      </w:r>
    </w:p>
    <w:p>
      <w:pPr>
        <w:spacing w:after="0" w:line="145" w:lineRule="exact"/>
        <w:rPr>
          <w:rFonts w:ascii="Arial" w:cs="Arial" w:eastAsia="Arial" w:hAnsi="Arial"/>
          <w:sz w:val="18"/>
          <w:szCs w:val="18"/>
          <w:color w:val="auto"/>
        </w:rPr>
      </w:pPr>
    </w:p>
    <w:p>
      <w:pPr>
        <w:jc w:val="both"/>
        <w:ind w:firstLine="622"/>
        <w:spacing w:after="0" w:line="237" w:lineRule="auto"/>
        <w:tabs>
          <w:tab w:leader="none" w:pos="1181" w:val="left"/>
        </w:tabs>
        <w:numPr>
          <w:ilvl w:val="0"/>
          <w:numId w:val="241"/>
        </w:numPr>
        <w:rPr>
          <w:rFonts w:ascii="Arial" w:cs="Arial" w:eastAsia="Arial" w:hAnsi="Arial"/>
          <w:sz w:val="19"/>
          <w:szCs w:val="19"/>
          <w:color w:val="auto"/>
        </w:rPr>
      </w:pPr>
      <w:r>
        <w:rPr>
          <w:rFonts w:ascii="Arial" w:cs="Arial" w:eastAsia="Arial" w:hAnsi="Arial"/>
          <w:sz w:val="19"/>
          <w:szCs w:val="19"/>
          <w:color w:val="auto"/>
        </w:rPr>
        <w:t>Should any instrument in writing from any Loan Party be required by any Supplemental Agent so appointed by the Administrative Agent or the Collateral Agent for more fully and certainly vesting in and confirming to him or it such rights, powers, privileges and duties, such Loan Party shall execute, acknowledge and deliver any and all such instruments promptly upon request by the Administrative Agent or the Collateral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until the appointment of a new Supplemental Agent.</w:t>
      </w:r>
    </w:p>
    <w:p>
      <w:pPr>
        <w:spacing w:after="0" w:line="149"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9.15.</w:t>
      </w:r>
      <w:r>
        <w:rPr>
          <w:sz w:val="20"/>
          <w:szCs w:val="20"/>
          <w:color w:val="auto"/>
        </w:rPr>
        <w:tab/>
      </w:r>
      <w:r>
        <w:rPr>
          <w:rFonts w:ascii="Arial" w:cs="Arial" w:eastAsia="Arial" w:hAnsi="Arial"/>
          <w:sz w:val="18"/>
          <w:szCs w:val="18"/>
          <w:i w:val="1"/>
          <w:iCs w:val="1"/>
          <w:color w:val="auto"/>
        </w:rPr>
        <w:t>ERISA Representation</w:t>
      </w:r>
      <w:r>
        <w:rPr>
          <w:rFonts w:ascii="Arial" w:cs="Arial" w:eastAsia="Arial" w:hAnsi="Arial"/>
          <w:sz w:val="18"/>
          <w:szCs w:val="18"/>
          <w:color w:val="auto"/>
        </w:rPr>
        <w:t>.</w:t>
      </w:r>
    </w:p>
    <w:p>
      <w:pPr>
        <w:spacing w:after="0" w:line="171" w:lineRule="exact"/>
        <w:rPr>
          <w:sz w:val="20"/>
          <w:szCs w:val="20"/>
          <w:color w:val="auto"/>
        </w:rPr>
      </w:pPr>
    </w:p>
    <w:p>
      <w:pPr>
        <w:jc w:val="both"/>
        <w:ind w:firstLine="622"/>
        <w:spacing w:after="0" w:line="272" w:lineRule="auto"/>
        <w:tabs>
          <w:tab w:leader="none" w:pos="109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that at least one of the following is and will be true:</w:t>
      </w:r>
    </w:p>
    <w:p>
      <w:pPr>
        <w:spacing w:after="0" w:line="121" w:lineRule="exact"/>
        <w:rPr>
          <w:rFonts w:ascii="Arial" w:cs="Arial" w:eastAsia="Arial" w:hAnsi="Arial"/>
          <w:sz w:val="18"/>
          <w:szCs w:val="18"/>
          <w:color w:val="auto"/>
        </w:rPr>
      </w:pPr>
    </w:p>
    <w:p>
      <w:pPr>
        <w:jc w:val="both"/>
        <w:ind w:left="620" w:firstLine="621"/>
        <w:spacing w:after="0" w:line="251" w:lineRule="auto"/>
        <w:tabs>
          <w:tab w:leader="none" w:pos="1669" w:val="left"/>
        </w:tabs>
        <w:numPr>
          <w:ilvl w:val="1"/>
          <w:numId w:val="242"/>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29 CFR § 2510.3-101, as modified by Section 3(42) of ERISA, as amended from time to time) of one or more Benefit Plans with respect to such Lender’s entrance into, participation in, administration of and performance of the Loans, the Letters of Credit, the Commitments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219</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620" w:firstLine="621"/>
        <w:spacing w:after="0" w:line="223" w:lineRule="auto"/>
        <w:tabs>
          <w:tab w:leader="none" w:pos="1838" w:val="left"/>
        </w:tabs>
        <w:numPr>
          <w:ilvl w:val="1"/>
          <w:numId w:val="243"/>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4" w:lineRule="exact"/>
        <w:rPr>
          <w:rFonts w:ascii="Arial" w:cs="Arial" w:eastAsia="Arial" w:hAnsi="Arial"/>
          <w:sz w:val="20"/>
          <w:szCs w:val="20"/>
          <w:color w:val="auto"/>
        </w:rPr>
      </w:pPr>
    </w:p>
    <w:p>
      <w:pPr>
        <w:jc w:val="both"/>
        <w:ind w:left="620" w:firstLine="621"/>
        <w:spacing w:after="0" w:line="222" w:lineRule="auto"/>
        <w:tabs>
          <w:tab w:leader="none" w:pos="1759" w:val="left"/>
        </w:tabs>
        <w:numPr>
          <w:ilvl w:val="1"/>
          <w:numId w:val="243"/>
        </w:numPr>
        <w:rPr>
          <w:rFonts w:ascii="Arial" w:cs="Arial" w:eastAsia="Arial" w:hAnsi="Arial"/>
          <w:sz w:val="20"/>
          <w:szCs w:val="20"/>
          <w:color w:val="auto"/>
        </w:rPr>
      </w:pPr>
      <w:r>
        <w:rPr>
          <w:rFonts w:ascii="Arial" w:cs="Arial" w:eastAsia="Arial" w:hAnsi="Arial"/>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4" w:lineRule="exact"/>
        <w:rPr>
          <w:rFonts w:ascii="Arial" w:cs="Arial" w:eastAsia="Arial" w:hAnsi="Arial"/>
          <w:sz w:val="20"/>
          <w:szCs w:val="20"/>
          <w:color w:val="auto"/>
        </w:rPr>
      </w:pPr>
    </w:p>
    <w:p>
      <w:pPr>
        <w:ind w:left="620" w:firstLine="621"/>
        <w:spacing w:after="0" w:line="233" w:lineRule="auto"/>
        <w:tabs>
          <w:tab w:leader="none" w:pos="1789" w:val="left"/>
        </w:tabs>
        <w:numPr>
          <w:ilvl w:val="1"/>
          <w:numId w:val="243"/>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and such Lender.</w:t>
      </w:r>
    </w:p>
    <w:p>
      <w:pPr>
        <w:spacing w:after="0" w:line="149" w:lineRule="exact"/>
        <w:rPr>
          <w:rFonts w:ascii="Arial" w:cs="Arial" w:eastAsia="Arial" w:hAnsi="Arial"/>
          <w:sz w:val="21"/>
          <w:szCs w:val="21"/>
          <w:color w:val="auto"/>
        </w:rPr>
      </w:pPr>
    </w:p>
    <w:p>
      <w:pPr>
        <w:jc w:val="both"/>
        <w:ind w:firstLine="622"/>
        <w:spacing w:after="0" w:line="233" w:lineRule="auto"/>
        <w:tabs>
          <w:tab w:leader="none" w:pos="1079"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that none of the Administrative Agent, any Lead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54"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1"/>
          <w:szCs w:val="21"/>
          <w:color w:val="auto"/>
        </w:rPr>
        <w:t>Section 9.16.</w:t>
      </w:r>
      <w:r>
        <w:rPr>
          <w:sz w:val="20"/>
          <w:szCs w:val="20"/>
          <w:color w:val="auto"/>
        </w:rPr>
        <w:tab/>
      </w:r>
      <w:r>
        <w:rPr>
          <w:rFonts w:ascii="Arial" w:cs="Arial" w:eastAsia="Arial" w:hAnsi="Arial"/>
          <w:sz w:val="18"/>
          <w:szCs w:val="18"/>
          <w:i w:val="1"/>
          <w:iCs w:val="1"/>
          <w:color w:val="auto"/>
        </w:rPr>
        <w:t>Erroneous Payments</w:t>
      </w:r>
      <w:r>
        <w:rPr>
          <w:rFonts w:ascii="Arial" w:cs="Arial" w:eastAsia="Arial" w:hAnsi="Arial"/>
          <w:sz w:val="18"/>
          <w:szCs w:val="18"/>
          <w:color w:val="auto"/>
        </w:rPr>
        <w:t>.</w:t>
      </w:r>
    </w:p>
    <w:p>
      <w:pPr>
        <w:spacing w:after="0" w:line="171" w:lineRule="exact"/>
        <w:rPr>
          <w:sz w:val="20"/>
          <w:szCs w:val="20"/>
          <w:color w:val="auto"/>
        </w:rPr>
      </w:pPr>
    </w:p>
    <w:p>
      <w:pPr>
        <w:jc w:val="both"/>
        <w:ind w:firstLine="622"/>
        <w:spacing w:after="0" w:line="219" w:lineRule="auto"/>
        <w:tabs>
          <w:tab w:leader="none" w:pos="1108" w:val="left"/>
        </w:tabs>
        <w:numPr>
          <w:ilvl w:val="0"/>
          <w:numId w:val="245"/>
        </w:numPr>
        <w:rPr>
          <w:rFonts w:ascii="Arial" w:cs="Arial" w:eastAsia="Arial" w:hAnsi="Arial"/>
          <w:sz w:val="21"/>
          <w:szCs w:val="21"/>
          <w:color w:val="auto"/>
        </w:rPr>
      </w:pPr>
      <w:r>
        <w:rPr>
          <w:rFonts w:ascii="Arial" w:cs="Arial" w:eastAsia="Arial" w:hAnsi="Arial"/>
          <w:sz w:val="21"/>
          <w:szCs w:val="21"/>
          <w:color w:val="auto"/>
        </w:rPr>
        <w:t>If the Administrative Agent (x) notifies a Lender (which reference, for the purpose of this Section 9.16, shall include an L/C Issuer, as appropriate) or Secured Party, or any Person who has received funds on behalf of a Lender or Secured Party (any such Lender, Secured Party or other recipient, but in any event excluding the Loan Parties and their Affiliates, a “</w:t>
      </w:r>
      <w:r>
        <w:rPr>
          <w:rFonts w:ascii="Arial" w:cs="Arial" w:eastAsia="Arial" w:hAnsi="Arial"/>
          <w:sz w:val="21"/>
          <w:szCs w:val="21"/>
          <w:b w:val="1"/>
          <w:bCs w:val="1"/>
          <w:color w:val="auto"/>
        </w:rPr>
        <w:t>Payment Recipient</w:t>
      </w:r>
      <w:r>
        <w:rPr>
          <w:rFonts w:ascii="Arial" w:cs="Arial" w:eastAsia="Arial" w:hAnsi="Arial"/>
          <w:sz w:val="21"/>
          <w:szCs w:val="21"/>
          <w:color w:val="auto"/>
        </w:rPr>
        <w:t>”) that the Administrative Agent has determined in its sole discretion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220</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316" w:lineRule="exact"/>
        <w:rPr>
          <w:sz w:val="20"/>
          <w:szCs w:val="20"/>
          <w:color w:val="auto"/>
        </w:rPr>
      </w:pPr>
    </w:p>
    <w:p>
      <w:pPr>
        <w:jc w:val="both"/>
        <w:ind w:firstLine="6"/>
        <w:spacing w:after="0" w:line="229" w:lineRule="auto"/>
        <w:rPr>
          <w:sz w:val="20"/>
          <w:szCs w:val="20"/>
          <w:color w:val="auto"/>
        </w:rPr>
      </w:pPr>
      <w:r>
        <w:rPr>
          <w:rFonts w:ascii="Arial" w:cs="Arial" w:eastAsia="Arial" w:hAnsi="Arial"/>
          <w:sz w:val="19"/>
          <w:szCs w:val="19"/>
          <w:color w:val="auto"/>
        </w:rPr>
        <w:t>after receipt of any notice under immediately succeeding clause (b)) that any funds received by such Payment Recipient from the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9"/>
          <w:szCs w:val="19"/>
          <w:b w:val="1"/>
          <w:bCs w:val="1"/>
          <w:color w:val="auto"/>
        </w:rPr>
        <w:t>Erroneous Payment</w:t>
      </w:r>
      <w:r>
        <w:rPr>
          <w:rFonts w:ascii="Arial" w:cs="Arial" w:eastAsia="Arial" w:hAnsi="Arial"/>
          <w:sz w:val="19"/>
          <w:szCs w:val="19"/>
          <w:color w:val="auto"/>
        </w:rPr>
        <w:t>”) and (y) demands the return of such Erroneous Payment (or a portion thereof), (i) such Erroneous Payment shall at all times remain the property of the Administrative Agent pending its return or repayment as contemplated below in this Section 9.16 and held in trust for the benefit of the Administrative Agent, and such Lender or Secured Party shall (or, with respect to any Payment Recipient who received such funds on its behalf, shall cause such Payment Recipient to) promptly, but in no event later than one (1)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Lender or Secured Party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Payment Recipient under this clause (a) shall be conclusive, absent manifest error</w:t>
      </w:r>
    </w:p>
    <w:p>
      <w:pPr>
        <w:spacing w:after="0" w:line="190" w:lineRule="exact"/>
        <w:rPr>
          <w:sz w:val="20"/>
          <w:szCs w:val="20"/>
          <w:color w:val="auto"/>
        </w:rPr>
      </w:pPr>
    </w:p>
    <w:p>
      <w:pPr>
        <w:jc w:val="both"/>
        <w:ind w:firstLine="622"/>
        <w:spacing w:after="0" w:line="223" w:lineRule="auto"/>
        <w:tabs>
          <w:tab w:leader="none" w:pos="1168"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(a “</w:t>
      </w:r>
      <w:r>
        <w:rPr>
          <w:rFonts w:ascii="Arial" w:cs="Arial" w:eastAsia="Arial" w:hAnsi="Arial"/>
          <w:sz w:val="20"/>
          <w:szCs w:val="20"/>
          <w:b w:val="1"/>
          <w:bCs w:val="1"/>
          <w:color w:val="auto"/>
        </w:rPr>
        <w:t>Payment Notice</w:t>
      </w:r>
      <w:r>
        <w:rPr>
          <w:rFonts w:ascii="Arial" w:cs="Arial" w:eastAsia="Arial" w:hAnsi="Arial"/>
          <w:sz w:val="20"/>
          <w:szCs w:val="20"/>
          <w:color w:val="auto"/>
        </w:rPr>
        <w:t>”), (y) that was not preceded or accompanied by a Payment Notice, or (z) that such Payment Recipient otherwise becomes aware was transmitted, or received, in error or by mistake (in whole or in part) in each case:</w:t>
      </w:r>
    </w:p>
    <w:p>
      <w:pPr>
        <w:spacing w:after="0" w:line="154" w:lineRule="exact"/>
        <w:rPr>
          <w:rFonts w:ascii="Arial" w:cs="Arial" w:eastAsia="Arial" w:hAnsi="Arial"/>
          <w:sz w:val="20"/>
          <w:szCs w:val="20"/>
          <w:color w:val="auto"/>
        </w:rPr>
      </w:pPr>
    </w:p>
    <w:p>
      <w:pPr>
        <w:jc w:val="both"/>
        <w:ind w:left="620" w:firstLine="621"/>
        <w:spacing w:after="0" w:line="219" w:lineRule="auto"/>
        <w:tabs>
          <w:tab w:leader="none" w:pos="1742" w:val="left"/>
        </w:tabs>
        <w:numPr>
          <w:ilvl w:val="1"/>
          <w:numId w:val="246"/>
        </w:numPr>
        <w:rPr>
          <w:rFonts w:ascii="Arial" w:cs="Arial" w:eastAsia="Arial" w:hAnsi="Arial"/>
          <w:sz w:val="19"/>
          <w:szCs w:val="19"/>
          <w:color w:val="auto"/>
        </w:rPr>
      </w:pPr>
      <w:r>
        <w:rPr>
          <w:rFonts w:ascii="Arial" w:cs="Arial" w:eastAsia="Arial" w:hAnsi="Arial"/>
          <w:sz w:val="21"/>
          <w:szCs w:val="21"/>
          <w:color w:val="auto"/>
        </w:rPr>
        <w:t>it acknowledges and agrees that (1) in the case of immediately preceding clauses (x) or (y), an error and mistake shall be presumed to have been made (absent written confirmation from the Administrative Agent to the contrary) or (2) an error and mistake has been made (in the case of immediately preceding clause (z)), in each case, with respect to such payment, prepayment or repayment; and</w:t>
      </w:r>
    </w:p>
    <w:p>
      <w:pPr>
        <w:spacing w:after="0" w:line="149" w:lineRule="exact"/>
        <w:rPr>
          <w:rFonts w:ascii="Arial" w:cs="Arial" w:eastAsia="Arial" w:hAnsi="Arial"/>
          <w:sz w:val="19"/>
          <w:szCs w:val="19"/>
          <w:color w:val="auto"/>
        </w:rPr>
      </w:pPr>
    </w:p>
    <w:p>
      <w:pPr>
        <w:ind w:left="620" w:firstLine="621"/>
        <w:spacing w:after="0" w:line="233" w:lineRule="auto"/>
        <w:tabs>
          <w:tab w:leader="none" w:pos="1744" w:val="left"/>
        </w:tabs>
        <w:numPr>
          <w:ilvl w:val="1"/>
          <w:numId w:val="246"/>
        </w:numPr>
        <w:rPr>
          <w:rFonts w:ascii="Arial" w:cs="Arial" w:eastAsia="Arial" w:hAnsi="Arial"/>
          <w:sz w:val="19"/>
          <w:szCs w:val="19"/>
          <w:color w:val="auto"/>
        </w:rPr>
      </w:pPr>
      <w:r>
        <w:rPr>
          <w:rFonts w:ascii="Arial" w:cs="Arial" w:eastAsia="Arial" w:hAnsi="Arial"/>
          <w:sz w:val="21"/>
          <w:szCs w:val="21"/>
          <w:color w:val="auto"/>
        </w:rPr>
        <w:t>such Payment Recipient shall, and shall cause any other recipient that receives funds on its respective behalf to, promptly (and, in all events, within one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221</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200" w:lineRule="exact"/>
        <w:rPr>
          <w:sz w:val="20"/>
          <w:szCs w:val="20"/>
          <w:color w:val="auto"/>
        </w:rPr>
      </w:pPr>
    </w:p>
    <w:p>
      <w:pPr>
        <w:spacing w:after="0" w:line="348" w:lineRule="exact"/>
        <w:rPr>
          <w:sz w:val="20"/>
          <w:szCs w:val="20"/>
          <w:color w:val="auto"/>
        </w:rPr>
      </w:pPr>
    </w:p>
    <w:p>
      <w:pPr>
        <w:jc w:val="both"/>
        <w:ind w:left="620" w:firstLine="6"/>
        <w:spacing w:after="0" w:line="224" w:lineRule="auto"/>
        <w:rPr>
          <w:sz w:val="20"/>
          <w:szCs w:val="20"/>
          <w:color w:val="auto"/>
        </w:rPr>
      </w:pPr>
      <w:r>
        <w:rPr>
          <w:rFonts w:ascii="Arial" w:cs="Arial" w:eastAsia="Arial" w:hAnsi="Arial"/>
          <w:sz w:val="21"/>
          <w:szCs w:val="21"/>
          <w:color w:val="auto"/>
        </w:rPr>
        <w:t xml:space="preserve">Day of its knowledge of the occurrence of any of the circumstances described in immediately preceding </w:t>
      </w:r>
      <w:r>
        <w:rPr>
          <w:rFonts w:ascii="Arial" w:cs="Arial" w:eastAsia="Arial" w:hAnsi="Arial"/>
          <w:sz w:val="21"/>
          <w:szCs w:val="21"/>
          <w:u w:val="single" w:color="auto"/>
          <w:color w:val="auto"/>
        </w:rPr>
        <w:t>clauses (x)</w:t>
      </w:r>
      <w:r>
        <w:rPr>
          <w:rFonts w:ascii="Arial" w:cs="Arial" w:eastAsia="Arial" w:hAnsi="Arial"/>
          <w:sz w:val="21"/>
          <w:szCs w:val="21"/>
          <w:color w:val="auto"/>
        </w:rPr>
        <w:t xml:space="preserve">, </w:t>
      </w:r>
      <w:r>
        <w:rPr>
          <w:rFonts w:ascii="Arial" w:cs="Arial" w:eastAsia="Arial" w:hAnsi="Arial"/>
          <w:sz w:val="21"/>
          <w:szCs w:val="21"/>
          <w:u w:val="single" w:color="auto"/>
          <w:color w:val="auto"/>
        </w:rPr>
        <w:t>(y)</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(z)</w:t>
      </w:r>
      <w:r>
        <w:rPr>
          <w:rFonts w:ascii="Arial" w:cs="Arial" w:eastAsia="Arial" w:hAnsi="Arial"/>
          <w:sz w:val="21"/>
          <w:szCs w:val="21"/>
          <w:color w:val="auto"/>
        </w:rPr>
        <w:t>) notify the Administrative Agent of its receipt of such payment, prepayment or repayment, the details thereof and that it is so notifying the Administrative Agent pursuant to this Section 9.16(b).</w:t>
      </w:r>
    </w:p>
    <w:p>
      <w:pPr>
        <w:spacing w:after="0" w:line="175" w:lineRule="exact"/>
        <w:rPr>
          <w:sz w:val="20"/>
          <w:szCs w:val="20"/>
          <w:color w:val="auto"/>
        </w:rPr>
      </w:pPr>
    </w:p>
    <w:p>
      <w:pPr>
        <w:jc w:val="both"/>
        <w:ind w:firstLine="622"/>
        <w:spacing w:after="0" w:line="219" w:lineRule="auto"/>
        <w:tabs>
          <w:tab w:leader="none" w:pos="1078" w:val="left"/>
        </w:tabs>
        <w:numPr>
          <w:ilvl w:val="0"/>
          <w:numId w:val="247"/>
        </w:numPr>
        <w:rPr>
          <w:rFonts w:ascii="Arial" w:cs="Arial" w:eastAsia="Arial" w:hAnsi="Arial"/>
          <w:sz w:val="21"/>
          <w:szCs w:val="21"/>
          <w:color w:val="auto"/>
        </w:rPr>
      </w:pPr>
      <w:r>
        <w:rPr>
          <w:rFonts w:ascii="Arial" w:cs="Arial" w:eastAsia="Arial" w:hAnsi="Arial"/>
          <w:sz w:val="21"/>
          <w:szCs w:val="21"/>
          <w:color w:val="auto"/>
        </w:rPr>
        <w:t>Each Lender or Secured Party hereby authorizes the Administrative Agent to set off, net and apply any and all amounts at any time owing to such Lender or Secured Party under any Loan Document, or otherwise payable or distributable by the Administrative Agent to such Lender or Secured Party from any source, against any amount due to the Administrative Agent under clause (a) above or under the indemnification provisions of this Agreement.</w:t>
      </w:r>
    </w:p>
    <w:p>
      <w:pPr>
        <w:spacing w:after="0" w:line="149" w:lineRule="exact"/>
        <w:rPr>
          <w:rFonts w:ascii="Arial" w:cs="Arial" w:eastAsia="Arial" w:hAnsi="Arial"/>
          <w:sz w:val="21"/>
          <w:szCs w:val="21"/>
          <w:color w:val="auto"/>
        </w:rPr>
      </w:pPr>
    </w:p>
    <w:p>
      <w:pPr>
        <w:jc w:val="both"/>
        <w:ind w:firstLine="622"/>
        <w:spacing w:after="0" w:line="229" w:lineRule="auto"/>
        <w:tabs>
          <w:tab w:leader="none" w:pos="109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In the event an Erroneous Payment (or portion thereof) is not recovered by the Administrative Agent for any reason, after demand therefor by the Administrative Agent in accordance with immediately preceding clause (a), from any Lender that has received such Erroneous Payment (or portion thereof) (or from any Payment Recipient who received such Erroneous Payment (or portion thereof) on its respective behalf) (such unrecovered amount, an “</w:t>
      </w:r>
      <w:r>
        <w:rPr>
          <w:rFonts w:ascii="Arial" w:cs="Arial" w:eastAsia="Arial" w:hAnsi="Arial"/>
          <w:sz w:val="19"/>
          <w:szCs w:val="19"/>
          <w:b w:val="1"/>
          <w:bCs w:val="1"/>
          <w:color w:val="auto"/>
        </w:rPr>
        <w:t>Erroneous Payment Return Deficiency</w:t>
      </w:r>
      <w:r>
        <w:rPr>
          <w:rFonts w:ascii="Arial" w:cs="Arial" w:eastAsia="Arial" w:hAnsi="Arial"/>
          <w:sz w:val="19"/>
          <w:szCs w:val="19"/>
          <w:color w:val="auto"/>
        </w:rPr>
        <w:t>”), upon the Administrative Agent’s request to such Lender at any time, then effective immediately (with the consideration therefor being acknowledged by the parties hereto), (i) such Lender shall be deemed to have assigned its Loans (but not its Commitments) of the relevant Class with respect to which such Erroneous Payment was made (the “</w:t>
      </w:r>
      <w:r>
        <w:rPr>
          <w:rFonts w:ascii="Arial" w:cs="Arial" w:eastAsia="Arial" w:hAnsi="Arial"/>
          <w:sz w:val="19"/>
          <w:szCs w:val="19"/>
          <w:b w:val="1"/>
          <w:bCs w:val="1"/>
          <w:color w:val="auto"/>
        </w:rPr>
        <w:t>Erroneous Payment Impacted Class</w:t>
      </w:r>
      <w:r>
        <w:rPr>
          <w:rFonts w:ascii="Arial" w:cs="Arial" w:eastAsia="Arial" w:hAnsi="Arial"/>
          <w:sz w:val="19"/>
          <w:szCs w:val="19"/>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9"/>
          <w:szCs w:val="19"/>
          <w:b w:val="1"/>
          <w:bCs w:val="1"/>
          <w:color w:val="auto"/>
        </w:rPr>
        <w:t>Erroneous Payment Deficiency Assignment</w:t>
      </w:r>
      <w:r>
        <w:rPr>
          <w:rFonts w:ascii="Arial" w:cs="Arial" w:eastAsia="Arial" w:hAnsi="Arial"/>
          <w:sz w:val="19"/>
          <w:szCs w:val="19"/>
          <w:color w:val="auto"/>
        </w:rPr>
        <w:t xml:space="preserve">”) (on a cashless basis and such amount calculated at par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any accrued and unpaid interest (with the assignment fee to be waived by the Administrative Agent in such instance)), and is hereby (together with Holdings and the Borrower) deemed to execute and deliver an Assignment and Assumption (or, to the extent applicable, an agreement incorporating an Assignment and Assumption by reference pursuant to an electronic platform approved by the Administrative Agent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(ii) the Administrative Agent as the assignee Lender shall be deemed to have acquired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Borrower shall each be deemed to have waived any consents required under this Agreement to any such Erroneous Payment Deficiency Assignment, and (v)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222</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30" w:lineRule="auto"/>
        <w:tabs>
          <w:tab w:leader="none" w:pos="1136"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(the “</w:t>
      </w:r>
      <w:r>
        <w:rPr>
          <w:rFonts w:ascii="Arial" w:cs="Arial" w:eastAsia="Arial" w:hAnsi="Arial"/>
          <w:sz w:val="19"/>
          <w:szCs w:val="19"/>
          <w:b w:val="1"/>
          <w:bCs w:val="1"/>
          <w:color w:val="auto"/>
        </w:rPr>
        <w:t>Erroneous Payment Subrogation Rights</w:t>
      </w:r>
      <w:r>
        <w:rPr>
          <w:rFonts w:ascii="Arial" w:cs="Arial" w:eastAsia="Arial" w:hAnsi="Arial"/>
          <w:sz w:val="19"/>
          <w:szCs w:val="19"/>
          <w:color w:val="auto"/>
        </w:rPr>
        <w: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Loan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9.16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for the avoidance of doubt, immediately preceding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59" w:lineRule="exact"/>
        <w:rPr>
          <w:rFonts w:ascii="Arial" w:cs="Arial" w:eastAsia="Arial" w:hAnsi="Arial"/>
          <w:sz w:val="19"/>
          <w:szCs w:val="19"/>
          <w:color w:val="auto"/>
        </w:rPr>
      </w:pPr>
    </w:p>
    <w:p>
      <w:pPr>
        <w:jc w:val="both"/>
        <w:ind w:firstLine="622"/>
        <w:spacing w:after="0" w:line="230" w:lineRule="auto"/>
        <w:tabs>
          <w:tab w:leader="none" w:pos="1052"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49" w:lineRule="exact"/>
        <w:rPr>
          <w:rFonts w:ascii="Arial" w:cs="Arial" w:eastAsia="Arial" w:hAnsi="Arial"/>
          <w:sz w:val="20"/>
          <w:szCs w:val="20"/>
          <w:color w:val="auto"/>
        </w:rPr>
      </w:pPr>
    </w:p>
    <w:p>
      <w:pPr>
        <w:jc w:val="both"/>
        <w:ind w:firstLine="622"/>
        <w:spacing w:after="0" w:line="251" w:lineRule="auto"/>
        <w:tabs>
          <w:tab w:leader="none" w:pos="1117" w:val="left"/>
        </w:tabs>
        <w:numPr>
          <w:ilvl w:val="0"/>
          <w:numId w:val="248"/>
        </w:numPr>
        <w:rPr>
          <w:rFonts w:ascii="Arial" w:cs="Arial" w:eastAsia="Arial" w:hAnsi="Arial"/>
          <w:sz w:val="19"/>
          <w:szCs w:val="19"/>
          <w:color w:val="auto"/>
        </w:rPr>
      </w:pPr>
      <w:r>
        <w:rPr>
          <w:rFonts w:ascii="Arial" w:cs="Arial" w:eastAsia="Arial" w:hAnsi="Arial"/>
          <w:sz w:val="19"/>
          <w:szCs w:val="19"/>
          <w:color w:val="auto"/>
        </w:rPr>
        <w:t>Each party’s obligations, agreements and waivers under this Section 9.16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139" w:lineRule="exact"/>
        <w:rPr>
          <w:rFonts w:ascii="Arial" w:cs="Arial" w:eastAsia="Arial" w:hAnsi="Arial"/>
          <w:sz w:val="19"/>
          <w:szCs w:val="19"/>
          <w:color w:val="auto"/>
        </w:rPr>
      </w:pPr>
    </w:p>
    <w:p>
      <w:pPr>
        <w:jc w:val="both"/>
        <w:ind w:firstLine="622"/>
        <w:spacing w:after="0" w:line="235" w:lineRule="auto"/>
        <w:tabs>
          <w:tab w:leader="none" w:pos="1077" w:val="left"/>
        </w:tabs>
        <w:numPr>
          <w:ilvl w:val="0"/>
          <w:numId w:val="248"/>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 no Loan Party nor any of their respective Affiliates shall have any obligations or liabilities directly or indirectly arising out of this Section 9.16 in respect of any Erroneous Payment (other than having consented to the assignment referenced in this Section 9.16(d) above).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10</w:t>
      </w:r>
    </w:p>
    <w:p>
      <w:pPr>
        <w:jc w:val="center"/>
        <w:spacing w:after="0"/>
        <w:rPr>
          <w:sz w:val="20"/>
          <w:szCs w:val="20"/>
          <w:color w:val="auto"/>
        </w:rPr>
      </w:pPr>
      <w:r>
        <w:rPr>
          <w:rFonts w:ascii="Arial" w:cs="Arial" w:eastAsia="Arial" w:hAnsi="Arial"/>
          <w:sz w:val="21"/>
          <w:szCs w:val="21"/>
          <w:color w:val="auto"/>
        </w:rPr>
        <w:t>MISCELLANEOUS</w:t>
      </w:r>
    </w:p>
    <w:p>
      <w:pPr>
        <w:spacing w:after="0" w:line="153"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10.01. </w:t>
      </w:r>
      <w:r>
        <w:rPr>
          <w:rFonts w:ascii="Arial" w:cs="Arial" w:eastAsia="Arial" w:hAnsi="Arial"/>
          <w:sz w:val="21"/>
          <w:szCs w:val="21"/>
          <w:i w:val="1"/>
          <w:iCs w:val="1"/>
          <w:color w:val="auto"/>
        </w:rPr>
        <w:t>Amendments, Etc.</w:t>
      </w:r>
      <w:r>
        <w:rPr>
          <w:rFonts w:ascii="Arial" w:cs="Arial" w:eastAsia="Arial" w:hAnsi="Arial"/>
          <w:sz w:val="21"/>
          <w:szCs w:val="21"/>
          <w:color w:val="auto"/>
        </w:rPr>
        <w:t xml:space="preserve"> Except as otherwise set forth in this Agreement, no amendment or waiver of any provision of this Agreement or any other Loan Document, and no consent to any departure by any Loan Party therefrom, shall be effective unless in writing 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223</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316" w:lineRule="exact"/>
        <w:rPr>
          <w:sz w:val="20"/>
          <w:szCs w:val="20"/>
          <w:color w:val="auto"/>
        </w:rPr>
      </w:pPr>
    </w:p>
    <w:p>
      <w:pPr>
        <w:jc w:val="both"/>
        <w:ind w:firstLine="6"/>
        <w:spacing w:after="0" w:line="214" w:lineRule="auto"/>
        <w:rPr>
          <w:sz w:val="20"/>
          <w:szCs w:val="20"/>
          <w:color w:val="auto"/>
        </w:rPr>
      </w:pPr>
      <w:r>
        <w:rPr>
          <w:rFonts w:ascii="Arial" w:cs="Arial" w:eastAsia="Arial" w:hAnsi="Arial"/>
          <w:sz w:val="21"/>
          <w:szCs w:val="21"/>
          <w:color w:val="auto"/>
        </w:rPr>
        <w:t xml:space="preserve">by the Required Lenders, or by the Administrative Agent with the consent of the Required Lenders, and such Loan Party (with an executed copy thereof promptly delivered to the Administrative Agent if not otherwise a party thereto) and each such waiver or consent shall be effective only in the specific instance and for the specific purpose for which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amendment or waiver contemplated in clauses (g) or (j) below, shall only require the consent of such Loan Party and the Required Revolving Credit Lenders or the Required Facility Lenders under the applicable Facility, as applicable;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no such amendment, waiver or consent shall:</w:t>
      </w:r>
    </w:p>
    <w:p>
      <w:pPr>
        <w:spacing w:after="0" w:line="152" w:lineRule="exact"/>
        <w:rPr>
          <w:sz w:val="20"/>
          <w:szCs w:val="20"/>
          <w:color w:val="auto"/>
        </w:rPr>
      </w:pPr>
    </w:p>
    <w:p>
      <w:pPr>
        <w:jc w:val="both"/>
        <w:ind w:firstLine="622"/>
        <w:spacing w:after="0" w:line="235" w:lineRule="auto"/>
        <w:tabs>
          <w:tab w:leader="none" w:pos="1088" w:val="left"/>
        </w:tabs>
        <w:numPr>
          <w:ilvl w:val="0"/>
          <w:numId w:val="249"/>
        </w:numPr>
        <w:rPr>
          <w:rFonts w:ascii="Arial" w:cs="Arial" w:eastAsia="Arial" w:hAnsi="Arial"/>
          <w:sz w:val="20"/>
          <w:szCs w:val="20"/>
          <w:color w:val="auto"/>
        </w:rPr>
      </w:pPr>
      <w:r>
        <w:rPr>
          <w:rFonts w:ascii="Arial" w:cs="Arial" w:eastAsia="Arial" w:hAnsi="Arial"/>
          <w:sz w:val="20"/>
          <w:szCs w:val="20"/>
          <w:color w:val="auto"/>
        </w:rPr>
        <w:t>extend or increase the Commitment of any Lender without the written consent of each Lender holding such Commitment (it being understood that a waiver of any condition precedent or of any Default, mandatory prepayment or mandatory reduction of the Commitments shall not constitute an extension or increase of any Commitment of any Lender);</w:t>
      </w:r>
    </w:p>
    <w:p>
      <w:pPr>
        <w:spacing w:after="0" w:line="149" w:lineRule="exact"/>
        <w:rPr>
          <w:rFonts w:ascii="Arial" w:cs="Arial" w:eastAsia="Arial" w:hAnsi="Arial"/>
          <w:sz w:val="20"/>
          <w:szCs w:val="20"/>
          <w:color w:val="auto"/>
        </w:rPr>
      </w:pPr>
    </w:p>
    <w:p>
      <w:pPr>
        <w:jc w:val="both"/>
        <w:ind w:firstLine="622"/>
        <w:spacing w:after="0" w:line="239" w:lineRule="auto"/>
        <w:tabs>
          <w:tab w:leader="none" w:pos="111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postpone any date scheduled for, or reduce or forgive the amount of, any payment of principal or interest under Sections 2.07 or 2.08 without the written consent of each Lender holding the applicable Obligation (it being understood that the waiver of (or amendment to the terms of) any mandatory prepayment of the Term Loans shall not constitute a postponement of any date scheduled for the payment of principal or interest and it being understood that any change to the definition of “</w:t>
      </w:r>
      <w:r>
        <w:rPr>
          <w:rFonts w:ascii="Arial" w:cs="Arial" w:eastAsia="Arial" w:hAnsi="Arial"/>
          <w:sz w:val="19"/>
          <w:szCs w:val="19"/>
          <w:b w:val="1"/>
          <w:bCs w:val="1"/>
          <w:color w:val="auto"/>
        </w:rPr>
        <w:t>Consolidated Total Net Leverage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Ratio </w:t>
      </w:r>
      <w:r>
        <w:rPr>
          <w:rFonts w:ascii="Arial" w:cs="Arial" w:eastAsia="Arial" w:hAnsi="Arial"/>
          <w:sz w:val="19"/>
          <w:szCs w:val="19"/>
          <w:color w:val="auto"/>
        </w:rPr>
        <w:t>or in the component definitions thereof shall not constitute a reduction or forgiveness in any rate of interest);</w:t>
      </w:r>
    </w:p>
    <w:p>
      <w:pPr>
        <w:spacing w:after="0" w:line="149" w:lineRule="exact"/>
        <w:rPr>
          <w:rFonts w:ascii="Arial" w:cs="Arial" w:eastAsia="Arial" w:hAnsi="Arial"/>
          <w:sz w:val="19"/>
          <w:szCs w:val="19"/>
          <w:color w:val="auto"/>
        </w:rPr>
      </w:pPr>
    </w:p>
    <w:p>
      <w:pPr>
        <w:jc w:val="both"/>
        <w:ind w:firstLine="622"/>
        <w:spacing w:after="0" w:line="223" w:lineRule="auto"/>
        <w:tabs>
          <w:tab w:leader="none" w:pos="111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reduce or forgive the principal of, or the rate of interest specified herein on, any Loan, or L/C Borrowing, or (subject to clause (iii) of the third proviso to this Section 10.01) any fees or other amounts payable hereunder or under any other Loan Document (or change the timing of payments of such fees or other amounts) without the written consent of each Lender holding such Loan, L/C Borrowing or to whom such fee or other amount is owed (it being understood that any change to the definition of “</w:t>
      </w:r>
      <w:r>
        <w:rPr>
          <w:rFonts w:ascii="Arial" w:cs="Arial" w:eastAsia="Arial" w:hAnsi="Arial"/>
          <w:sz w:val="20"/>
          <w:szCs w:val="20"/>
          <w:b w:val="1"/>
          <w:bCs w:val="1"/>
          <w:color w:val="auto"/>
        </w:rPr>
        <w:t>Consolidated Total</w:t>
      </w:r>
      <w:r>
        <w:rPr>
          <w:rFonts w:ascii="Arial" w:cs="Arial" w:eastAsia="Arial" w:hAnsi="Arial"/>
          <w:sz w:val="20"/>
          <w:szCs w:val="20"/>
          <w:color w:val="auto"/>
        </w:rPr>
        <w:t xml:space="preserve"> </w:t>
      </w:r>
      <w:r>
        <w:rPr>
          <w:rFonts w:ascii="Arial" w:cs="Arial" w:eastAsia="Arial" w:hAnsi="Arial"/>
          <w:sz w:val="20"/>
          <w:szCs w:val="20"/>
          <w:b w:val="1"/>
          <w:bCs w:val="1"/>
          <w:color w:val="auto"/>
        </w:rPr>
        <w:t>Net Leverage Ratio</w:t>
      </w:r>
      <w:r>
        <w:rPr>
          <w:rFonts w:ascii="Arial" w:cs="Arial" w:eastAsia="Arial" w:hAnsi="Arial"/>
          <w:sz w:val="20"/>
          <w:szCs w:val="20"/>
          <w:color w:val="auto"/>
        </w:rPr>
        <w:t>” or in the component definitions thereof shall not constitute a reduction or forgiveness in any rate of interest);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only the consent of the Required Lenders shall be necessary to amend the definition of “</w:t>
      </w:r>
      <w:r>
        <w:rPr>
          <w:rFonts w:ascii="Arial" w:cs="Arial" w:eastAsia="Arial" w:hAnsi="Arial"/>
          <w:sz w:val="20"/>
          <w:szCs w:val="20"/>
          <w:b w:val="1"/>
          <w:bCs w:val="1"/>
          <w:color w:val="auto"/>
        </w:rPr>
        <w:t>Default Rate</w:t>
      </w:r>
      <w:r>
        <w:rPr>
          <w:rFonts w:ascii="Arial" w:cs="Arial" w:eastAsia="Arial" w:hAnsi="Arial"/>
          <w:sz w:val="20"/>
          <w:szCs w:val="20"/>
          <w:color w:val="auto"/>
        </w:rPr>
        <w:t>” or to waive any</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 of the Borrower to pay interest at the Default Rate;</w:t>
      </w:r>
    </w:p>
    <w:p>
      <w:pPr>
        <w:spacing w:after="0" w:line="148" w:lineRule="exact"/>
        <w:rPr>
          <w:rFonts w:ascii="Arial" w:cs="Arial" w:eastAsia="Arial" w:hAnsi="Arial"/>
          <w:sz w:val="20"/>
          <w:szCs w:val="20"/>
          <w:color w:val="auto"/>
        </w:rPr>
      </w:pPr>
    </w:p>
    <w:p>
      <w:pPr>
        <w:jc w:val="both"/>
        <w:ind w:firstLine="622"/>
        <w:spacing w:after="0" w:line="231" w:lineRule="auto"/>
        <w:tabs>
          <w:tab w:leader="none" w:pos="1074" w:val="left"/>
        </w:tabs>
        <w:numPr>
          <w:ilvl w:val="0"/>
          <w:numId w:val="249"/>
        </w:numPr>
        <w:rPr>
          <w:rFonts w:ascii="Arial" w:cs="Arial" w:eastAsia="Arial" w:hAnsi="Arial"/>
          <w:sz w:val="20"/>
          <w:szCs w:val="20"/>
          <w:color w:val="auto"/>
        </w:rPr>
      </w:pPr>
      <w:r>
        <w:rPr>
          <w:rFonts w:ascii="Arial" w:cs="Arial" w:eastAsia="Arial" w:hAnsi="Arial"/>
          <w:sz w:val="20"/>
          <w:szCs w:val="20"/>
          <w:color w:val="auto"/>
        </w:rPr>
        <w:t>change any provision of Section 8.04 or this Section 10.01 or lower the percentage set forth in the definition of “</w:t>
      </w:r>
      <w:r>
        <w:rPr>
          <w:rFonts w:ascii="Arial" w:cs="Arial" w:eastAsia="Arial" w:hAnsi="Arial"/>
          <w:sz w:val="20"/>
          <w:szCs w:val="20"/>
          <w:b w:val="1"/>
          <w:bCs w:val="1"/>
          <w:color w:val="auto"/>
        </w:rPr>
        <w:t>Required</w:t>
      </w:r>
      <w:r>
        <w:rPr>
          <w:rFonts w:ascii="Arial" w:cs="Arial" w:eastAsia="Arial" w:hAnsi="Arial"/>
          <w:sz w:val="20"/>
          <w:szCs w:val="20"/>
          <w:color w:val="auto"/>
        </w:rPr>
        <w:t xml:space="preserve"> </w:t>
      </w:r>
      <w:r>
        <w:rPr>
          <w:rFonts w:ascii="Arial" w:cs="Arial" w:eastAsia="Arial" w:hAnsi="Arial"/>
          <w:sz w:val="20"/>
          <w:szCs w:val="20"/>
          <w:b w:val="1"/>
          <w:bCs w:val="1"/>
          <w:color w:val="auto"/>
        </w:rPr>
        <w:t>Revolving Credit Lenders,</w:t>
      </w:r>
      <w:r>
        <w:rPr>
          <w:rFonts w:ascii="Arial" w:cs="Arial" w:eastAsia="Arial" w:hAnsi="Arial"/>
          <w:sz w:val="20"/>
          <w:szCs w:val="20"/>
          <w:color w:val="auto"/>
        </w:rPr>
        <w:t>” “</w:t>
      </w:r>
      <w:r>
        <w:rPr>
          <w:rFonts w:ascii="Arial" w:cs="Arial" w:eastAsia="Arial" w:hAnsi="Arial"/>
          <w:sz w:val="20"/>
          <w:szCs w:val="20"/>
          <w:b w:val="1"/>
          <w:bCs w:val="1"/>
          <w:color w:val="auto"/>
        </w:rPr>
        <w:t>Required Lenders,</w:t>
      </w:r>
      <w:r>
        <w:rPr>
          <w:rFonts w:ascii="Arial" w:cs="Arial" w:eastAsia="Arial" w:hAnsi="Arial"/>
          <w:sz w:val="20"/>
          <w:szCs w:val="20"/>
          <w:color w:val="auto"/>
        </w:rPr>
        <w:t>” “</w:t>
      </w:r>
      <w:r>
        <w:rPr>
          <w:rFonts w:ascii="Arial" w:cs="Arial" w:eastAsia="Arial" w:hAnsi="Arial"/>
          <w:sz w:val="20"/>
          <w:szCs w:val="20"/>
          <w:b w:val="1"/>
          <w:bCs w:val="1"/>
          <w:color w:val="auto"/>
        </w:rPr>
        <w:t>Required Facility Lenders,</w:t>
      </w:r>
      <w:r>
        <w:rPr>
          <w:rFonts w:ascii="Arial" w:cs="Arial" w:eastAsia="Arial" w:hAnsi="Arial"/>
          <w:sz w:val="20"/>
          <w:szCs w:val="20"/>
          <w:color w:val="auto"/>
        </w:rPr>
        <w:t>” “</w:t>
      </w:r>
      <w:r>
        <w:rPr>
          <w:rFonts w:ascii="Arial" w:cs="Arial" w:eastAsia="Arial" w:hAnsi="Arial"/>
          <w:sz w:val="20"/>
          <w:szCs w:val="20"/>
          <w:b w:val="1"/>
          <w:bCs w:val="1"/>
          <w:color w:val="auto"/>
        </w:rPr>
        <w:t>Required Class Lenders</w:t>
      </w:r>
      <w:r>
        <w:rPr>
          <w:rFonts w:ascii="Arial" w:cs="Arial" w:eastAsia="Arial" w:hAnsi="Arial"/>
          <w:sz w:val="20"/>
          <w:szCs w:val="20"/>
          <w:color w:val="auto"/>
        </w:rPr>
        <w:t>” or any other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specifying the number of Lenders or portion of the Loans or Commitments required to take any action under the Loan Documents, in each case, without the written consent of each Lender directly and adversely affected thereby;</w:t>
      </w:r>
    </w:p>
    <w:p>
      <w:pPr>
        <w:spacing w:after="0" w:line="151" w:lineRule="exact"/>
        <w:rPr>
          <w:rFonts w:ascii="Arial" w:cs="Arial" w:eastAsia="Arial" w:hAnsi="Arial"/>
          <w:sz w:val="20"/>
          <w:szCs w:val="20"/>
          <w:color w:val="auto"/>
        </w:rPr>
      </w:pPr>
    </w:p>
    <w:p>
      <w:pPr>
        <w:ind w:firstLine="622"/>
        <w:spacing w:after="0" w:line="233" w:lineRule="auto"/>
        <w:tabs>
          <w:tab w:leader="none" w:pos="1135" w:val="left"/>
        </w:tabs>
        <w:numPr>
          <w:ilvl w:val="0"/>
          <w:numId w:val="249"/>
        </w:numPr>
        <w:rPr>
          <w:rFonts w:ascii="Arial" w:cs="Arial" w:eastAsia="Arial" w:hAnsi="Arial"/>
          <w:sz w:val="21"/>
          <w:szCs w:val="21"/>
          <w:color w:val="auto"/>
        </w:rPr>
      </w:pPr>
      <w:r>
        <w:rPr>
          <w:rFonts w:ascii="Arial" w:cs="Arial" w:eastAsia="Arial" w:hAnsi="Arial"/>
          <w:sz w:val="21"/>
          <w:szCs w:val="21"/>
          <w:color w:val="auto"/>
        </w:rPr>
        <w:t>other than in connection with a transaction permitted under Sections 7.04 or 7.05, release all or substantially all of the Collateral in any transaction or series of related transactions, without the written consent of each Lender;</w:t>
      </w:r>
    </w:p>
    <w:p>
      <w:pPr>
        <w:spacing w:after="0" w:line="149" w:lineRule="exact"/>
        <w:rPr>
          <w:rFonts w:ascii="Arial" w:cs="Arial" w:eastAsia="Arial" w:hAnsi="Arial"/>
          <w:sz w:val="21"/>
          <w:szCs w:val="21"/>
          <w:color w:val="auto"/>
        </w:rPr>
      </w:pPr>
    </w:p>
    <w:p>
      <w:pPr>
        <w:ind w:firstLine="622"/>
        <w:spacing w:after="0" w:line="233" w:lineRule="auto"/>
        <w:tabs>
          <w:tab w:leader="none" w:pos="1116" w:val="left"/>
        </w:tabs>
        <w:numPr>
          <w:ilvl w:val="0"/>
          <w:numId w:val="249"/>
        </w:numPr>
        <w:rPr>
          <w:rFonts w:ascii="Arial" w:cs="Arial" w:eastAsia="Arial" w:hAnsi="Arial"/>
          <w:sz w:val="21"/>
          <w:szCs w:val="21"/>
          <w:color w:val="auto"/>
        </w:rPr>
      </w:pPr>
      <w:r>
        <w:rPr>
          <w:rFonts w:ascii="Arial" w:cs="Arial" w:eastAsia="Arial" w:hAnsi="Arial"/>
          <w:sz w:val="21"/>
          <w:szCs w:val="21"/>
          <w:color w:val="auto"/>
        </w:rPr>
        <w:t>other than in connection with a transaction permitted under Sections 7.04 or 7.05, release all or substantially all of the aggregate value of the Guaranty, without the written consent of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224</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622"/>
        <w:spacing w:after="0" w:line="213" w:lineRule="auto"/>
        <w:tabs>
          <w:tab w:leader="none" w:pos="1081"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(1) waive any condition set forth in Section 4.02 as to any Credit Extension under one or more Revolving Credit Facilities or (2) amend, waive or otherwise modify any term or provision which directly affects Lenders under one or more Revolving Credit Facilities and does not directly affect Lenders under any other Facility, in each case, without the written consent of the Required Facility Lenders under such applicable Revolving Credit Facility or Facilities (and in the case of multiple Facilities which are affected, with respect to any such Facility, such consent shall be effected by the Required Facility Lenders of such Facility);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waivers described in this clause (g) shall not require the consent of any Lenders other than the Required Facility Lenders under such Facility or Facilities;</w:t>
      </w:r>
    </w:p>
    <w:p>
      <w:pPr>
        <w:spacing w:after="0" w:line="143" w:lineRule="exact"/>
        <w:rPr>
          <w:rFonts w:ascii="Arial" w:cs="Arial" w:eastAsia="Arial" w:hAnsi="Arial"/>
          <w:sz w:val="21"/>
          <w:szCs w:val="21"/>
          <w:color w:val="auto"/>
        </w:rPr>
      </w:pPr>
    </w:p>
    <w:p>
      <w:pPr>
        <w:ind w:firstLine="622"/>
        <w:spacing w:after="0" w:line="236" w:lineRule="auto"/>
        <w:tabs>
          <w:tab w:leader="none" w:pos="1127" w:val="left"/>
        </w:tabs>
        <w:numPr>
          <w:ilvl w:val="0"/>
          <w:numId w:val="250"/>
        </w:numPr>
        <w:rPr>
          <w:rFonts w:ascii="Arial" w:cs="Arial" w:eastAsia="Arial" w:hAnsi="Arial"/>
          <w:sz w:val="21"/>
          <w:szCs w:val="21"/>
          <w:color w:val="auto"/>
        </w:rPr>
      </w:pPr>
      <w:r>
        <w:rPr>
          <w:rFonts w:ascii="Arial" w:cs="Arial" w:eastAsia="Arial" w:hAnsi="Arial"/>
          <w:sz w:val="21"/>
          <w:szCs w:val="21"/>
          <w:color w:val="auto"/>
        </w:rPr>
        <w:t>amend, waive or otherwise modify the portion of the definition of “</w:t>
      </w:r>
      <w:r>
        <w:rPr>
          <w:rFonts w:ascii="Arial" w:cs="Arial" w:eastAsia="Arial" w:hAnsi="Arial"/>
          <w:sz w:val="21"/>
          <w:szCs w:val="21"/>
          <w:b w:val="1"/>
          <w:bCs w:val="1"/>
          <w:color w:val="auto"/>
        </w:rPr>
        <w:t>Interest Period</w:t>
      </w:r>
      <w:r>
        <w:rPr>
          <w:rFonts w:ascii="Arial" w:cs="Arial" w:eastAsia="Arial" w:hAnsi="Arial"/>
          <w:sz w:val="21"/>
          <w:szCs w:val="21"/>
          <w:color w:val="auto"/>
        </w:rPr>
        <w:t>” to automatically allow intervals in excess of six months, without the written consent of each Lender directly affected thereby;</w:t>
      </w:r>
    </w:p>
    <w:p>
      <w:pPr>
        <w:spacing w:after="0" w:line="149" w:lineRule="exact"/>
        <w:rPr>
          <w:rFonts w:ascii="Arial" w:cs="Arial" w:eastAsia="Arial" w:hAnsi="Arial"/>
          <w:sz w:val="21"/>
          <w:szCs w:val="21"/>
          <w:color w:val="auto"/>
        </w:rPr>
      </w:pPr>
    </w:p>
    <w:p>
      <w:pPr>
        <w:ind w:firstLine="622"/>
        <w:spacing w:after="0" w:line="233" w:lineRule="auto"/>
        <w:tabs>
          <w:tab w:leader="none" w:pos="1042" w:val="left"/>
        </w:tabs>
        <w:numPr>
          <w:ilvl w:val="0"/>
          <w:numId w:val="250"/>
        </w:numPr>
        <w:rPr>
          <w:rFonts w:ascii="Arial" w:cs="Arial" w:eastAsia="Arial" w:hAnsi="Arial"/>
          <w:sz w:val="21"/>
          <w:szCs w:val="21"/>
          <w:color w:val="auto"/>
        </w:rPr>
      </w:pPr>
      <w:r>
        <w:rPr>
          <w:rFonts w:ascii="Arial" w:cs="Arial" w:eastAsia="Arial" w:hAnsi="Arial"/>
          <w:sz w:val="21"/>
          <w:szCs w:val="21"/>
          <w:color w:val="auto"/>
        </w:rPr>
        <w:t>subordinate the Revolving Credit Facility to any Term Loans without the written consent of each Revolving Credit Lender directly and adversely affected thereby; or</w:t>
      </w:r>
    </w:p>
    <w:p>
      <w:pPr>
        <w:spacing w:after="0" w:line="149" w:lineRule="exact"/>
        <w:rPr>
          <w:rFonts w:ascii="Arial" w:cs="Arial" w:eastAsia="Arial" w:hAnsi="Arial"/>
          <w:sz w:val="21"/>
          <w:szCs w:val="21"/>
          <w:color w:val="auto"/>
        </w:rPr>
      </w:pPr>
    </w:p>
    <w:p>
      <w:pPr>
        <w:jc w:val="both"/>
        <w:ind w:firstLine="622"/>
        <w:spacing w:after="0" w:line="229" w:lineRule="auto"/>
        <w:tabs>
          <w:tab w:leader="none" w:pos="114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 xml:space="preserve">amend, waive or otherwise modify any term or provision (including the availability and conditions to funding under Section 2.14 (but not the conditions to implementing Incremental Term Loans or Incremental Revolving Credit Commitments pursuant to Section 2.14(d)(v) and Section 2.14(e)) with respect to Incremental Term Loans and Incremental Revolving Credit Commitments, under Section 2.15 with respect to Refinancing Term Loans and Other Revolving Credit Commitments and under Section 2.16 with respect to Extended Term Loans or Extended Revolving Credit Commitments and, in each case, the rate of interest applicable thereto) which directly affects Lenders of one or more Incremental Term Loans, Incremental Revolving Credit Commitments, Refinancing Term Loans, Other Revolving Credit Commitments, Extended Term Loans or Extended Revolving Credit Commitments and does not directly and adversely affect Lenders under any other Facility, in each case, without the written consent of the Required Facility Lenders under such applicable Incremental Term Loans, Incremental Revolving Credit Commitments, Refinancing Term Loans, Other Revolving Credit Commitments, Extended Term Loans or Extended Revolving Credit Commitments (and in the case of multiple Facilities which are directly affected, with respect to any such Facility, such consent shall be effected by the Required Facility Lenders of such Facility);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waivers described in this clause (j) shall not require the consent of any Lenders other than the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Facility Lenders under such applicable Incremental Term Loans, Incremental Revolving Credit Commitments, Refinancing Term Loans, Other Revolving Credit Commitments, Extended Term Loans or Extended Revolving Credit Commitments, as the case may be;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 no amendment, waiver or consent shall, unless in writing and signed by each L/C Issuer in addition to the Lenders required above, affect the rights or duties of an L/C Issuer under this Agreement or any Letter of Credit Issuance Request relating to any Letter of Credit issued or to be issued by it; (ii) no amendment, waiver or consent shall, unless in writing and signed by a Swing Line Lender in addition to the Lenders required above, affect the rights or duties of such Swing Line Lender under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Agreement may be amended to adjust the borrowing mechanics related to Swing Line Loans with only the written consent of the Swing Line Lender, the Administrative Agent and the Borrower so long as the obligations of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225</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316" w:lineRule="exact"/>
        <w:rPr>
          <w:sz w:val="20"/>
          <w:szCs w:val="20"/>
          <w:color w:val="auto"/>
        </w:rPr>
      </w:pPr>
    </w:p>
    <w:p>
      <w:pPr>
        <w:jc w:val="both"/>
        <w:ind w:firstLine="6"/>
        <w:spacing w:after="0" w:line="231" w:lineRule="auto"/>
        <w:rPr>
          <w:sz w:val="20"/>
          <w:szCs w:val="20"/>
          <w:color w:val="auto"/>
        </w:rPr>
      </w:pPr>
      <w:r>
        <w:rPr>
          <w:rFonts w:ascii="Arial" w:cs="Arial" w:eastAsia="Arial" w:hAnsi="Arial"/>
          <w:sz w:val="19"/>
          <w:szCs w:val="19"/>
          <w:color w:val="auto"/>
        </w:rPr>
        <w:t>Credit Lenders are not affected thereby; (iii) no amendment, waiver or consent shall, unless in writing and signed by the Administrative Agent or the Collateral Agent, as applicable, in addition to the Lenders required above, affect the rights or duties of, or any fees or other amounts payable to, the Administrative Agent or the Collateral Agent, as applicable, under this Agreement or any other Loan Document; (iv) Section 10.07(i) may not be amended, waived or otherwise modified without the consent of each Granting Lender all or any part of whose Loans are being funded by an SPC at the time of such amendment, waiver or other modification; and (v) the consent of Lenders holding more than 50% of any Class of Commitments or Loans shall be required with respect to any amendment that by its terms adversely affects the rights of such Class in respect of payments or Collateral hereunder in a manner different than such amendment affects other Classes.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materially and adversely affects any Defaulting Lender (if such Lender were not a Defaulting Lender) to a greater extent than other affected Lenders shall require the consent of such Defaulting Lender.</w:t>
      </w:r>
    </w:p>
    <w:p>
      <w:pPr>
        <w:spacing w:after="0" w:line="176"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 xml:space="preserve">Notwithstanding the foregoing, no Lender consent is required to effect any amendment or supplement to the Junior Lien Intercreditor Agreement, any First Lien Intercreditor Agreement or any other intercreditor agreement or arrangement permitted under this Agreement that is for the purpose of adding the Other Debt Representatives, as expressly contemplated by the terms of the Junior Lien Intercreditor Agreement, such First Lien Intercreditor Agreement or such other intercreditor agreement or arrangement permitted under this Agreement, as applicable, pursuant to the terms thereof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20"/>
          <w:szCs w:val="20"/>
          <w:i w:val="1"/>
          <w:iCs w:val="1"/>
          <w:color w:val="auto"/>
        </w:rPr>
        <w:t>provided, further</w:t>
      </w:r>
      <w:r>
        <w:rPr>
          <w:rFonts w:ascii="Arial" w:cs="Arial" w:eastAsia="Arial" w:hAnsi="Arial"/>
          <w:sz w:val="20"/>
          <w:szCs w:val="20"/>
          <w:color w:val="auto"/>
        </w:rPr>
        <w:t>, that no such agreement shall amend, modify or otherwise affect the rights or duties of the Administrative Agent hereunder or under any other Loan Document without the prior written consent of the Administrative Agent.</w:t>
      </w:r>
    </w:p>
    <w:p>
      <w:pPr>
        <w:spacing w:after="0" w:line="157"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19"/>
          <w:szCs w:val="19"/>
          <w:color w:val="auto"/>
        </w:rPr>
        <w:t>Notwithstanding the foregoing, this Agreement and any other Loan Document may be amended solely with the consent of the Administrative Agent and/or the Collateral Agent (if applicable) and the Borrower without the need to obtain the consent of any other Lender if such amendment is delivered in order (A) to correct or cure ambiguities, errors, omissions or defects, (B) to effect administrative changes of a technical or immaterial nature, (C) to fix incorrect cross references or similar inaccuracies in this Agreement or the applicable Loan Document, (D) solely to add benefit to one or more existing Facilities, including but not limited to, increase in margin, interest rate floor, prepayment premium, call protection and reestablishment of or increase in amortization schedule, in order to cause any Incremental Facility to be fungible with any existing Facility, (E) to add any financial covenant or other terms for the benefit of all Lenders or any Class of Lenders pursuant to the conditions imposed on the incurrence of any Indebtedness set forth elsewhere in this Agreement and (F) to implement amendments permitted by the Intercreditor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226</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316" w:lineRule="exact"/>
        <w:rPr>
          <w:sz w:val="20"/>
          <w:szCs w:val="20"/>
          <w:color w:val="auto"/>
        </w:rPr>
      </w:pPr>
    </w:p>
    <w:p>
      <w:pPr>
        <w:jc w:val="both"/>
        <w:ind w:firstLine="6"/>
        <w:spacing w:after="0" w:line="231" w:lineRule="auto"/>
        <w:rPr>
          <w:sz w:val="20"/>
          <w:szCs w:val="20"/>
          <w:color w:val="auto"/>
        </w:rPr>
      </w:pPr>
      <w:r>
        <w:rPr>
          <w:rFonts w:ascii="Arial" w:cs="Arial" w:eastAsia="Arial" w:hAnsi="Arial"/>
          <w:sz w:val="19"/>
          <w:szCs w:val="19"/>
          <w:color w:val="auto"/>
        </w:rPr>
        <w:t>Agreements, this Agreement or the other Collateral Documents that do not by the terms of the Intercreditor Agreements or other Collateral Documents require lender consent, and in each case of clauses (A), (B) and (C), such amendment shall become effective without any further action or the consent of any other party to any Loan Document if the same is not objected to in writing by the Required Lenders within five (5) Business Days following receipt of notice thereof. The Collateral Documents and related documents in connection with this Agreement and the other Loan Documents may be in a form reasonably determined by the Administrative Agent and may be, together with this Agreement, amended, supplemented and waived with the consent of the Administrative Agent and/ or the Collateral Agent (if applicable) at the request of the Borrower without the need to obtain the consent of any other Lender if such amendment, supplement or waiver is delivered in order (i) to comply with local Law or advice of local counsel, (ii) to correct or cure ambiguities, omissions, mistakes or defects or (iii) to cause such Collateral Documents or other document to be consistent with this Agreement and the other Loan Documents and, in each case, such amendment shall become effective without any further action or the consent of any other party to any Loan Document if the same is not objected to in writing by the Required Lenders within five (5) Business Days following receipt of notice thereof.</w:t>
      </w:r>
    </w:p>
    <w:p>
      <w:pPr>
        <w:spacing w:after="0" w:line="184"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9"/>
          <w:szCs w:val="19"/>
          <w:color w:val="auto"/>
        </w:rPr>
        <w:t>Notwithstanding anything in this Agreement or any other Loan Document to the contrary, the Borrower and the Administrative Agent may enter into any Incremental Amendment in accordance with Section 2.14, any Refinancing Amendment in accordance with Section 2.15 and any Extension Amendment in accordance with Section 2.16 and such Incremental Amendments, Refinancing Amendments and Extension Amendments shall be effective to amend the terms of this Agreement and the other applicable Loan Documents, in each case, without any further action or consent of any other party to any Loan Document.</w:t>
      </w:r>
    </w:p>
    <w:p>
      <w:pPr>
        <w:spacing w:after="0" w:line="150"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Notwithstanding anything in this Agreement or any other Loan Document to the contrary, the Borrower and the Administrative Agent may enter into any amendment, waiver, consent or supplement to this Agreement and such other related changes to this Agreement as may be applicable without the consent of any Lender to amend the definitions of “Eurocurrency Rate” or “Term SOFR”, in each case, as set forth therein.</w:t>
      </w:r>
    </w:p>
    <w:p>
      <w:pPr>
        <w:spacing w:after="0" w:line="150" w:lineRule="exact"/>
        <w:rPr>
          <w:sz w:val="20"/>
          <w:szCs w:val="20"/>
          <w:color w:val="auto"/>
        </w:rPr>
      </w:pPr>
    </w:p>
    <w:p>
      <w:pPr>
        <w:jc w:val="both"/>
        <w:ind w:firstLine="619"/>
        <w:spacing w:after="0" w:line="227" w:lineRule="auto"/>
        <w:rPr>
          <w:sz w:val="20"/>
          <w:szCs w:val="20"/>
          <w:color w:val="auto"/>
        </w:rPr>
      </w:pPr>
      <w:r>
        <w:rPr>
          <w:rFonts w:ascii="Arial" w:cs="Arial" w:eastAsia="Arial" w:hAnsi="Arial"/>
          <w:sz w:val="20"/>
          <w:szCs w:val="20"/>
          <w:color w:val="auto"/>
        </w:rPr>
        <w:t xml:space="preserve">Section 10.02. </w:t>
      </w:r>
      <w:r>
        <w:rPr>
          <w:rFonts w:ascii="Arial" w:cs="Arial" w:eastAsia="Arial" w:hAnsi="Arial"/>
          <w:sz w:val="20"/>
          <w:szCs w:val="20"/>
          <w:i w:val="1"/>
          <w:iCs w:val="1"/>
          <w:color w:val="auto"/>
        </w:rPr>
        <w:t>Notices and Other Communications; Facsimile Copies</w:t>
      </w:r>
      <w:r>
        <w:rPr>
          <w:rFonts w:ascii="Arial" w:cs="Arial" w:eastAsia="Arial" w:hAnsi="Arial"/>
          <w:sz w:val="20"/>
          <w:szCs w:val="20"/>
          <w:color w:val="auto"/>
        </w:rPr>
        <w:t xml:space="preserve">. (a) </w:t>
      </w:r>
      <w:r>
        <w:rPr>
          <w:rFonts w:ascii="Arial" w:cs="Arial" w:eastAsia="Arial" w:hAnsi="Arial"/>
          <w:sz w:val="20"/>
          <w:szCs w:val="20"/>
          <w:i w:val="1"/>
          <w:iCs w:val="1"/>
          <w:color w:val="auto"/>
        </w:rPr>
        <w:t>General</w:t>
      </w:r>
      <w:r>
        <w:rPr>
          <w:rFonts w:ascii="Arial" w:cs="Arial" w:eastAsia="Arial" w:hAnsi="Arial"/>
          <w:sz w:val="20"/>
          <w:szCs w:val="20"/>
          <w:color w:val="auto"/>
        </w:rPr>
        <w:t>. Unless otherwise expressly provided herein, all notices and other communications provided for hereunder or under any other Loan Document shall be in writing (including by facsimile transmission or electronic mail).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50" w:lineRule="exact"/>
        <w:rPr>
          <w:sz w:val="20"/>
          <w:szCs w:val="20"/>
          <w:color w:val="auto"/>
        </w:rPr>
      </w:pPr>
    </w:p>
    <w:p>
      <w:pPr>
        <w:jc w:val="both"/>
        <w:ind w:left="620" w:firstLine="621"/>
        <w:spacing w:after="0" w:line="230" w:lineRule="auto"/>
        <w:tabs>
          <w:tab w:leader="none" w:pos="1649" w:val="left"/>
        </w:tabs>
        <w:numPr>
          <w:ilvl w:val="0"/>
          <w:numId w:val="251"/>
        </w:numPr>
        <w:rPr>
          <w:rFonts w:ascii="Arial" w:cs="Arial" w:eastAsia="Arial" w:hAnsi="Arial"/>
          <w:sz w:val="20"/>
          <w:szCs w:val="20"/>
          <w:color w:val="auto"/>
        </w:rPr>
      </w:pPr>
      <w:r>
        <w:rPr>
          <w:rFonts w:ascii="Arial" w:cs="Arial" w:eastAsia="Arial" w:hAnsi="Arial"/>
          <w:sz w:val="20"/>
          <w:szCs w:val="20"/>
          <w:color w:val="auto"/>
        </w:rPr>
        <w:t>subject to Section 10.07(q), if to the Borrower (or any other Loan Party) or the Administrative Agent, the Collateral Agent, an L/C Issuer or the Swing Line Lender, to the address, facsimile number, electronic mail address or telephone number specified for such Person on Schedule 10.02(a) or to such other address, facsimile number, electronic mail address or telephone number as shall be designated by such party in a notice to the other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227</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620" w:firstLine="621"/>
        <w:spacing w:after="0" w:line="219" w:lineRule="auto"/>
        <w:tabs>
          <w:tab w:leader="none" w:pos="1736" w:val="left"/>
        </w:tabs>
        <w:numPr>
          <w:ilvl w:val="0"/>
          <w:numId w:val="252"/>
        </w:numPr>
        <w:rPr>
          <w:rFonts w:ascii="Arial" w:cs="Arial" w:eastAsia="Arial" w:hAnsi="Arial"/>
          <w:sz w:val="21"/>
          <w:szCs w:val="21"/>
          <w:color w:val="auto"/>
        </w:rPr>
      </w:pPr>
      <w:r>
        <w:rPr>
          <w:rFonts w:ascii="Arial" w:cs="Arial" w:eastAsia="Arial" w:hAnsi="Arial"/>
          <w:sz w:val="21"/>
          <w:szCs w:val="21"/>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Collateral Agent, each L/C Issuer and the Swing Line Lender.</w:t>
      </w:r>
    </w:p>
    <w:p>
      <w:pPr>
        <w:spacing w:after="0" w:line="150"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Section 10.02(c)), when delivered;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notices and other communications to the Administrative Agent, the Collateral Agent, an L/C Issuer and the Swing Line Lender pursuant to Article 2 shall not be effective until actually received by such Person. In no event shall a voice mail message be effective as a notice, communication or confirmation hereunder. Any notice not given during normal business hours for the recipient shall be deemed to have been given at the opening of business on the next Business Day for the recipient.</w:t>
      </w:r>
    </w:p>
    <w:p>
      <w:pPr>
        <w:spacing w:after="0" w:line="157" w:lineRule="exact"/>
        <w:rPr>
          <w:sz w:val="20"/>
          <w:szCs w:val="20"/>
          <w:color w:val="auto"/>
        </w:rPr>
      </w:pPr>
    </w:p>
    <w:p>
      <w:pPr>
        <w:jc w:val="both"/>
        <w:ind w:firstLine="622"/>
        <w:spacing w:after="0" w:line="251" w:lineRule="auto"/>
        <w:tabs>
          <w:tab w:leader="none" w:pos="1086" w:val="left"/>
        </w:tabs>
        <w:numPr>
          <w:ilvl w:val="0"/>
          <w:numId w:val="253"/>
        </w:numPr>
        <w:rPr>
          <w:rFonts w:ascii="Arial" w:cs="Arial" w:eastAsia="Arial" w:hAnsi="Arial"/>
          <w:sz w:val="19"/>
          <w:szCs w:val="19"/>
          <w:color w:val="auto"/>
        </w:rPr>
      </w:pPr>
      <w:r>
        <w:rPr>
          <w:rFonts w:ascii="Arial" w:cs="Arial" w:eastAsia="Arial" w:hAnsi="Arial"/>
          <w:sz w:val="19"/>
          <w:szCs w:val="19"/>
          <w:color w:val="auto"/>
        </w:rPr>
        <w:t>Effectiveness of Facsimile Documents and Signatures. Loan Documents may be transmitted and/or signed by facsimile or other electronic communication. The effectiveness of any such documents and signatures shall, subject to applicable Law, have the same force and effect as manually signed originals and shall be binding on all Loan Parties, the Agents and the Lenders.</w:t>
      </w:r>
    </w:p>
    <w:p>
      <w:pPr>
        <w:spacing w:after="0" w:line="139" w:lineRule="exact"/>
        <w:rPr>
          <w:rFonts w:ascii="Arial" w:cs="Arial" w:eastAsia="Arial" w:hAnsi="Arial"/>
          <w:sz w:val="19"/>
          <w:szCs w:val="19"/>
          <w:color w:val="auto"/>
        </w:rPr>
      </w:pPr>
    </w:p>
    <w:p>
      <w:pPr>
        <w:jc w:val="both"/>
        <w:ind w:firstLine="622"/>
        <w:spacing w:after="0" w:line="233" w:lineRule="auto"/>
        <w:tabs>
          <w:tab w:leader="none" w:pos="1077" w:val="left"/>
        </w:tabs>
        <w:numPr>
          <w:ilvl w:val="0"/>
          <w:numId w:val="253"/>
        </w:numPr>
        <w:rPr>
          <w:rFonts w:ascii="Arial" w:cs="Arial" w:eastAsia="Arial" w:hAnsi="Arial"/>
          <w:sz w:val="19"/>
          <w:szCs w:val="19"/>
          <w:color w:val="auto"/>
        </w:rPr>
      </w:pPr>
      <w:r>
        <w:rPr>
          <w:rFonts w:ascii="Arial" w:cs="Arial" w:eastAsia="Arial" w:hAnsi="Arial"/>
          <w:sz w:val="19"/>
          <w:szCs w:val="19"/>
          <w:color w:val="auto"/>
        </w:rPr>
        <w:t>Reliance by Agents and Lenders. The Administrative Agent, the Collateral Agent and the Lenders shall be entitled to rely and act upon any notices (including telephonic Committed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the Administrative Agent or Collateral Agent may be recorded by the Administrative Agent or the Collateral Agent, and each of the parties hereto hereby consents to such recording.</w:t>
      </w:r>
    </w:p>
    <w:p>
      <w:pPr>
        <w:spacing w:after="0" w:line="153" w:lineRule="exact"/>
        <w:rPr>
          <w:rFonts w:ascii="Arial" w:cs="Arial" w:eastAsia="Arial" w:hAnsi="Arial"/>
          <w:sz w:val="19"/>
          <w:szCs w:val="19"/>
          <w:color w:val="auto"/>
        </w:rPr>
      </w:pPr>
    </w:p>
    <w:p>
      <w:pPr>
        <w:jc w:val="both"/>
        <w:ind w:firstLine="622"/>
        <w:spacing w:after="0" w:line="237" w:lineRule="auto"/>
        <w:tabs>
          <w:tab w:leader="none" w:pos="1169" w:val="left"/>
        </w:tabs>
        <w:numPr>
          <w:ilvl w:val="0"/>
          <w:numId w:val="253"/>
        </w:numPr>
        <w:rPr>
          <w:rFonts w:ascii="Arial" w:cs="Arial" w:eastAsia="Arial" w:hAnsi="Arial"/>
          <w:sz w:val="19"/>
          <w:szCs w:val="19"/>
          <w:color w:val="auto"/>
        </w:rPr>
      </w:pPr>
      <w:r>
        <w:rPr>
          <w:rFonts w:ascii="Arial" w:cs="Arial" w:eastAsia="Arial" w:hAnsi="Arial"/>
          <w:sz w:val="19"/>
          <w:szCs w:val="19"/>
          <w:i w:val="1"/>
          <w:iCs w:val="1"/>
          <w:color w:val="auto"/>
        </w:rPr>
        <w:t>Electronic Communications</w:t>
      </w:r>
      <w:r>
        <w:rPr>
          <w:rFonts w:ascii="Arial" w:cs="Arial" w:eastAsia="Arial" w:hAnsi="Arial"/>
          <w:sz w:val="19"/>
          <w:szCs w:val="19"/>
          <w:color w:val="auto"/>
        </w:rPr>
        <w:t>. Notices and other communications to the Lenders and the L/C Issuers hereunder may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delivered or furnished by FpML messaging and Internet or intranet websites pursuant to procedures approved by the Administrative Agent acting reasonably,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notices to any Lender or L/C Issuer pursuant to Article 2 if such Lender or L/C Issuer, as applicable, has notified the Administrative Agent that it is incapable of receiving notices under such Article by such communication. The Administrative Agent, the Swing Line Lender, the L/C Issuers or the Borrower may each, in its discretion, agree to accept notices and other communications to it hereunder by FpML messaging and Internet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228</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316" w:lineRule="exact"/>
        <w:rPr>
          <w:sz w:val="20"/>
          <w:szCs w:val="20"/>
          <w:color w:val="auto"/>
        </w:rPr>
      </w:pPr>
    </w:p>
    <w:p>
      <w:pPr>
        <w:jc w:val="both"/>
        <w:ind w:firstLine="6"/>
        <w:spacing w:after="0" w:line="230" w:lineRule="auto"/>
        <w:rPr>
          <w:sz w:val="20"/>
          <w:szCs w:val="20"/>
          <w:color w:val="auto"/>
        </w:rPr>
      </w:pPr>
      <w:r>
        <w:rPr>
          <w:rFonts w:ascii="Arial" w:cs="Arial" w:eastAsia="Arial" w:hAnsi="Arial"/>
          <w:sz w:val="20"/>
          <w:szCs w:val="20"/>
          <w:color w:val="auto"/>
        </w:rPr>
        <w:t xml:space="preserve">intranet websites pursuant to procedures approved by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approval of such procedures may be limited to particular notices or communications. Unless the Administrative Agent otherwise prescribes, notices or communications posted to an Internet or intranet website shall be deemed received upon the deemed receipt by the intended recipient at its e-mail address of notification that such notice or communication is available and identifying the website address therefor.</w:t>
      </w:r>
    </w:p>
    <w:p>
      <w:pPr>
        <w:spacing w:after="0" w:line="176"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i w:val="1"/>
          <w:iCs w:val="1"/>
          <w:color w:val="auto"/>
        </w:rPr>
        <w:t>No Waiver; Cumulative Remedies</w:t>
      </w:r>
      <w:r>
        <w:rPr>
          <w:rFonts w:ascii="Arial" w:cs="Arial" w:eastAsia="Arial" w:hAnsi="Arial"/>
          <w:sz w:val="20"/>
          <w:szCs w:val="20"/>
          <w:color w:val="auto"/>
        </w:rPr>
        <w:t>. No failure by any Lender or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50"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i w:val="1"/>
          <w:iCs w:val="1"/>
          <w:color w:val="auto"/>
        </w:rPr>
        <w:t>Attorney Costs and Expenses</w:t>
      </w:r>
      <w:r>
        <w:rPr>
          <w:rFonts w:ascii="Arial" w:cs="Arial" w:eastAsia="Arial" w:hAnsi="Arial"/>
          <w:sz w:val="19"/>
          <w:szCs w:val="19"/>
          <w:color w:val="auto"/>
        </w:rPr>
        <w:t xml:space="preserve">. The Borrower agrees (a) if the Restatement Date occurs, to pay or reimburse the Administrative Agent, the Collateral Agent and the Lead Arrangers for all reasonable and documented out-of-pocket costs and expenses incurred in connection with the preparation, negotiation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which shall be limited to one primary counsel (which shall be Cahill Gordon &amp; Reindel LLP for any and all of the foregoing in connection with the Transactions and other matters, to occur on or prior to or otherwise in connection with the Restatement Date) and one local counsel as reasonably necessary in each relevant jurisdiction material to the interests of the Lenders taken as a whole) and (b) from and after the Restatement Date, to pay or reimburse the Administrative Agent, the Collateral Agent, the Lead Arrangers and each Lender for all reasonable and documented out-of-pocket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 and including all respective Attorney Costs which shall be limited to Attorney Costs of one counsel to the Administrative Agent and the Lead Arrangers (and one local counsel as reasonably necessary in each relevant jurisdiction material to the interests of the Lenders taken as a whole)). The foregoing costs and expenses shall include all reasonable search, filing, recording and title insurance charges and fees related thereto, and other reasonable and documented out-of-pocket expenses incurred by any Agent. The agreements in this Section 10.04 shall survive the termination of the Aggregate Commitments and repayment of all other Obligations. All amounts due under this Section 10.04 shall be paid within thirty (30) days of receipt by the Borrower of an invoice relating thereto setting forth such expenses in reasonable detail including, if requested by the Borrower and to the extent reasonably available, backup documentation supporting such reimbursement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the Restatement Date, all amounts due under this Section 10.04 shall be paid on the Restatement Date solely to the extent invoiced to the Borrower within three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229</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316" w:lineRule="exact"/>
        <w:rPr>
          <w:sz w:val="20"/>
          <w:szCs w:val="20"/>
          <w:color w:val="auto"/>
        </w:rPr>
      </w:pPr>
    </w:p>
    <w:p>
      <w:pPr>
        <w:jc w:val="both"/>
        <w:ind w:firstLine="6"/>
        <w:spacing w:after="0" w:line="276" w:lineRule="auto"/>
        <w:rPr>
          <w:sz w:val="20"/>
          <w:szCs w:val="20"/>
          <w:color w:val="auto"/>
        </w:rPr>
      </w:pPr>
      <w:r>
        <w:rPr>
          <w:rFonts w:ascii="Arial" w:cs="Arial" w:eastAsia="Arial" w:hAnsi="Arial"/>
          <w:sz w:val="19"/>
          <w:szCs w:val="19"/>
          <w:color w:val="auto"/>
        </w:rPr>
        <w:t>of the Restatement Date. If any Loan Party fails to pay when due any costs, expenses or other amounts payable by it hereunder or under any Loan Document, such amount may be paid on behalf of such Loan Party by the Administrative Agent in its sole discretion.</w:t>
      </w:r>
    </w:p>
    <w:p>
      <w:pPr>
        <w:spacing w:after="0" w:line="142"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For the avoidance of doubt, this Section 10.04 shall not apply to Taxes, except any Taxes that represent liabilities, obligations, losses, damages, penalties, claims, demands, actions, prepayments, suits, costs, expenses and disbursements arising from any non-Tax claims.</w:t>
      </w:r>
    </w:p>
    <w:p>
      <w:pPr>
        <w:spacing w:after="0" w:line="149"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Indemnification by the Borrower</w:t>
      </w:r>
      <w:r>
        <w:rPr>
          <w:rFonts w:ascii="Arial" w:cs="Arial" w:eastAsia="Arial" w:hAnsi="Arial"/>
          <w:sz w:val="18"/>
          <w:szCs w:val="18"/>
          <w:color w:val="auto"/>
        </w:rPr>
        <w:t>. The Borrower shall indemnify and hold harmless each Agent-Related Person, each Lead Arranger, each Lender, each L/C Issuer and their respective Affiliates, and their respective officers, directors, employees, partners, agents, advisors and other representatives of each of the foregoing (collectively the “</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liabilities (including Environmental Liabilities),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that is material to the interests of the Lenders, and solely in the case of a conflict of interest, one additional counsel in each relevant jurisdiction that is material to each group of similarly situated affected Indemnitees) of any kind or nature whatsoever which may at any time be imposed on, incurred by or asserted against any such Indemnitee in any way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in all cases, whether or not caused by or arising, in whole or in part, out of the negligence of the Indemnitee;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such indemnity shall not, as to any Indemnitee, be available to the extent that such liabilities, obligations, losses, damages, penalties, claims, demands, actions, judgments, suits, costs, expenses or disbursements resulted from (x) the gross negligence, bad faith or willful misconduct of such Indemnitee or of any of its Affiliates or their respective directors, officers, employees, partners, agents, advisors or other representatives, as determined by a final non-appealable judgment of a court of competent jurisdiction, (y) a material breach of any obligations under any Loan Document by such Indemnitee or of any of its Affiliates or their respective directors, officers, employees, partners, advisors or other representatives, as determined by a final non-appealable judgment of a court of competent jurisdiction or (z) any dispute solely among Indemnitees (other than any claims against an Indemnitee in its capacity or in fulfilling its role as an Agent or as a Lead Arranger under any Facility and other than any claims arising out of any act or omission of Holdings, the Borrower, the Investors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230</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316" w:lineRule="exact"/>
        <w:rPr>
          <w:sz w:val="20"/>
          <w:szCs w:val="20"/>
          <w:color w:val="auto"/>
        </w:rPr>
      </w:pPr>
    </w:p>
    <w:p>
      <w:pPr>
        <w:jc w:val="both"/>
        <w:ind w:firstLine="6"/>
        <w:spacing w:after="0" w:line="230" w:lineRule="auto"/>
        <w:rPr>
          <w:sz w:val="20"/>
          <w:szCs w:val="20"/>
          <w:color w:val="auto"/>
        </w:rPr>
      </w:pPr>
      <w:r>
        <w:rPr>
          <w:rFonts w:ascii="Arial" w:cs="Arial" w:eastAsia="Arial" w:hAnsi="Arial"/>
          <w:sz w:val="19"/>
          <w:szCs w:val="19"/>
          <w:color w:val="auto"/>
        </w:rPr>
        <w:t xml:space="preserve">No Indemnitee shall be liable for any damages arising from the use by others of any information or other materials obtained through Debtdomain, Roadshow Access (if applicable) or other similar information transmission systems in connection with this Agreement or any other Loan Document, nor, to the extent permissible under applicable Law, shall any Indemnitee, Loan Party or any Subsidiary have any liability for any special, punitive, indirect or consequential damages relating to this Agreement or any other Loan Document or arising out of its activities in connection herewith or therewith (whether before or after the Restatement Date) (other than, in the case of any Loan Party, in respect of any such damages incurred or paid by an Indemnitee to a third party and for any out-of-pocket expenses in each case subject to the indemnification provisions of this Section 10.05); it being agreed that this sentence shall not limit the indemnification obligations of Holdings, the Borrower or any Subsidiary. In the case of an investigation, litigation or other proceeding to which the indemnity in this Section 10.05 applies, such indemnity shall be effective whether or not such investigation, litigation or proceeding is brought by any Loan Party, any Subsidiary of any Loan Party,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Section 10.05 shall be paid within thirty (30) days after written demand therefor (together with backup documentation supporting such reimbursement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Indemnitee shall promptly refund the amount of any payment to the extent that there is a final judicial or arbitral</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determination that such Indemnitee was not entitled to indemnification rights with respect to such payment pursuant to the express terms of this Section 10.05.</w:t>
      </w:r>
    </w:p>
    <w:p>
      <w:pPr>
        <w:spacing w:after="0" w:line="182"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The agreements in this Section 10.05 shall survive the resignation or removal of the Administrative Agent or Collateral Agent, the replacement of any Lender, the termination of the Aggregate Commitments and the repayment, satisfaction or discharge of all the other Obligations. For the avoidance of doubt, this Section 10.05 shall not apply to Taxes, except any Taxes that represent liabilities, obligations, losses, damages, penalties, claims, demands, actions, prepayments, suits, costs, expenses and disbursements arising from any non-Tax claims.</w:t>
      </w:r>
    </w:p>
    <w:p>
      <w:pPr>
        <w:spacing w:after="0" w:line="151"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i w:val="1"/>
          <w:iCs w:val="1"/>
          <w:color w:val="auto"/>
        </w:rPr>
        <w:t>Payments Set Aside</w:t>
      </w:r>
      <w:r>
        <w:rPr>
          <w:rFonts w:ascii="Arial" w:cs="Arial" w:eastAsia="Arial" w:hAnsi="Arial"/>
          <w:sz w:val="19"/>
          <w:szCs w:val="19"/>
          <w:color w:val="auto"/>
        </w:rPr>
        <w:t>.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Federal Funds Effective Rate from time to time in effect, in the applicable currency of such recovery or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231</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Successors and Assigns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(except as permitted by Section 7.04) and no Lender may assign or otherwise transfer any of its rights or obligations hereunder except (i) to an Assignee pursuant to an assignment made in accordance with the provisions of Section 10.07(b) (such an assignee, an “</w:t>
      </w:r>
      <w:r>
        <w:rPr>
          <w:rFonts w:ascii="Arial" w:cs="Arial" w:eastAsia="Arial" w:hAnsi="Arial"/>
          <w:sz w:val="18"/>
          <w:szCs w:val="18"/>
          <w:b w:val="1"/>
          <w:bCs w:val="1"/>
          <w:color w:val="auto"/>
        </w:rPr>
        <w:t>Eligible Assignee</w:t>
      </w:r>
      <w:r>
        <w:rPr>
          <w:rFonts w:ascii="Arial" w:cs="Arial" w:eastAsia="Arial" w:hAnsi="Arial"/>
          <w:sz w:val="18"/>
          <w:szCs w:val="18"/>
          <w:color w:val="auto"/>
        </w:rPr>
        <w:t xml:space="preserve">”) and (A) in the case of any Assignee that, immediately prior to or upon giving effect to such assignment, is an Affiliated Lender, Section 10.07(l), (B) in the case of any Assignee that is Holdings, the Borrower or any of its Subsidiaries, Section 2.05(a)(v) or Section 10.07(m), or (C) in the case of any Assignee that, immediately prior to or upon giving effect to such assignment, is a Debt Fund Affiliate, Section 10.07(p), (ii) by way of participation in accordance with the provisions of Section 10.07(f), (iii) by way of pledge or assignment of a security interest subject to the restrictions of Section 10.07(j) or (iv) to an SPC in accordance with the provisions of Section 10.07(i) (and any other attempted assignment or transfer by any party hereto shall be null and void);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anything to the contrary, (x) no Lender may assign or transfer by participation any of its rights or obligations hereunder to (i) any Person that is a Defaulting Lender or a Disqualified Lender (and any failure of the Borrower to respond to any request for consent of assignment shall not cause such Person to cease to constitute a Disqualified Lender), (ii) a natural Person or a holding company, investment vehicle or trust for, or owned and operated for the primary benefit of a natural Person or (iii) to Holdings, the Borrower or any of their respective Subsidiaries (except pursuant to Section 2.05(a)(v) or Section 10.07(m)) and (y) no Lender may assign or transfer by participation any of its rights or obligations under the Revolving Credit Facility or Revolving Credit Exposure hereunder without the consent of the Borrower (not to be unreasonably withheld, conditioned or delayed and it is understood and agreed that the Borrower may withhold its consent to any Person that is known to be an Affiliate of a Disqualified Lender regardless of whether such Person is reasonably identifiable as an Affiliate of such Disqualified Lender on the basis of such Affiliate’s name (other than a Bona Fide Debt Fund)) unless</w:t>
      </w:r>
    </w:p>
    <w:p>
      <w:pPr>
        <w:spacing w:after="0" w:line="4" w:lineRule="exact"/>
        <w:rPr>
          <w:sz w:val="20"/>
          <w:szCs w:val="20"/>
          <w:color w:val="auto"/>
        </w:rPr>
      </w:pPr>
    </w:p>
    <w:p>
      <w:pPr>
        <w:jc w:val="both"/>
        <w:ind w:firstLine="3"/>
        <w:spacing w:after="0" w:line="231" w:lineRule="auto"/>
        <w:tabs>
          <w:tab w:leader="none" w:pos="264" w:val="left"/>
        </w:tabs>
        <w:numPr>
          <w:ilvl w:val="0"/>
          <w:numId w:val="254"/>
        </w:numPr>
        <w:rPr>
          <w:rFonts w:ascii="Arial" w:cs="Arial" w:eastAsia="Arial" w:hAnsi="Arial"/>
          <w:sz w:val="19"/>
          <w:szCs w:val="19"/>
          <w:color w:val="auto"/>
        </w:rPr>
      </w:pPr>
      <w:r>
        <w:rPr>
          <w:rFonts w:ascii="Arial" w:cs="Arial" w:eastAsia="Arial" w:hAnsi="Arial"/>
          <w:sz w:val="19"/>
          <w:szCs w:val="19"/>
          <w:color w:val="auto"/>
        </w:rPr>
        <w:t>such assignment or transfer is by a Revolving Credit Lender to an Affiliate of such assigning Revolving Credit Lender of similar creditworthiness to such assigning Revolving Credit Lender, (ii) subject to clause (iv) of the proviso in Section 10.07(f), such transfer is a transfer of Revolving Credit Exposure that is not a Voting Participation or (iii) an Event of Default under Section 8.01(a) or, solely with respect to the Borrower, Section 8.01(f), has occurred and is continuing; provided that the Borrower shall be deemed to have consented to any assignment of Term Loans unless the Borrower shall have objected thereto within fifteen (15) Business Days after the Persons identified in Section 10.07(q)(i) have received the written request therefor. Nothing in this Agreement, expressed or implied, shall be construed to confer upon any Person (other than the parties hereto, their respective successors and assigns permitted hereby, Participants to the extent provided in Section 10.07(f) and, to the extent expressly contemplated hereby, the Indemnitees) any legal or equitable right, remedy or claim under or by reason of this Agreement.</w:t>
      </w:r>
    </w:p>
    <w:p>
      <w:pPr>
        <w:spacing w:after="0" w:line="152"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9"/>
          <w:szCs w:val="19"/>
          <w:color w:val="auto"/>
        </w:rPr>
        <w:t>If any Loans or Commitments are assigned or participated (x) to a Disqualified Lender or (y) without complying with the notice requirement under Section 10.07(q), then: (a) the Borrower may (i) terminate any Commitment of such person and prepay any applicable outstanding Loans at a price equal to the lesser of (x) par and (y) the amount such person paid to acquire such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232</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316" w:lineRule="exact"/>
        <w:rPr>
          <w:sz w:val="20"/>
          <w:szCs w:val="20"/>
          <w:color w:val="auto"/>
        </w:rPr>
      </w:pPr>
    </w:p>
    <w:p>
      <w:pPr>
        <w:jc w:val="both"/>
        <w:ind w:firstLine="6"/>
        <w:spacing w:after="0" w:line="230" w:lineRule="auto"/>
        <w:rPr>
          <w:sz w:val="20"/>
          <w:szCs w:val="20"/>
          <w:color w:val="auto"/>
        </w:rPr>
      </w:pPr>
      <w:r>
        <w:rPr>
          <w:rFonts w:ascii="Arial" w:cs="Arial" w:eastAsia="Arial" w:hAnsi="Arial"/>
          <w:sz w:val="19"/>
          <w:szCs w:val="19"/>
          <w:color w:val="auto"/>
        </w:rPr>
        <w:t>in each case, without premium, penalty, prepayment fee or breakage, and/or (ii) require such person to assign its rights and obligations to one or more Eligible Assignees at the price indicated above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(b) no such person shall receive any information or reporting provided by the Borrower, the Administrative Agent or any Lender, (c) for purposes of voting, any Loans or Commitments held by such person shall be deemed not to be outstanding, and such person shall have no voting or consent rights with respect to “Required Lender” or Class votes or consents, (d) for purposes of any matter requiring the vote or consent of each Lender affected by any amendment or waiver, such person shall be deemed to have voted or consented to approve such amendment or waiver if a majority of the affected Class (giving effect to clause (c) above) so approves, and (e) such person shall not be entitled to any expense reimbursement or indemnification rights under any Loan Documents (including Sections 10.04 and 10.05) and the Borrower expressly reserves all rights against such person under contract, tort or any other theory and shall be treated in all other respects as a Defaulting Lender; it being understood and agreed that the foregoing provisions shall only apply to a Disqualified Lender and not to any assignee of such Disqualified Lender that becomes a Lender so long as such assignee is not a Disqualified Lender or an affiliate thereof.</w:t>
      </w:r>
    </w:p>
    <w:p>
      <w:pPr>
        <w:spacing w:after="0" w:line="185" w:lineRule="exact"/>
        <w:rPr>
          <w:sz w:val="20"/>
          <w:szCs w:val="20"/>
          <w:color w:val="auto"/>
        </w:rPr>
      </w:pPr>
    </w:p>
    <w:p>
      <w:pPr>
        <w:jc w:val="both"/>
        <w:ind w:firstLine="619"/>
        <w:spacing w:after="0" w:line="214" w:lineRule="auto"/>
        <w:rPr>
          <w:sz w:val="20"/>
          <w:szCs w:val="20"/>
          <w:color w:val="auto"/>
        </w:rPr>
      </w:pPr>
      <w:r>
        <w:rPr>
          <w:rFonts w:ascii="Arial" w:cs="Arial" w:eastAsia="Arial" w:hAnsi="Arial"/>
          <w:sz w:val="21"/>
          <w:szCs w:val="21"/>
          <w:color w:val="auto"/>
        </w:rPr>
        <w:t>Neither the Administrative Agent nor any Lead Arranger shall be responsible or have any liability for, or have any duty to ascertain, inquire into, monitor or enforce, compliance with the provisions hereof relating to Disqualified Lenders. Without limiting the generality of the foregoing, neither the Administrative Agent nor any Lead Arranger shall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to any Disqualified Lender.</w:t>
      </w:r>
    </w:p>
    <w:p>
      <w:pPr>
        <w:spacing w:after="0" w:line="152" w:lineRule="exact"/>
        <w:rPr>
          <w:sz w:val="20"/>
          <w:szCs w:val="20"/>
          <w:color w:val="auto"/>
        </w:rPr>
      </w:pPr>
    </w:p>
    <w:p>
      <w:pPr>
        <w:jc w:val="both"/>
        <w:ind w:firstLine="622"/>
        <w:spacing w:after="0" w:line="223" w:lineRule="auto"/>
        <w:tabs>
          <w:tab w:leader="none" w:pos="1134" w:val="left"/>
        </w:tabs>
        <w:numPr>
          <w:ilvl w:val="0"/>
          <w:numId w:val="255"/>
        </w:numPr>
        <w:rPr>
          <w:rFonts w:ascii="Arial" w:cs="Arial" w:eastAsia="Arial" w:hAnsi="Arial"/>
          <w:sz w:val="20"/>
          <w:szCs w:val="20"/>
          <w:color w:val="auto"/>
        </w:rPr>
      </w:pPr>
      <w:r>
        <w:rPr>
          <w:rFonts w:ascii="Arial" w:cs="Arial" w:eastAsia="Arial" w:hAnsi="Arial"/>
          <w:sz w:val="20"/>
          <w:szCs w:val="20"/>
          <w:color w:val="auto"/>
        </w:rPr>
        <w:t>(i) Subject to Section 10.07(a) and the conditions set forth in paragraph (b)(ii) below, any Lender may assign to one or more assignees (“</w:t>
      </w:r>
      <w:r>
        <w:rPr>
          <w:rFonts w:ascii="Arial" w:cs="Arial" w:eastAsia="Arial" w:hAnsi="Arial"/>
          <w:sz w:val="20"/>
          <w:szCs w:val="20"/>
          <w:b w:val="1"/>
          <w:bCs w:val="1"/>
          <w:color w:val="auto"/>
        </w:rPr>
        <w:t>Assignees</w:t>
      </w:r>
      <w:r>
        <w:rPr>
          <w:rFonts w:ascii="Arial" w:cs="Arial" w:eastAsia="Arial" w:hAnsi="Arial"/>
          <w:sz w:val="20"/>
          <w:szCs w:val="20"/>
          <w:color w:val="auto"/>
        </w:rPr>
        <w:t>”) all or a portion of its rights and obligations under this Agreement (including all or a portion of its Commitment and the Loans (including for purposes of this Section 10.07(b), participations in L/C Obligations and in Swing Line Loans) at the time owing to it) with the prior written consent (such consent not to be unreasonably withheld, delayed or conditioned and it is understood and agreed that the Borrower may withhold its consent to any Person that is known to be an Affiliate of a Disqualified Lender regardless of whether such Person is reasonably identifiable as an Affiliate of such Disqualified Lender on the basis of such Affiliate’s name (other than a Bona Fide Debt Fund)) of:</w:t>
      </w:r>
    </w:p>
    <w:p>
      <w:pPr>
        <w:spacing w:after="0" w:line="154" w:lineRule="exact"/>
        <w:rPr>
          <w:rFonts w:ascii="Arial" w:cs="Arial" w:eastAsia="Arial" w:hAnsi="Arial"/>
          <w:sz w:val="20"/>
          <w:szCs w:val="20"/>
          <w:color w:val="auto"/>
        </w:rPr>
      </w:pPr>
    </w:p>
    <w:p>
      <w:pPr>
        <w:jc w:val="both"/>
        <w:ind w:left="1240" w:firstLine="620"/>
        <w:spacing w:after="0" w:line="219" w:lineRule="auto"/>
        <w:tabs>
          <w:tab w:leader="none" w:pos="2351" w:val="left"/>
        </w:tabs>
        <w:numPr>
          <w:ilvl w:val="1"/>
          <w:numId w:val="255"/>
        </w:numPr>
        <w:rPr>
          <w:rFonts w:ascii="Arial" w:cs="Arial" w:eastAsia="Arial" w:hAnsi="Arial"/>
          <w:sz w:val="21"/>
          <w:szCs w:val="21"/>
          <w:color w:val="auto"/>
        </w:rPr>
      </w:pPr>
      <w:r>
        <w:rPr>
          <w:rFonts w:ascii="Arial" w:cs="Arial" w:eastAsia="Arial" w:hAnsi="Arial"/>
          <w:sz w:val="21"/>
          <w:szCs w:val="21"/>
          <w:color w:val="auto"/>
        </w:rPr>
        <w:t>the Borrower</w:t>
      </w:r>
      <w:r>
        <w:rPr>
          <w:rFonts w:ascii="Arial" w:cs="Arial" w:eastAsia="Arial" w:hAnsi="Arial"/>
          <w:sz w:val="21"/>
          <w:szCs w:val="21"/>
          <w:i w:val="1"/>
          <w:iCs w:val="1"/>
          <w:color w:val="auto"/>
        </w:rPr>
        <w:t>; provided</w:t>
      </w:r>
      <w:r>
        <w:rPr>
          <w:rFonts w:ascii="Arial" w:cs="Arial" w:eastAsia="Arial" w:hAnsi="Arial"/>
          <w:sz w:val="21"/>
          <w:szCs w:val="21"/>
          <w:color w:val="auto"/>
        </w:rPr>
        <w:t xml:space="preserve"> that no consent of the Borrower shall be required for (i) an assignment of all or any portion of the Term Loans to a Lender, an Affiliate of a Lender or an Approved Fund, (ii) an assignment related to the Revolving Credit Commitments or Revolving Credit Exposure by a Revolving Credit Lender to an Affiliate of such Revolving Credit Lender of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233</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316" w:lineRule="exact"/>
        <w:rPr>
          <w:sz w:val="20"/>
          <w:szCs w:val="20"/>
          <w:color w:val="auto"/>
        </w:rPr>
      </w:pPr>
    </w:p>
    <w:p>
      <w:pPr>
        <w:jc w:val="both"/>
        <w:ind w:left="120" w:firstLine="6"/>
        <w:spacing w:after="0" w:line="235" w:lineRule="auto"/>
        <w:rPr>
          <w:sz w:val="20"/>
          <w:szCs w:val="20"/>
          <w:color w:val="auto"/>
        </w:rPr>
      </w:pPr>
      <w:r>
        <w:rPr>
          <w:rFonts w:ascii="Arial" w:cs="Arial" w:eastAsia="Arial" w:hAnsi="Arial"/>
          <w:sz w:val="20"/>
          <w:szCs w:val="20"/>
          <w:color w:val="auto"/>
        </w:rPr>
        <w:t>creditworthiness to such assigning Revolving Credit Lender, (iii) if an Event of Default under Section 8.01(a) or, solely with respect to the Borrower, Section 8.01(f) has occurred and is continuing or (iv) an assignment of all or a portion of the Commitments or Loans pursuant to Section 10.07(i), Section 10.07(l) or Section 10.07(m);</w:t>
      </w:r>
    </w:p>
    <w:p>
      <w:pPr>
        <w:spacing w:after="0" w:line="150" w:lineRule="exact"/>
        <w:rPr>
          <w:sz w:val="20"/>
          <w:szCs w:val="20"/>
          <w:color w:val="auto"/>
        </w:rPr>
      </w:pPr>
    </w:p>
    <w:p>
      <w:pPr>
        <w:jc w:val="both"/>
        <w:ind w:left="120" w:firstLine="620"/>
        <w:spacing w:after="0" w:line="224" w:lineRule="auto"/>
        <w:tabs>
          <w:tab w:leader="none" w:pos="1286" w:val="left"/>
        </w:tabs>
        <w:numPr>
          <w:ilvl w:val="1"/>
          <w:numId w:val="256"/>
        </w:numPr>
        <w:rPr>
          <w:rFonts w:ascii="Arial" w:cs="Arial" w:eastAsia="Arial" w:hAnsi="Arial"/>
          <w:sz w:val="21"/>
          <w:szCs w:val="21"/>
          <w:color w:val="auto"/>
        </w:rPr>
      </w:pPr>
      <w:r>
        <w:rPr>
          <w:rFonts w:ascii="Arial" w:cs="Arial" w:eastAsia="Arial" w:hAnsi="Arial"/>
          <w:sz w:val="21"/>
          <w:szCs w:val="21"/>
          <w:color w:val="auto"/>
        </w:rPr>
        <w:t xml:space="preserve">the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consent of the Administrative Agent shall be required for an assignment (i) of all or any portion of a Term Loan to a Lender, an Affiliate of a Lender or an Approved Fund or (ii) all or any portion of the Loans pursuant to Section 10.07(l) or Section 10.07(m);</w:t>
      </w:r>
    </w:p>
    <w:p>
      <w:pPr>
        <w:spacing w:after="0" w:line="148" w:lineRule="exact"/>
        <w:rPr>
          <w:rFonts w:ascii="Arial" w:cs="Arial" w:eastAsia="Arial" w:hAnsi="Arial"/>
          <w:sz w:val="21"/>
          <w:szCs w:val="21"/>
          <w:color w:val="auto"/>
        </w:rPr>
      </w:pPr>
    </w:p>
    <w:p>
      <w:pPr>
        <w:ind w:left="120" w:firstLine="620"/>
        <w:spacing w:after="0" w:line="250" w:lineRule="auto"/>
        <w:tabs>
          <w:tab w:leader="none" w:pos="1347" w:val="left"/>
        </w:tabs>
        <w:numPr>
          <w:ilvl w:val="1"/>
          <w:numId w:val="256"/>
        </w:numPr>
        <w:rPr>
          <w:rFonts w:ascii="Arial" w:cs="Arial" w:eastAsia="Arial" w:hAnsi="Arial"/>
          <w:sz w:val="20"/>
          <w:szCs w:val="20"/>
          <w:color w:val="auto"/>
        </w:rPr>
      </w:pPr>
      <w:r>
        <w:rPr>
          <w:rFonts w:ascii="Arial" w:cs="Arial" w:eastAsia="Arial" w:hAnsi="Arial"/>
          <w:sz w:val="20"/>
          <w:szCs w:val="20"/>
          <w:color w:val="auto"/>
        </w:rPr>
        <w:t xml:space="preserve">each L/C Issuer at the time of such assignment;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consent of the L/C Issuers shall be required for any assignment not related to Revolving Credit Commitments or Revolving Credit Exposure; and</w:t>
      </w:r>
    </w:p>
    <w:p>
      <w:pPr>
        <w:spacing w:after="0" w:line="139" w:lineRule="exact"/>
        <w:rPr>
          <w:rFonts w:ascii="Arial" w:cs="Arial" w:eastAsia="Arial" w:hAnsi="Arial"/>
          <w:sz w:val="20"/>
          <w:szCs w:val="20"/>
          <w:color w:val="auto"/>
        </w:rPr>
      </w:pPr>
    </w:p>
    <w:p>
      <w:pPr>
        <w:ind w:left="120" w:firstLine="620"/>
        <w:spacing w:after="0" w:line="233" w:lineRule="auto"/>
        <w:tabs>
          <w:tab w:leader="none" w:pos="1347" w:val="left"/>
        </w:tabs>
        <w:numPr>
          <w:ilvl w:val="1"/>
          <w:numId w:val="256"/>
        </w:numPr>
        <w:rPr>
          <w:rFonts w:ascii="Arial" w:cs="Arial" w:eastAsia="Arial" w:hAnsi="Arial"/>
          <w:sz w:val="21"/>
          <w:szCs w:val="21"/>
          <w:color w:val="auto"/>
        </w:rPr>
      </w:pPr>
      <w:r>
        <w:rPr>
          <w:rFonts w:ascii="Arial" w:cs="Arial" w:eastAsia="Arial" w:hAnsi="Arial"/>
          <w:sz w:val="21"/>
          <w:szCs w:val="21"/>
          <w:color w:val="auto"/>
        </w:rPr>
        <w:t xml:space="preserve">the Swing Line Lender;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consent of the Swing Line Lender shall be required for any assignment not related to Revolving Credit Commitments or Revolving Credit Exposure.</w:t>
      </w:r>
    </w:p>
    <w:p>
      <w:pPr>
        <w:spacing w:after="0" w:line="149" w:lineRule="exact"/>
        <w:rPr>
          <w:rFonts w:ascii="Arial" w:cs="Arial" w:eastAsia="Arial" w:hAnsi="Arial"/>
          <w:sz w:val="21"/>
          <w:szCs w:val="21"/>
          <w:color w:val="auto"/>
        </w:rPr>
      </w:pPr>
    </w:p>
    <w:p>
      <w:pPr>
        <w:ind w:left="560" w:hanging="439"/>
        <w:spacing w:after="0"/>
        <w:tabs>
          <w:tab w:leader="none" w:pos="56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Assignments shall be subject to the following additional conditions:</w:t>
      </w:r>
    </w:p>
    <w:p>
      <w:pPr>
        <w:spacing w:after="0" w:line="171" w:lineRule="exact"/>
        <w:rPr>
          <w:rFonts w:ascii="Arial" w:cs="Arial" w:eastAsia="Arial" w:hAnsi="Arial"/>
          <w:sz w:val="21"/>
          <w:szCs w:val="21"/>
          <w:color w:val="auto"/>
        </w:rPr>
      </w:pPr>
    </w:p>
    <w:p>
      <w:pPr>
        <w:jc w:val="both"/>
        <w:ind w:left="120" w:firstLine="620"/>
        <w:spacing w:after="0" w:line="220" w:lineRule="auto"/>
        <w:tabs>
          <w:tab w:leader="none" w:pos="1341" w:val="left"/>
        </w:tabs>
        <w:numPr>
          <w:ilvl w:val="1"/>
          <w:numId w:val="257"/>
        </w:numPr>
        <w:rPr>
          <w:rFonts w:ascii="Arial" w:cs="Arial" w:eastAsia="Arial" w:hAnsi="Arial"/>
          <w:sz w:val="20"/>
          <w:szCs w:val="20"/>
          <w:color w:val="auto"/>
        </w:rPr>
      </w:pPr>
      <w:r>
        <w:rPr>
          <w:rFonts w:ascii="Arial" w:cs="Arial" w:eastAsia="Arial" w:hAnsi="Arial"/>
          <w:sz w:val="20"/>
          <w:szCs w:val="20"/>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an amount of $5,000,000 (in the case of each Revolving Credit Loan or Revolving Credit Commitment), $1,000,000 (in the case of a Term Loan), and shall be in increments of an amount of $500,000 (in the case of each Revolving Credit Loan or Revolving Credit Commitment) or $250,000 (in the case of Term Loans) in excess thereof (provided that simultaneous assignments to or from two or more Approved Funds shall be aggregated for purposes of determining compliance with this Section 10.07(b)(ii)(A)), unless each of the Borrower and the Administrative Agent otherwise consents;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amounts shall be aggregated in respect of each Lender and its Affiliates or Approved Funds, if any;</w:t>
      </w:r>
    </w:p>
    <w:p>
      <w:pPr>
        <w:spacing w:after="0" w:line="156" w:lineRule="exact"/>
        <w:rPr>
          <w:rFonts w:ascii="Arial" w:cs="Arial" w:eastAsia="Arial" w:hAnsi="Arial"/>
          <w:sz w:val="20"/>
          <w:szCs w:val="20"/>
          <w:color w:val="auto"/>
        </w:rPr>
      </w:pPr>
    </w:p>
    <w:p>
      <w:pPr>
        <w:jc w:val="both"/>
        <w:ind w:left="120" w:firstLine="620"/>
        <w:spacing w:after="0" w:line="227" w:lineRule="auto"/>
        <w:tabs>
          <w:tab w:leader="none" w:pos="1291" w:val="left"/>
        </w:tabs>
        <w:numPr>
          <w:ilvl w:val="1"/>
          <w:numId w:val="257"/>
        </w:numPr>
        <w:rPr>
          <w:rFonts w:ascii="Arial" w:cs="Arial" w:eastAsia="Arial" w:hAnsi="Arial"/>
          <w:sz w:val="20"/>
          <w:szCs w:val="20"/>
          <w:color w:val="auto"/>
        </w:rPr>
      </w:pPr>
      <w:r>
        <w:rPr>
          <w:rFonts w:ascii="Arial" w:cs="Arial" w:eastAsia="Arial" w:hAnsi="Arial"/>
          <w:sz w:val="20"/>
          <w:szCs w:val="20"/>
          <w:color w:val="auto"/>
        </w:rPr>
        <w:t xml:space="preserve">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(which fee may be waived or reduced in the sole discretion of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only one such fee shall be payable in the event of simultaneous assignments to or from two or more Approved Funds;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234</w:t>
      </w:r>
    </w:p>
    <w:p>
      <w:pPr>
        <w:sectPr>
          <w:pgSz w:w="11900" w:h="16838" w:orient="portrait"/>
          <w:cols w:equalWidth="0" w:num="1">
            <w:col w:w="10120"/>
          </w:cols>
          <w:pgMar w:left="1440" w:top="1440" w:right="339" w:bottom="1440" w:gutter="0" w:footer="0" w:header="0"/>
        </w:sectPr>
      </w:pPr>
    </w:p>
    <w:bookmarkStart w:id="282" w:name="page283"/>
    <w:bookmarkEnd w:id="282"/>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240" w:firstLine="620"/>
        <w:spacing w:after="0" w:line="237" w:lineRule="auto"/>
        <w:tabs>
          <w:tab w:leader="none" w:pos="2344" w:val="left"/>
        </w:tabs>
        <w:numPr>
          <w:ilvl w:val="0"/>
          <w:numId w:val="258"/>
        </w:numPr>
        <w:rPr>
          <w:rFonts w:ascii="Arial" w:cs="Arial" w:eastAsia="Arial" w:hAnsi="Arial"/>
          <w:sz w:val="19"/>
          <w:szCs w:val="19"/>
          <w:color w:val="auto"/>
        </w:rPr>
      </w:pPr>
      <w:r>
        <w:rPr>
          <w:rFonts w:ascii="Arial" w:cs="Arial" w:eastAsia="Arial" w:hAnsi="Arial"/>
          <w:sz w:val="19"/>
          <w:szCs w:val="19"/>
          <w:color w:val="auto"/>
        </w:rPr>
        <w:t>other than in the case of assignments pursuant to Section 10.07(m), the Assignee, if it shall not be a Lender, shall deliver to the Administrative Agent an Administrative Questionnaire (in which the Assignee shall designate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laws, including federal and state securities laws) and all applicable tax forms required pursuant to Section 3.01(d).</w:t>
      </w:r>
    </w:p>
    <w:p>
      <w:pPr>
        <w:spacing w:after="0" w:line="149"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Each partial assignment shall be made as an assignment of a proportionate part of all the assigning Lender’s rights and obligations under this Agreement with respect to the Commitment or Loans assigned, except this paragraph (b) shall not prohibit any Lender from assigning all or a portion of its rights and obligations among separate Facilities on a non-pro rata basis among such Facilities.</w:t>
      </w:r>
    </w:p>
    <w:p>
      <w:pPr>
        <w:spacing w:after="0" w:line="150"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8" w:lineRule="exact"/>
        <w:rPr>
          <w:sz w:val="20"/>
          <w:szCs w:val="20"/>
          <w:color w:val="auto"/>
        </w:rPr>
      </w:pPr>
    </w:p>
    <w:p>
      <w:pPr>
        <w:jc w:val="both"/>
        <w:ind w:firstLine="622"/>
        <w:spacing w:after="0" w:line="233" w:lineRule="auto"/>
        <w:tabs>
          <w:tab w:leader="none" w:pos="109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Subject to acceptance and recording thereof by the Administrative Agent pursuant to Sections 10.07(d) and (e), from and after the effective date specified in each Assignment and Assumption, (1) other than in connection with an assignment pursuant to Section 10.07(m), the Eligible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10.04 and 10.05 with respect to facts and circumstances occurring prior to the effective date of such assignment). Upon request, and the surrender by the assigning Lender of its Note(s), the Borrower (at its expense) shall execute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235</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316"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color w:val="auto"/>
        </w:rPr>
        <w:t>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Section 10.07(f).</w:t>
      </w:r>
    </w:p>
    <w:p>
      <w:pPr>
        <w:spacing w:after="0" w:line="175" w:lineRule="exact"/>
        <w:rPr>
          <w:sz w:val="20"/>
          <w:szCs w:val="20"/>
          <w:color w:val="auto"/>
        </w:rPr>
      </w:pPr>
    </w:p>
    <w:p>
      <w:pPr>
        <w:jc w:val="both"/>
        <w:ind w:firstLine="622"/>
        <w:spacing w:after="0" w:line="242" w:lineRule="auto"/>
        <w:tabs>
          <w:tab w:leader="none" w:pos="108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Administrative Agent, acting solely for this purpose as an agent of the Borrower, shall maintain at the Administrative Agent’s Office a copy of each Assignment and Assumption, each Affiliated Lender Assignment and Assumption delivered to it, and each notice of cancellation of any Loans delivered by the Borrower to the Administrative Agent pursuant to Section 10.07(m) and a register for the recordation of the names and addresses of the Lenders, and the Commitments of, and principal amounts (and related interest amounts) of the Loans, L/C Obligations (specifying the Unreimbursed Amounts), L/C Borrowings and the amounts due under Section 2.03, owing to, each Lender pursuant to the 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with respect to such Lender’s own interest only, any Lender, at any reasonable time and from time to time upon reasonable prior notice. The parties hereto intend that the Loans will be at all times maintained in “</w:t>
      </w:r>
      <w:r>
        <w:rPr>
          <w:rFonts w:ascii="Arial" w:cs="Arial" w:eastAsia="Arial" w:hAnsi="Arial"/>
          <w:sz w:val="18"/>
          <w:szCs w:val="18"/>
          <w:b w:val="1"/>
          <w:bCs w:val="1"/>
          <w:color w:val="auto"/>
        </w:rPr>
        <w:t>registered form</w:t>
      </w:r>
      <w:r>
        <w:rPr>
          <w:rFonts w:ascii="Arial" w:cs="Arial" w:eastAsia="Arial" w:hAnsi="Arial"/>
          <w:sz w:val="18"/>
          <w:szCs w:val="18"/>
          <w:color w:val="auto"/>
        </w:rPr>
        <w:t>” within the meaning of Sections 163(f), 871(h)(2) and 881(c)(2) of the Code and any related Treasury regulations (or any other relevant or successor provisions of the Code or of such Treasury regulations). Notwithstanding the foregoing, in no event shall the Administrative Agent be obligated to ascertain, monitor or inquire as to whether any Lender is an Affiliated Lender nor shall the Administrative Agent be obligated to monitor the aggregate amount of Term Loans held by Affiliated Lenders. Upon request by the Administrative Agent, the Borrower shall (i) promptly (and in any case, not less than five (5) Business Days (or shorter period as agreed to by the Administrative Agent) prior to the proposed effective date of any amendment, consent or waiver pursuant to Section 10.01) provide to the Administrative Agent, a complete list of all Affiliated Lenders holding Loans and/or Commitments at such time and (ii) not less than five (5) Business Days (or shorter period as agreed to by the Administrative Agent) prior to the proposed effective date of any amendment, consent or waiver pursuant to Section 10.01, provide to the Administrative Agent, a complete list of all Debt Fund Affiliates holding Loans and/or Commitments at such time.</w:t>
      </w:r>
    </w:p>
    <w:p>
      <w:pPr>
        <w:spacing w:after="0" w:line="366" w:lineRule="exact"/>
        <w:rPr>
          <w:rFonts w:ascii="Arial" w:cs="Arial" w:eastAsia="Arial" w:hAnsi="Arial"/>
          <w:sz w:val="18"/>
          <w:szCs w:val="18"/>
          <w:color w:val="auto"/>
        </w:rPr>
      </w:pPr>
    </w:p>
    <w:p>
      <w:pPr>
        <w:jc w:val="both"/>
        <w:ind w:firstLine="622"/>
        <w:spacing w:after="0" w:line="223" w:lineRule="auto"/>
        <w:tabs>
          <w:tab w:leader="none" w:pos="1061" w:val="left"/>
        </w:tabs>
        <w:numPr>
          <w:ilvl w:val="0"/>
          <w:numId w:val="260"/>
        </w:numPr>
        <w:rPr>
          <w:rFonts w:ascii="Arial" w:cs="Arial" w:eastAsia="Arial" w:hAnsi="Arial"/>
          <w:sz w:val="20"/>
          <w:szCs w:val="20"/>
          <w:color w:val="auto"/>
        </w:rPr>
      </w:pPr>
      <w:r>
        <w:rPr>
          <w:rFonts w:ascii="Arial" w:cs="Arial" w:eastAsia="Arial" w:hAnsi="Arial"/>
          <w:sz w:val="20"/>
          <w:szCs w:val="20"/>
          <w:color w:val="auto"/>
        </w:rPr>
        <w:t>Upon its receipt of, and consent to, a duly completed Assignment and Assumption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Administrative Agent, if required, and, if required, the Borrower, the Swing Line Lender and each L/C Issuer to such assignment and any applicable tax forms required pursuant to Section 3.01(d), the Administrative Agent shall promptly (i) accept such Assignment and Assumption and (ii) record the information contained therein in the Register. No assignment shall be effective unless it has been recorded in the Register as provided in this paragraph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236</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622"/>
        <w:spacing w:after="0" w:line="242" w:lineRule="auto"/>
        <w:tabs>
          <w:tab w:leader="none" w:pos="105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Any Lender may at any time sell participations to any Person, subject to clause (x) of the first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of Section 10.07(a) (each, a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such Lender’s obligations under this Agreement shall remain unchanged, (ii) such Lender shall remain solely</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to the other parties hereto for the performance of such obligations, (iii) the Borrower, the Agents and the other Lenders shall continue to deal solely and directly with such Lender in connection with such Lender’s rights and obligations under this Agreement and</w:t>
      </w:r>
    </w:p>
    <w:p>
      <w:pPr>
        <w:spacing w:after="0" w:line="3" w:lineRule="exact"/>
        <w:rPr>
          <w:rFonts w:ascii="Arial" w:cs="Arial" w:eastAsia="Arial" w:hAnsi="Arial"/>
          <w:sz w:val="18"/>
          <w:szCs w:val="18"/>
          <w:color w:val="auto"/>
        </w:rPr>
      </w:pPr>
    </w:p>
    <w:p>
      <w:pPr>
        <w:jc w:val="both"/>
        <w:ind w:firstLine="3"/>
        <w:spacing w:after="0" w:line="228" w:lineRule="auto"/>
        <w:tabs>
          <w:tab w:leader="none" w:pos="387"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(1) each sale of a Voting Participation (as defined below) with respect to the Revolving Credit Facility or Revolving Credit Exposure shall be subject clause (y) of the first </w:t>
      </w:r>
      <w:r>
        <w:rPr>
          <w:rFonts w:ascii="Arial" w:cs="Arial" w:eastAsia="Arial" w:hAnsi="Arial"/>
          <w:sz w:val="19"/>
          <w:szCs w:val="19"/>
          <w:i w:val="1"/>
          <w:iCs w:val="1"/>
          <w:color w:val="auto"/>
        </w:rPr>
        <w:t>proviso</w:t>
      </w:r>
      <w:r>
        <w:rPr>
          <w:rFonts w:ascii="Arial" w:cs="Arial" w:eastAsia="Arial" w:hAnsi="Arial"/>
          <w:sz w:val="19"/>
          <w:szCs w:val="19"/>
          <w:color w:val="auto"/>
        </w:rPr>
        <w:t xml:space="preserve"> of Section 10.07(a) and (2) in the case of a participation with respect to the Revolving Credit Facility or Revolving Credit Exposure that is not a Voting Participation, the Lender shall have provided prior notice to the Borrower and the Sponsor of such participation.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second proviso to Section 10.01 that requires the affirmative vote of such Lender, in each case to the extent the Participant is directly and adversely affected thereby (any participation including such limitations on the Lender’s rights to agree to an amendment, waiver or other modification, a “</w:t>
      </w:r>
      <w:r>
        <w:rPr>
          <w:rFonts w:ascii="Arial" w:cs="Arial" w:eastAsia="Arial" w:hAnsi="Arial"/>
          <w:sz w:val="19"/>
          <w:szCs w:val="19"/>
          <w:b w:val="1"/>
          <w:bCs w:val="1"/>
          <w:color w:val="auto"/>
        </w:rPr>
        <w:t>Voting Participation</w:t>
      </w:r>
      <w:r>
        <w:rPr>
          <w:rFonts w:ascii="Arial" w:cs="Arial" w:eastAsia="Arial" w:hAnsi="Arial"/>
          <w:sz w:val="19"/>
          <w:szCs w:val="19"/>
          <w:color w:val="auto"/>
        </w:rPr>
        <w:t xml:space="preserve">”). Subject to Section 10.07(g), the Borrower agrees that each Participant shall be entitled to the benefits of Sections 3.01, 3.04 and 3.05 (subject to the requirements and limitations of such Sections, including Section 3.01(d)) to the same extent as if it were a Lender and had acquired its interest by assignment pursuant to Section 10.07(c) (provided that any documentation required to be delivered pursuant to Section 3.01(d) shall be delivered solely to the participating Lender). To the extent permitted by applicable Law, each Participant also shall be entitled to the benefits of Section 10.09 as though it were a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Participant shall be subject to Section 2.13 as though it were a Lender. Each Lender that sells a participation or grants a Loan to an SPC shall, acting solely for this purpose as a non-fiduciary agent of the Borrower, maintain a register on which it enters the name and address of each Participant and the principal amounts (and related interest amounts) of each Participant’s and each SPC’s interest in the Loans or other obligations under this Agreement (the “</w:t>
      </w:r>
      <w:r>
        <w:rPr>
          <w:rFonts w:ascii="Arial" w:cs="Arial" w:eastAsia="Arial" w:hAnsi="Arial"/>
          <w:sz w:val="19"/>
          <w:szCs w:val="19"/>
          <w:b w:val="1"/>
          <w:bCs w:val="1"/>
          <w:color w:val="auto"/>
        </w:rPr>
        <w:t>Participant Register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Letters of Credit or its other obligations under any Loan Document) except to the extent that (x) such disclosure is necessary in connection with an audit or other proceeding to establish that such Commitment, Loan, Letter of Credit or other obligation is in registered form under Section 5f.103-1(c) of the United States Treasury Regulations or (y) upon request of the Borrower, to confirm no Participant or SPC of Term Loans is a Disqualified Lender, a natural Person or a holding company, investment vehicle or trust for, or owned and operated for the primary benefit of a natural Person.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237</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22"/>
        <w:spacing w:after="0" w:line="216" w:lineRule="auto"/>
        <w:tabs>
          <w:tab w:leader="none" w:pos="1128" w:val="left"/>
        </w:tabs>
        <w:numPr>
          <w:ilvl w:val="0"/>
          <w:numId w:val="263"/>
        </w:numPr>
        <w:rPr>
          <w:rFonts w:ascii="Arial" w:cs="Arial" w:eastAsia="Arial" w:hAnsi="Arial"/>
          <w:sz w:val="21"/>
          <w:szCs w:val="21"/>
          <w:color w:val="auto"/>
        </w:rPr>
      </w:pPr>
      <w:r>
        <w:rPr>
          <w:rFonts w:ascii="Arial" w:cs="Arial" w:eastAsia="Arial" w:hAnsi="Arial"/>
          <w:sz w:val="21"/>
          <w:szCs w:val="21"/>
          <w:color w:val="auto"/>
        </w:rPr>
        <w:t>A Participant shall not be entitled to receive any greater payment under Sections 3.01, 3.04 or 3.05 than the applicable Lender would have been entitled to receive with respect to the participation sold to such Participant, unless the sale of the participation to such Participant is made with the Borrower’s prior written consent, not to be unreasonably withheld or delayed (for the avoidance of doubt, the Borrower shall have reasonable basis for withholding consent if any participation would result in materially increased indemnification obligations to the Borrower at such time).</w:t>
      </w:r>
    </w:p>
    <w:p>
      <w:pPr>
        <w:spacing w:after="0" w:line="150" w:lineRule="exact"/>
        <w:rPr>
          <w:rFonts w:ascii="Arial" w:cs="Arial" w:eastAsia="Arial" w:hAnsi="Arial"/>
          <w:sz w:val="21"/>
          <w:szCs w:val="21"/>
          <w:color w:val="auto"/>
        </w:rPr>
      </w:pPr>
    </w:p>
    <w:p>
      <w:pPr>
        <w:ind w:left="1060" w:hanging="438"/>
        <w:spacing w:after="0"/>
        <w:tabs>
          <w:tab w:leader="none" w:pos="1060" w:val="left"/>
        </w:tabs>
        <w:numPr>
          <w:ilvl w:val="0"/>
          <w:numId w:val="263"/>
        </w:numPr>
        <w:rPr>
          <w:rFonts w:ascii="Arial" w:cs="Arial" w:eastAsia="Arial" w:hAnsi="Arial"/>
          <w:sz w:val="21"/>
          <w:szCs w:val="21"/>
          <w:color w:val="auto"/>
        </w:rPr>
      </w:pPr>
      <w:r>
        <w:rPr>
          <w:rFonts w:ascii="Arial" w:cs="Arial" w:eastAsia="Arial" w:hAnsi="Arial"/>
          <w:sz w:val="21"/>
          <w:szCs w:val="21"/>
          <w:color w:val="auto"/>
        </w:rPr>
        <w:t>[Reserved].</w:t>
      </w:r>
    </w:p>
    <w:p>
      <w:pPr>
        <w:spacing w:after="0" w:line="165" w:lineRule="exact"/>
        <w:rPr>
          <w:rFonts w:ascii="Arial" w:cs="Arial" w:eastAsia="Arial" w:hAnsi="Arial"/>
          <w:sz w:val="21"/>
          <w:szCs w:val="21"/>
          <w:color w:val="auto"/>
        </w:rPr>
      </w:pPr>
    </w:p>
    <w:p>
      <w:pPr>
        <w:jc w:val="both"/>
        <w:ind w:firstLine="622"/>
        <w:spacing w:after="0" w:line="229" w:lineRule="auto"/>
        <w:tabs>
          <w:tab w:leader="none" w:pos="1112" w:val="left"/>
        </w:tabs>
        <w:numPr>
          <w:ilvl w:val="0"/>
          <w:numId w:val="26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any Lender (a “</w:t>
      </w:r>
      <w:r>
        <w:rPr>
          <w:rFonts w:ascii="Arial" w:cs="Arial" w:eastAsia="Arial" w:hAnsi="Arial"/>
          <w:sz w:val="19"/>
          <w:szCs w:val="19"/>
          <w:b w:val="1"/>
          <w:bCs w:val="1"/>
          <w:color w:val="auto"/>
        </w:rPr>
        <w:t>Granting Lender</w:t>
      </w:r>
      <w:r>
        <w:rPr>
          <w:rFonts w:ascii="Arial" w:cs="Arial" w:eastAsia="Arial" w:hAnsi="Arial"/>
          <w:sz w:val="19"/>
          <w:szCs w:val="19"/>
          <w:color w:val="auto"/>
        </w:rPr>
        <w:t>”) may grant to a special purpose funding vehicle identified as such in writing from time to time by the Granting Lender to the Administrative Agent and the Borrower (an “</w:t>
      </w:r>
      <w:r>
        <w:rPr>
          <w:rFonts w:ascii="Arial" w:cs="Arial" w:eastAsia="Arial" w:hAnsi="Arial"/>
          <w:sz w:val="19"/>
          <w:szCs w:val="19"/>
          <w:b w:val="1"/>
          <w:bCs w:val="1"/>
          <w:color w:val="auto"/>
        </w:rPr>
        <w:t>SPC</w:t>
      </w:r>
      <w:r>
        <w:rPr>
          <w:rFonts w:ascii="Arial" w:cs="Arial" w:eastAsia="Arial" w:hAnsi="Arial"/>
          <w:sz w:val="19"/>
          <w:szCs w:val="19"/>
          <w:color w:val="auto"/>
        </w:rPr>
        <w:t xml:space="preserve">”) the option to provide all or any part of any Loan that such Granting Lender would otherwise be obligated to make pursuant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nothing herein shall constitute a commitment by any SPC to fund any Loan, (ii) if an SPC elects not to exercise such option or otherwise fails to make all or any part of such Loan, the Granting Lender shall be obligated to make such Loan pursuant to the terms hereof and (iii) such SPC and the applicable Loan or any applicable part thereof, shall be appropriately reflected in the Participant Register. Each party hereto hereby agrees that (i) an SPC shall be entitled to the benefit of Sections 3.01, 3.04 and 3.05 (subject to the requirements and the limitations of such Section, including Section 3.01(d) (provided that any documentation required to be delivered pursuant to Section 3.01(d) shall be delivered solely to the Granting Lender)), but neither the grant to any SPC nor the exercise by any SPC of such option shall increase the costs or expenses or otherwise increase or change the obligations of the Borrower under this Agreement except in the case of Sections 3.01 or 3.04, to the extent that the grant to the SPC was made with the prior written consent of the Borrower (not to be unreasonably withheld or delayed; for the avoidance of doubt, the Borrower shall have reasonable basis for withholding consent if an exercise by SPC immediately after the grant would result in materially increased indemnification obligations to the Borrower at such time),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and with the payment of a processing fee of $3,500,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63" w:lineRule="exact"/>
        <w:rPr>
          <w:rFonts w:ascii="Arial" w:cs="Arial" w:eastAsia="Arial" w:hAnsi="Arial"/>
          <w:sz w:val="19"/>
          <w:szCs w:val="19"/>
          <w:color w:val="auto"/>
        </w:rPr>
      </w:pPr>
    </w:p>
    <w:p>
      <w:pPr>
        <w:jc w:val="both"/>
        <w:ind w:firstLine="622"/>
        <w:spacing w:after="0" w:line="251" w:lineRule="auto"/>
        <w:tabs>
          <w:tab w:leader="none" w:pos="1123" w:val="left"/>
        </w:tabs>
        <w:numPr>
          <w:ilvl w:val="0"/>
          <w:numId w:val="26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without the consent of the Borrower or the Administrative Agent, any Lender may in accordance with applicable Law create a security interest in all or any portion of the Loans owing to it and the Note, if any, held by it (and in the case of any Fund, such security interest may be created in favor of the trustee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238</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316" w:lineRule="exact"/>
        <w:rPr>
          <w:sz w:val="20"/>
          <w:szCs w:val="20"/>
          <w:color w:val="auto"/>
        </w:rPr>
      </w:pPr>
    </w:p>
    <w:p>
      <w:pPr>
        <w:jc w:val="both"/>
        <w:ind w:firstLine="6"/>
        <w:spacing w:after="0" w:line="225" w:lineRule="auto"/>
        <w:rPr>
          <w:sz w:val="20"/>
          <w:szCs w:val="20"/>
          <w:color w:val="auto"/>
        </w:rPr>
      </w:pPr>
      <w:r>
        <w:rPr>
          <w:rFonts w:ascii="Arial" w:cs="Arial" w:eastAsia="Arial" w:hAnsi="Arial"/>
          <w:sz w:val="20"/>
          <w:szCs w:val="20"/>
          <w:color w:val="auto"/>
        </w:rPr>
        <w:t xml:space="preserve">holders of obligations owed or securities issued, by such Fund as security for such obligations or securities), including any pledge or assignment to secure obligations to a Federal Reserve Bank or any central bank having jurisdiction over such Lender;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unless and until such pledgee actually becomes a Lender in compliance with the other provisions of this Section 10.07, (i) no such pledge shall release the pledging Lender from any of its obligations under the Loan Documents and (ii) such pledgee shall not be entitled to exercise any of the rights of a Lender under the Loan Documents even though such pledgee may have acquired ownership rights with respect to the pledged interest through foreclosure or otherwise.</w:t>
      </w:r>
    </w:p>
    <w:p>
      <w:pPr>
        <w:spacing w:after="0" w:line="150" w:lineRule="exact"/>
        <w:rPr>
          <w:sz w:val="20"/>
          <w:szCs w:val="20"/>
          <w:color w:val="auto"/>
        </w:rPr>
      </w:pPr>
    </w:p>
    <w:p>
      <w:pPr>
        <w:jc w:val="both"/>
        <w:ind w:firstLine="622"/>
        <w:spacing w:after="0" w:line="230" w:lineRule="auto"/>
        <w:tabs>
          <w:tab w:leader="none" w:pos="1134"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any L/C Issuer or Swing Line Lender may, upon thirty (30) days’ notice to the Borrower and the Lenders, resign as an L/C Issuer or Swing Line Lender, respectively;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 or prior to the expiration of such 30-day period with respect to such resignation, the relevant L/C Issuer or Swing Line Lender shall have identified a successor L/C Issuer or Swing Line Lender reasonably acceptable to the Borrower willing to accept its appointment as successor L/C Issuer or Swing Line Lender, as applicable, unless, at the option of the Borrower, the Borrower shall have appointed one or more L/C Issuers or Swing Line Lenders from among the Lenders willing to accept such appointment as a successor L/C Issuer or Swing Line Lender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failure by the Borrower to appoint any such successor shall affect the resignation of the relevant L/C Issuer or the Swing Line Lender, as the case may be, except as expressly provided above.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Section 2.03(c)).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Term SOFR Loans, Eurocurrency Rate Loans or fund risk participations in outstanding Swing Line Loans pursuant to Section 2.04(c).</w:t>
      </w:r>
    </w:p>
    <w:p>
      <w:pPr>
        <w:spacing w:after="0" w:line="159" w:lineRule="exact"/>
        <w:rPr>
          <w:rFonts w:ascii="Arial" w:cs="Arial" w:eastAsia="Arial" w:hAnsi="Arial"/>
          <w:sz w:val="19"/>
          <w:szCs w:val="19"/>
          <w:color w:val="auto"/>
        </w:rPr>
      </w:pPr>
    </w:p>
    <w:p>
      <w:pPr>
        <w:jc w:val="both"/>
        <w:ind w:firstLine="622"/>
        <w:spacing w:after="0" w:line="239" w:lineRule="auto"/>
        <w:tabs>
          <w:tab w:leader="none" w:pos="1041" w:val="left"/>
        </w:tabs>
        <w:numPr>
          <w:ilvl w:val="0"/>
          <w:numId w:val="264"/>
        </w:numPr>
        <w:rPr>
          <w:rFonts w:ascii="Arial" w:cs="Arial" w:eastAsia="Arial" w:hAnsi="Arial"/>
          <w:sz w:val="19"/>
          <w:szCs w:val="19"/>
          <w:color w:val="auto"/>
        </w:rPr>
      </w:pPr>
      <w:r>
        <w:rPr>
          <w:rFonts w:ascii="Arial" w:cs="Arial" w:eastAsia="Arial" w:hAnsi="Arial"/>
          <w:sz w:val="19"/>
          <w:szCs w:val="19"/>
          <w:color w:val="auto"/>
        </w:rPr>
        <w:t>(1) Any Lender may, at any time, assign all or a portion of its rights and obligations with respect to Term Loans under this Agreement to a Person who is or will become, after such assignment, an Affiliated Lender through (x) “Dutch Auctions” open to all Lenders of the applicable Class on a pro rata basis in accordance with analogous procedures of the type described in Section 2.05(a)(v) or (y) open-market purchases on a pro rata or non-pro rata basis and (2) any Affiliated Lender may, at any time, purchase all or a portion of the rights and obligations of a Defaulting Lender, in each case subject to the following limitations:</w:t>
      </w:r>
    </w:p>
    <w:p>
      <w:pPr>
        <w:spacing w:after="0" w:line="149" w:lineRule="exact"/>
        <w:rPr>
          <w:rFonts w:ascii="Arial" w:cs="Arial" w:eastAsia="Arial" w:hAnsi="Arial"/>
          <w:sz w:val="19"/>
          <w:szCs w:val="19"/>
          <w:color w:val="auto"/>
        </w:rPr>
      </w:pPr>
    </w:p>
    <w:p>
      <w:pPr>
        <w:jc w:val="both"/>
        <w:ind w:left="620" w:firstLine="621"/>
        <w:spacing w:after="0" w:line="224" w:lineRule="auto"/>
        <w:tabs>
          <w:tab w:leader="none" w:pos="1660" w:val="left"/>
        </w:tabs>
        <w:numPr>
          <w:ilvl w:val="1"/>
          <w:numId w:val="264"/>
        </w:numPr>
        <w:rPr>
          <w:rFonts w:ascii="Arial" w:cs="Arial" w:eastAsia="Arial" w:hAnsi="Arial"/>
          <w:sz w:val="21"/>
          <w:szCs w:val="21"/>
          <w:color w:val="auto"/>
        </w:rPr>
      </w:pPr>
      <w:r>
        <w:rPr>
          <w:rFonts w:ascii="Arial" w:cs="Arial" w:eastAsia="Arial" w:hAnsi="Arial"/>
          <w:sz w:val="21"/>
          <w:szCs w:val="21"/>
          <w:color w:val="auto"/>
        </w:rPr>
        <w:t>the assigning Lender and the Affiliated Lender purchasing such Lender’s Loans and/or Commitments shall execute and deliver to the Administrative Agent an assignment agreement substantially in the form of Exhibit L-1 hereto (an “</w:t>
      </w:r>
      <w:r>
        <w:rPr>
          <w:rFonts w:ascii="Arial" w:cs="Arial" w:eastAsia="Arial" w:hAnsi="Arial"/>
          <w:sz w:val="21"/>
          <w:szCs w:val="21"/>
          <w:b w:val="1"/>
          <w:bCs w:val="1"/>
          <w:color w:val="auto"/>
        </w:rPr>
        <w:t>Affiliated</w:t>
      </w:r>
      <w:r>
        <w:rPr>
          <w:rFonts w:ascii="Arial" w:cs="Arial" w:eastAsia="Arial" w:hAnsi="Arial"/>
          <w:sz w:val="21"/>
          <w:szCs w:val="21"/>
          <w:color w:val="auto"/>
        </w:rPr>
        <w:t xml:space="preserve"> </w:t>
      </w:r>
      <w:r>
        <w:rPr>
          <w:rFonts w:ascii="Arial" w:cs="Arial" w:eastAsia="Arial" w:hAnsi="Arial"/>
          <w:sz w:val="21"/>
          <w:szCs w:val="21"/>
          <w:b w:val="1"/>
          <w:bCs w:val="1"/>
          <w:color w:val="auto"/>
        </w:rPr>
        <w:t>Lender Assignment and Assumption</w:t>
      </w:r>
      <w:r>
        <w:rPr>
          <w:rFonts w:ascii="Arial" w:cs="Arial" w:eastAsia="Arial" w:hAnsi="Arial"/>
          <w:sz w:val="21"/>
          <w:szCs w:val="21"/>
          <w:color w:val="auto"/>
        </w:rPr>
        <w:t>”);</w:t>
      </w:r>
    </w:p>
    <w:p>
      <w:pPr>
        <w:spacing w:after="0" w:line="148" w:lineRule="exact"/>
        <w:rPr>
          <w:rFonts w:ascii="Arial" w:cs="Arial" w:eastAsia="Arial" w:hAnsi="Arial"/>
          <w:sz w:val="21"/>
          <w:szCs w:val="21"/>
          <w:color w:val="auto"/>
        </w:rPr>
      </w:pPr>
    </w:p>
    <w:p>
      <w:pPr>
        <w:ind w:left="620" w:firstLine="621"/>
        <w:spacing w:after="0" w:line="233" w:lineRule="auto"/>
        <w:tabs>
          <w:tab w:leader="none" w:pos="1778" w:val="left"/>
        </w:tabs>
        <w:numPr>
          <w:ilvl w:val="1"/>
          <w:numId w:val="264"/>
        </w:numPr>
        <w:rPr>
          <w:rFonts w:ascii="Arial" w:cs="Arial" w:eastAsia="Arial" w:hAnsi="Arial"/>
          <w:sz w:val="21"/>
          <w:szCs w:val="21"/>
          <w:color w:val="auto"/>
        </w:rPr>
      </w:pPr>
      <w:r>
        <w:rPr>
          <w:rFonts w:ascii="Arial" w:cs="Arial" w:eastAsia="Arial" w:hAnsi="Arial"/>
          <w:sz w:val="21"/>
          <w:szCs w:val="21"/>
          <w:color w:val="auto"/>
        </w:rPr>
        <w:t>Affiliated Lenders will not receive information provided solely to Lenders by the Administrative Agent or any Lender and will not be permitted to attend or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239</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316" w:lineRule="exact"/>
        <w:rPr>
          <w:sz w:val="20"/>
          <w:szCs w:val="20"/>
          <w:color w:val="auto"/>
        </w:rPr>
      </w:pPr>
    </w:p>
    <w:p>
      <w:pPr>
        <w:jc w:val="both"/>
        <w:ind w:left="620" w:firstLine="6"/>
        <w:spacing w:after="0" w:line="224" w:lineRule="auto"/>
        <w:rPr>
          <w:sz w:val="20"/>
          <w:szCs w:val="20"/>
          <w:color w:val="auto"/>
        </w:rPr>
      </w:pPr>
      <w:r>
        <w:rPr>
          <w:rFonts w:ascii="Arial" w:cs="Arial" w:eastAsia="Arial" w:hAnsi="Arial"/>
          <w:sz w:val="21"/>
          <w:szCs w:val="21"/>
          <w:color w:val="auto"/>
        </w:rPr>
        <w:t>in conference calls or meetings attended solely by the Lenders and the Administrative Agent, other than the right to receive notices of prepayments and other administrative notices in respect of its Loans or Commitments required to be delivered to Lenders pursuant to Article 2;</w:t>
      </w:r>
    </w:p>
    <w:p>
      <w:pPr>
        <w:spacing w:after="0" w:line="175" w:lineRule="exact"/>
        <w:rPr>
          <w:sz w:val="20"/>
          <w:szCs w:val="20"/>
          <w:color w:val="auto"/>
        </w:rPr>
      </w:pPr>
    </w:p>
    <w:p>
      <w:pPr>
        <w:jc w:val="both"/>
        <w:ind w:left="620" w:firstLine="621"/>
        <w:spacing w:after="0" w:line="216" w:lineRule="auto"/>
        <w:tabs>
          <w:tab w:leader="none" w:pos="1768" w:val="left"/>
        </w:tabs>
        <w:numPr>
          <w:ilvl w:val="0"/>
          <w:numId w:val="265"/>
        </w:numPr>
        <w:rPr>
          <w:rFonts w:ascii="Arial" w:cs="Arial" w:eastAsia="Arial" w:hAnsi="Arial"/>
          <w:sz w:val="21"/>
          <w:szCs w:val="21"/>
          <w:color w:val="auto"/>
        </w:rPr>
      </w:pPr>
      <w:r>
        <w:rPr>
          <w:rFonts w:ascii="Arial" w:cs="Arial" w:eastAsia="Arial" w:hAnsi="Arial"/>
          <w:sz w:val="21"/>
          <w:szCs w:val="21"/>
          <w:color w:val="auto"/>
        </w:rPr>
        <w:t>the aggregate principal amount of Term Loans held at any one time by Affiliated Lenders shall not exceed 25% of the principal amount of any Class of Term Loans at such time outstanding (measured at the time of purchase) (such percentage, the “</w:t>
      </w:r>
      <w:r>
        <w:rPr>
          <w:rFonts w:ascii="Arial" w:cs="Arial" w:eastAsia="Arial" w:hAnsi="Arial"/>
          <w:sz w:val="21"/>
          <w:szCs w:val="21"/>
          <w:b w:val="1"/>
          <w:bCs w:val="1"/>
          <w:color w:val="auto"/>
        </w:rPr>
        <w:t>Affiliated Lender Cap</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the extent any assignment to an Affiliated Lender would result in the aggregate principal amount of such Class of Term Loans held by Affiliated Lenders exceeding the Affiliated Lender Cap, the assignment of such excess amount will be </w:t>
      </w:r>
      <w:r>
        <w:rPr>
          <w:rFonts w:ascii="Arial" w:cs="Arial" w:eastAsia="Arial" w:hAnsi="Arial"/>
          <w:sz w:val="21"/>
          <w:szCs w:val="21"/>
          <w:i w:val="1"/>
          <w:iCs w:val="1"/>
          <w:color w:val="auto"/>
        </w:rPr>
        <w:t>void ab initio</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jc w:val="both"/>
        <w:ind w:left="620" w:firstLine="621"/>
        <w:spacing w:after="0" w:line="219" w:lineRule="auto"/>
        <w:tabs>
          <w:tab w:leader="none" w:pos="1884" w:val="left"/>
        </w:tabs>
        <w:numPr>
          <w:ilvl w:val="0"/>
          <w:numId w:val="265"/>
        </w:numPr>
        <w:rPr>
          <w:rFonts w:ascii="Arial" w:cs="Arial" w:eastAsia="Arial" w:hAnsi="Arial"/>
          <w:sz w:val="21"/>
          <w:szCs w:val="21"/>
          <w:color w:val="auto"/>
        </w:rPr>
      </w:pPr>
      <w:r>
        <w:rPr>
          <w:rFonts w:ascii="Arial" w:cs="Arial" w:eastAsia="Arial" w:hAnsi="Arial"/>
          <w:sz w:val="21"/>
          <w:szCs w:val="21"/>
          <w:color w:val="auto"/>
        </w:rPr>
        <w:t>with respect to Section 10.07(l)(2), any non-Defaulting Lender of the same Class willing to repurchase any Loans/Commitments of the Defaulting Lenders from the Affiliated Lenders shall have the right to make such repurchase at par plus accrued and unpaid interest or at a lower price agreed to by such Defaulting Lender on a pro rata basis based on their share of the applicable Facility; and</w:t>
      </w:r>
    </w:p>
    <w:p>
      <w:pPr>
        <w:spacing w:after="0" w:line="149" w:lineRule="exact"/>
        <w:rPr>
          <w:rFonts w:ascii="Arial" w:cs="Arial" w:eastAsia="Arial" w:hAnsi="Arial"/>
          <w:sz w:val="21"/>
          <w:szCs w:val="21"/>
          <w:color w:val="auto"/>
        </w:rPr>
      </w:pPr>
    </w:p>
    <w:p>
      <w:pPr>
        <w:jc w:val="both"/>
        <w:ind w:left="620" w:firstLine="621"/>
        <w:spacing w:after="0" w:line="216" w:lineRule="auto"/>
        <w:tabs>
          <w:tab w:leader="none" w:pos="1702" w:val="left"/>
        </w:tabs>
        <w:numPr>
          <w:ilvl w:val="0"/>
          <w:numId w:val="265"/>
        </w:numPr>
        <w:rPr>
          <w:rFonts w:ascii="Arial" w:cs="Arial" w:eastAsia="Arial" w:hAnsi="Arial"/>
          <w:sz w:val="21"/>
          <w:szCs w:val="21"/>
          <w:color w:val="auto"/>
        </w:rPr>
      </w:pPr>
      <w:r>
        <w:rPr>
          <w:rFonts w:ascii="Arial" w:cs="Arial" w:eastAsia="Arial" w:hAnsi="Arial"/>
          <w:sz w:val="21"/>
          <w:szCs w:val="21"/>
          <w:color w:val="auto"/>
        </w:rPr>
        <w:t>as a condition to each assignment pursuant to this clause (l), the Administrative Agent shall have been provided an Affiliated Lender Notice to this Agreement in connection with each assignment to an Affiliated Lender or a Person that upon effectiveness of such assignment would constitute an Affiliated Lender pursuant to which such Affiliated Lender shall waive any right to bring any action in connection with such Loans and/or Commitments against the Administrative Agent, in its capacity as such.</w:t>
      </w:r>
    </w:p>
    <w:p>
      <w:pPr>
        <w:spacing w:after="0" w:line="151"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Each Affiliated Lender agrees to notify the Administrative Agent promptly (and in any event within ten (10) Business Days) if it acquires any Person who is also a Lender, and each Lender agrees to notify the Administrative Agent promptly (and in any event within ten (10) Business Days) if it becomes an Affiliated Lender. Such notice shall contain the type of information required and be delivered to the same addressee as set forth in Exhibit L-2.</w:t>
      </w:r>
    </w:p>
    <w:p>
      <w:pPr>
        <w:spacing w:after="0" w:line="150" w:lineRule="exact"/>
        <w:rPr>
          <w:sz w:val="20"/>
          <w:szCs w:val="20"/>
          <w:color w:val="auto"/>
        </w:rPr>
      </w:pPr>
    </w:p>
    <w:p>
      <w:pPr>
        <w:jc w:val="both"/>
        <w:ind w:firstLine="622"/>
        <w:spacing w:after="0" w:line="237" w:lineRule="auto"/>
        <w:tabs>
          <w:tab w:leader="none" w:pos="1131"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Any Lender may, so long as no Default has occurred and is continuing and, only to the extent purchased at a discount, no proceeds of Revolving Credit Loans are applied to fund the consideration for any such assignment, at any time, assign all or a portion of its rights and obligations with respect to Term Loans under this Agreement to Holdings, the Borrower or any of its Subsidiaries through (x) “Dutch Auctions” open to all Lenders on a pro rata basis in accordance with procedures of the type described in Section 2.05(a)(v) or (y) notwithstanding Sections 2.12 and 2.13 or any other provision in this Agreement, open-market purchase on a pro rata or non-pro rata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connection with assignments pursuant to clauses (x) and (y) above:</w:t>
      </w:r>
    </w:p>
    <w:p>
      <w:pPr>
        <w:spacing w:after="0" w:line="149" w:lineRule="exact"/>
        <w:rPr>
          <w:rFonts w:ascii="Arial" w:cs="Arial" w:eastAsia="Arial" w:hAnsi="Arial"/>
          <w:sz w:val="19"/>
          <w:szCs w:val="19"/>
          <w:color w:val="auto"/>
        </w:rPr>
      </w:pPr>
    </w:p>
    <w:p>
      <w:pPr>
        <w:jc w:val="both"/>
        <w:ind w:left="620" w:firstLine="621"/>
        <w:spacing w:after="0" w:line="224" w:lineRule="auto"/>
        <w:tabs>
          <w:tab w:leader="none" w:pos="1751" w:val="left"/>
        </w:tabs>
        <w:numPr>
          <w:ilvl w:val="1"/>
          <w:numId w:val="266"/>
        </w:numPr>
        <w:rPr>
          <w:rFonts w:ascii="Arial" w:cs="Arial" w:eastAsia="Arial" w:hAnsi="Arial"/>
          <w:sz w:val="21"/>
          <w:szCs w:val="21"/>
          <w:color w:val="auto"/>
        </w:rPr>
      </w:pPr>
      <w:r>
        <w:rPr>
          <w:rFonts w:ascii="Arial" w:cs="Arial" w:eastAsia="Arial" w:hAnsi="Arial"/>
          <w:sz w:val="21"/>
          <w:szCs w:val="21"/>
          <w:color w:val="auto"/>
        </w:rPr>
        <w:t>if Holdings or any Subsidiary of the Borrower is the assignee, upon such assignment, transfer or contribution, Holdings or such Subsidiary shall automatically be deemed to have contributed the principal amount of such Term Loans, plus all accrued and unpaid interest thereon, to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240</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620" w:firstLine="621"/>
        <w:spacing w:after="0" w:line="235" w:lineRule="auto"/>
        <w:tabs>
          <w:tab w:leader="none" w:pos="1756" w:val="left"/>
        </w:tabs>
        <w:numPr>
          <w:ilvl w:val="1"/>
          <w:numId w:val="267"/>
        </w:numPr>
        <w:rPr>
          <w:rFonts w:ascii="Arial" w:cs="Arial" w:eastAsia="Arial" w:hAnsi="Arial"/>
          <w:sz w:val="19"/>
          <w:szCs w:val="19"/>
          <w:color w:val="auto"/>
        </w:rPr>
      </w:pPr>
      <w:r>
        <w:rPr>
          <w:rFonts w:ascii="Arial" w:cs="Arial" w:eastAsia="Arial" w:hAnsi="Arial"/>
          <w:sz w:val="19"/>
          <w:szCs w:val="19"/>
          <w:color w:val="auto"/>
        </w:rPr>
        <w:t>if the assignee is the Borrower (including through contribution or transfers set forth in clause (i) above), (A) the principal amount of such Term Loans, along with all accrued and unpaid interest thereon, so contributed, assigned or transferred to the Borrower shall be deemed automatically cancelled and extinguished on the date of such contribution, assignment or transfer, (B) the aggregate outstanding principal amount of Term Loans of the remaining Lenders shall reflect such cancellation and extinguishing of the Term Loans then held by the Borrower and (C) the Borrower shall promptly provide notice to the Administrative Agent of such contribution, assignment or transfer of such Term Loans, and the Administrative Agent, upon receipt of such notice, shall reflect the cancellation of the applicable Term Loans in the Register.</w:t>
      </w:r>
    </w:p>
    <w:p>
      <w:pPr>
        <w:spacing w:after="0" w:line="146" w:lineRule="exact"/>
        <w:rPr>
          <w:rFonts w:ascii="Arial" w:cs="Arial" w:eastAsia="Arial" w:hAnsi="Arial"/>
          <w:sz w:val="19"/>
          <w:szCs w:val="19"/>
          <w:color w:val="auto"/>
        </w:rPr>
      </w:pPr>
    </w:p>
    <w:p>
      <w:pPr>
        <w:jc w:val="both"/>
        <w:ind w:firstLine="622"/>
        <w:spacing w:after="0" w:line="248" w:lineRule="auto"/>
        <w:tabs>
          <w:tab w:leader="none" w:pos="118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Notwithstanding anything in Section 10.01 or the definition of “</w:t>
      </w:r>
      <w:r>
        <w:rPr>
          <w:rFonts w:ascii="Arial" w:cs="Arial" w:eastAsia="Arial" w:hAnsi="Arial"/>
          <w:sz w:val="18"/>
          <w:szCs w:val="18"/>
          <w:b w:val="1"/>
          <w:bCs w:val="1"/>
          <w:color w:val="auto"/>
        </w:rPr>
        <w:t>Required Lenders,</w:t>
      </w:r>
      <w:r>
        <w:rPr>
          <w:rFonts w:ascii="Arial" w:cs="Arial" w:eastAsia="Arial" w:hAnsi="Arial"/>
          <w:sz w:val="18"/>
          <w:szCs w:val="18"/>
          <w:color w:val="auto"/>
        </w:rPr>
        <w:t>” “</w:t>
      </w:r>
      <w:r>
        <w:rPr>
          <w:rFonts w:ascii="Arial" w:cs="Arial" w:eastAsia="Arial" w:hAnsi="Arial"/>
          <w:sz w:val="18"/>
          <w:szCs w:val="18"/>
          <w:b w:val="1"/>
          <w:bCs w:val="1"/>
          <w:color w:val="auto"/>
        </w:rPr>
        <w:t>Required Class Lenders,</w:t>
      </w:r>
      <w:r>
        <w:rPr>
          <w:rFonts w:ascii="Arial" w:cs="Arial" w:eastAsia="Arial" w:hAnsi="Arial"/>
          <w:sz w:val="18"/>
          <w:szCs w:val="18"/>
          <w:color w:val="auto"/>
        </w:rPr>
        <w:t>” or “</w:t>
      </w:r>
      <w:r>
        <w:rPr>
          <w:rFonts w:ascii="Arial" w:cs="Arial" w:eastAsia="Arial" w:hAnsi="Arial"/>
          <w:sz w:val="18"/>
          <w:szCs w:val="18"/>
          <w:b w:val="1"/>
          <w:bCs w:val="1"/>
          <w:color w:val="auto"/>
        </w:rPr>
        <w:t>Required Facility Lenders</w:t>
      </w:r>
      <w:r>
        <w:rPr>
          <w:rFonts w:ascii="Arial" w:cs="Arial" w:eastAsia="Arial" w:hAnsi="Arial"/>
          <w:sz w:val="18"/>
          <w:szCs w:val="18"/>
          <w:color w:val="auto"/>
        </w:rPr>
        <w:t>” to the contrary, for purposes of determining whether the Required Lenders, the Required Class Lenders or the Required Facility Lenders have (i) consented (or not consented) to any amendment, modification, waiver, consent or other action with respect to any of the terms of any Loan Document or any departure by any Loan Party therefrom, unless the action in question affects any Affiliated Lender in a disproportionately adverse manner than its effect on the other Lenders, or subject to Section 10.07(o), any plan of reorganization pursuant to the Bankruptcy Code of the United States, (ii) otherwise acted on any matter related to any Loan Document, or (iii) directed or required the Administrative Agent or any Lender to undertake any action (or refrain from taking any action) with respect to or under any Loan Document, no Affiliated Lender shall have any right to consent (or not consent), otherwise act or direct or require the Administrative Agent or any Lender to take (or refrain from taking) any such action and:</w:t>
      </w:r>
    </w:p>
    <w:p>
      <w:pPr>
        <w:spacing w:after="0" w:line="143" w:lineRule="exact"/>
        <w:rPr>
          <w:rFonts w:ascii="Arial" w:cs="Arial" w:eastAsia="Arial" w:hAnsi="Arial"/>
          <w:sz w:val="18"/>
          <w:szCs w:val="18"/>
          <w:color w:val="auto"/>
        </w:rPr>
      </w:pPr>
    </w:p>
    <w:p>
      <w:pPr>
        <w:jc w:val="both"/>
        <w:ind w:left="1240" w:firstLine="620"/>
        <w:spacing w:after="0" w:line="224" w:lineRule="auto"/>
        <w:tabs>
          <w:tab w:leader="none" w:pos="2425" w:val="left"/>
        </w:tabs>
        <w:numPr>
          <w:ilvl w:val="2"/>
          <w:numId w:val="268"/>
        </w:numPr>
        <w:rPr>
          <w:rFonts w:ascii="Arial" w:cs="Arial" w:eastAsia="Arial" w:hAnsi="Arial"/>
          <w:sz w:val="21"/>
          <w:szCs w:val="21"/>
          <w:color w:val="auto"/>
        </w:rPr>
      </w:pPr>
      <w:r>
        <w:rPr>
          <w:rFonts w:ascii="Arial" w:cs="Arial" w:eastAsia="Arial" w:hAnsi="Arial"/>
          <w:sz w:val="21"/>
          <w:szCs w:val="21"/>
          <w:color w:val="auto"/>
        </w:rPr>
        <w:t>all Commitments or Loans held by any Affiliated Lenders shall be deemed to be not outstanding for all purposes of calculating whether the Required Lenders, the Required Class Lenders or the Required Facility Lenders have taken any actions; and</w:t>
      </w:r>
    </w:p>
    <w:p>
      <w:pPr>
        <w:spacing w:after="0" w:line="148" w:lineRule="exact"/>
        <w:rPr>
          <w:rFonts w:ascii="Arial" w:cs="Arial" w:eastAsia="Arial" w:hAnsi="Arial"/>
          <w:sz w:val="21"/>
          <w:szCs w:val="21"/>
          <w:color w:val="auto"/>
        </w:rPr>
      </w:pPr>
    </w:p>
    <w:p>
      <w:pPr>
        <w:jc w:val="both"/>
        <w:ind w:left="1240" w:firstLine="620"/>
        <w:spacing w:after="0" w:line="235" w:lineRule="auto"/>
        <w:tabs>
          <w:tab w:leader="none" w:pos="2490" w:val="left"/>
        </w:tabs>
        <w:numPr>
          <w:ilvl w:val="2"/>
          <w:numId w:val="268"/>
        </w:numPr>
        <w:rPr>
          <w:rFonts w:ascii="Arial" w:cs="Arial" w:eastAsia="Arial" w:hAnsi="Arial"/>
          <w:sz w:val="20"/>
          <w:szCs w:val="20"/>
          <w:color w:val="auto"/>
        </w:rPr>
      </w:pPr>
      <w:r>
        <w:rPr>
          <w:rFonts w:ascii="Arial" w:cs="Arial" w:eastAsia="Arial" w:hAnsi="Arial"/>
          <w:sz w:val="20"/>
          <w:szCs w:val="20"/>
          <w:color w:val="auto"/>
        </w:rPr>
        <w:t>all Commitments or Loans held by Affiliated Lenders shall be deemed to be not outstanding for all purposes of calculating whether all Lenders or all affected Lenders have taken any action unless the action in question affects such Affiliated Lender in a disproportionately adverse manner than its effect on other Lenders.</w:t>
      </w:r>
    </w:p>
    <w:p>
      <w:pPr>
        <w:spacing w:after="0" w:line="149" w:lineRule="exact"/>
        <w:rPr>
          <w:rFonts w:ascii="Arial" w:cs="Arial" w:eastAsia="Arial" w:hAnsi="Arial"/>
          <w:sz w:val="20"/>
          <w:szCs w:val="20"/>
          <w:color w:val="auto"/>
        </w:rPr>
      </w:pPr>
    </w:p>
    <w:p>
      <w:pPr>
        <w:jc w:val="both"/>
        <w:ind w:firstLine="622"/>
        <w:spacing w:after="0" w:line="223" w:lineRule="auto"/>
        <w:tabs>
          <w:tab w:leader="none" w:pos="1107"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Agreement or the other Loan Documents to the contrary, each Affiliated Lender hereby agrees that and each Affiliated Lender Assignment and Assumption shall provide a confirmation that, if a proceeding under any Debtor Relief Law shall be commenced by or against the Borrower or any other Loan Party at a time when such Lender is an Affiliated Lender, such Affiliated Lender irrevocably authorizes and empowers the Administrative Agent to vote on behalf of such Affiliated Lender with respect to the Loans held by such Affiliated Lender in any manner in the Administrative Agent’s sole discretion, unless the Administrative Agent instructs such Affiliated Lender to vote, in which case such Affiliated Lender shall vote with respect to the Loans held by it as the Administrative Agent directs; </w:t>
      </w:r>
      <w:r>
        <w:rPr>
          <w:rFonts w:ascii="Arial" w:cs="Arial" w:eastAsia="Arial" w:hAnsi="Arial"/>
          <w:sz w:val="20"/>
          <w:szCs w:val="20"/>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241</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316" w:lineRule="exact"/>
        <w:rPr>
          <w:sz w:val="20"/>
          <w:szCs w:val="20"/>
          <w:color w:val="auto"/>
        </w:rPr>
      </w:pPr>
    </w:p>
    <w:p>
      <w:pPr>
        <w:jc w:val="both"/>
        <w:ind w:firstLine="6"/>
        <w:spacing w:after="0" w:line="219" w:lineRule="auto"/>
        <w:rPr>
          <w:sz w:val="20"/>
          <w:szCs w:val="20"/>
          <w:color w:val="auto"/>
        </w:rPr>
      </w:pPr>
      <w:r>
        <w:rPr>
          <w:rFonts w:ascii="Arial" w:cs="Arial" w:eastAsia="Arial" w:hAnsi="Arial"/>
          <w:sz w:val="21"/>
          <w:szCs w:val="21"/>
          <w:color w:val="auto"/>
        </w:rPr>
        <w:t>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disproportionately adverse manner to such Affiliated Lender than the proposed treatment of similar Obligations held by Lenders that are not Affiliated Lenders.</w:t>
      </w:r>
    </w:p>
    <w:p>
      <w:pPr>
        <w:spacing w:after="0" w:line="170" w:lineRule="exact"/>
        <w:rPr>
          <w:sz w:val="20"/>
          <w:szCs w:val="20"/>
          <w:color w:val="auto"/>
        </w:rPr>
      </w:pPr>
    </w:p>
    <w:p>
      <w:pPr>
        <w:jc w:val="both"/>
        <w:ind w:firstLine="622"/>
        <w:spacing w:after="0" w:line="235" w:lineRule="auto"/>
        <w:tabs>
          <w:tab w:leader="none" w:pos="1185" w:val="left"/>
        </w:tabs>
        <w:numPr>
          <w:ilvl w:val="0"/>
          <w:numId w:val="269"/>
        </w:numPr>
        <w:rPr>
          <w:rFonts w:ascii="Arial" w:cs="Arial" w:eastAsia="Arial" w:hAnsi="Arial"/>
          <w:sz w:val="19"/>
          <w:szCs w:val="19"/>
          <w:color w:val="auto"/>
        </w:rPr>
      </w:pPr>
      <w:r>
        <w:rPr>
          <w:rFonts w:ascii="Arial" w:cs="Arial" w:eastAsia="Arial" w:hAnsi="Arial"/>
          <w:sz w:val="19"/>
          <w:szCs w:val="19"/>
          <w:color w:val="auto"/>
        </w:rPr>
        <w:t>Notwithstanding anything in Section 10.01 or the definition of “</w:t>
      </w:r>
      <w:r>
        <w:rPr>
          <w:rFonts w:ascii="Arial" w:cs="Arial" w:eastAsia="Arial" w:hAnsi="Arial"/>
          <w:sz w:val="19"/>
          <w:szCs w:val="19"/>
          <w:b w:val="1"/>
          <w:bCs w:val="1"/>
          <w:color w:val="auto"/>
        </w:rPr>
        <w:t>Required Lenders</w:t>
      </w:r>
      <w:r>
        <w:rPr>
          <w:rFonts w:ascii="Arial" w:cs="Arial" w:eastAsia="Arial" w:hAnsi="Arial"/>
          <w:sz w:val="19"/>
          <w:szCs w:val="19"/>
          <w:color w:val="auto"/>
        </w:rPr>
        <w:t>”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all Term Loans, Revolving Credit Commitments and Revolving Credit Loans held by Debt Fund Affiliates may not account for more than 49.9% (pro rata among such Debt Fund Affiliates) of the Term Loans, Revolving Credit Commitments and Revolving Credit Loans of consenting Lenders included in determining whether the Required Lenders have consented to any action pursuant to Section 10.01.</w:t>
      </w:r>
    </w:p>
    <w:p>
      <w:pPr>
        <w:spacing w:after="0" w:line="150" w:lineRule="exact"/>
        <w:rPr>
          <w:rFonts w:ascii="Arial" w:cs="Arial" w:eastAsia="Arial" w:hAnsi="Arial"/>
          <w:sz w:val="19"/>
          <w:szCs w:val="19"/>
          <w:color w:val="auto"/>
        </w:rPr>
      </w:pPr>
    </w:p>
    <w:p>
      <w:pPr>
        <w:jc w:val="both"/>
        <w:ind w:firstLine="622"/>
        <w:spacing w:after="0" w:line="224" w:lineRule="auto"/>
        <w:tabs>
          <w:tab w:leader="none" w:pos="1064" w:val="left"/>
        </w:tabs>
        <w:numPr>
          <w:ilvl w:val="0"/>
          <w:numId w:val="269"/>
        </w:numPr>
        <w:rPr>
          <w:rFonts w:ascii="Arial" w:cs="Arial" w:eastAsia="Arial" w:hAnsi="Arial"/>
          <w:sz w:val="21"/>
          <w:szCs w:val="21"/>
          <w:color w:val="auto"/>
        </w:rPr>
      </w:pPr>
      <w:r>
        <w:rPr>
          <w:rFonts w:ascii="Arial" w:cs="Arial" w:eastAsia="Arial" w:hAnsi="Arial"/>
          <w:sz w:val="21"/>
          <w:szCs w:val="21"/>
          <w:color w:val="auto"/>
        </w:rPr>
        <w:t>Any request for consent of the Borrower pursuant to Section 10.07(b)(i)(A) or Section 10.07(f) (with respect to any Voting Participation with respect to the Revolving Credit Facility) and related communications shall be delivered by the Administrative Agent simultaneously to the following Persons or email address (as applicable):</w:t>
      </w:r>
    </w:p>
    <w:p>
      <w:pPr>
        <w:spacing w:after="0" w:line="148" w:lineRule="exact"/>
        <w:rPr>
          <w:rFonts w:ascii="Arial" w:cs="Arial" w:eastAsia="Arial" w:hAnsi="Arial"/>
          <w:sz w:val="21"/>
          <w:szCs w:val="21"/>
          <w:color w:val="auto"/>
        </w:rPr>
      </w:pPr>
    </w:p>
    <w:p>
      <w:pPr>
        <w:jc w:val="both"/>
        <w:ind w:left="620" w:firstLine="621"/>
        <w:spacing w:after="0" w:line="216" w:lineRule="auto"/>
        <w:tabs>
          <w:tab w:leader="none" w:pos="1816" w:val="left"/>
        </w:tabs>
        <w:numPr>
          <w:ilvl w:val="1"/>
          <w:numId w:val="269"/>
        </w:numPr>
        <w:rPr>
          <w:rFonts w:ascii="Arial" w:cs="Arial" w:eastAsia="Arial" w:hAnsi="Arial"/>
          <w:sz w:val="21"/>
          <w:szCs w:val="21"/>
          <w:color w:val="auto"/>
        </w:rPr>
      </w:pPr>
      <w:r>
        <w:rPr>
          <w:rFonts w:ascii="Arial" w:cs="Arial" w:eastAsia="Arial" w:hAnsi="Arial"/>
          <w:sz w:val="21"/>
          <w:szCs w:val="21"/>
          <w:color w:val="auto"/>
        </w:rPr>
        <w:t>with respect to any request for consent in respect of any assignment of Term Loans or any assignment or participation relating to Revolving Credit Commitments or Revolving Credit Exposure, to (A) any recipient that is an employee of Holdings or the Borrower, as designated in writing to the Administrative Agent by the Borrower from time to time (if any) and (B) the chief financial officer of Holdings or the Borrower or any other Responsible Officer designated by the Borrower in writing to the Administrative Agent from time to time; and</w:t>
      </w:r>
    </w:p>
    <w:p>
      <w:pPr>
        <w:spacing w:after="0" w:line="150" w:lineRule="exact"/>
        <w:rPr>
          <w:rFonts w:ascii="Arial" w:cs="Arial" w:eastAsia="Arial" w:hAnsi="Arial"/>
          <w:sz w:val="21"/>
          <w:szCs w:val="21"/>
          <w:color w:val="auto"/>
        </w:rPr>
      </w:pPr>
    </w:p>
    <w:p>
      <w:pPr>
        <w:jc w:val="both"/>
        <w:ind w:left="620" w:firstLine="621"/>
        <w:spacing w:after="0" w:line="219" w:lineRule="auto"/>
        <w:tabs>
          <w:tab w:leader="none" w:pos="1767" w:val="left"/>
        </w:tabs>
        <w:numPr>
          <w:ilvl w:val="1"/>
          <w:numId w:val="269"/>
        </w:numPr>
        <w:rPr>
          <w:rFonts w:ascii="Arial" w:cs="Arial" w:eastAsia="Arial" w:hAnsi="Arial"/>
          <w:sz w:val="21"/>
          <w:szCs w:val="21"/>
          <w:color w:val="auto"/>
        </w:rPr>
      </w:pPr>
      <w:r>
        <w:rPr>
          <w:rFonts w:ascii="Arial" w:cs="Arial" w:eastAsia="Arial" w:hAnsi="Arial"/>
          <w:sz w:val="21"/>
          <w:szCs w:val="21"/>
          <w:color w:val="auto"/>
        </w:rPr>
        <w:t>in addition to the Persons set forth in clause (i) above and prior to the occurrence of a Change of Control, with respect to any request for consent in respect of any assignment or participation related to Revolving Credit Commitments or Revolving Credit Exposure, to (A) BXCMLoanNotifications@Blackstone.com and (B) an employee of the Sponsor designated in writing to the Administrative Agent by the Sponsor from time to time.</w:t>
      </w:r>
    </w:p>
    <w:p>
      <w:pPr>
        <w:spacing w:after="0" w:line="150"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Confidentiality</w:t>
      </w:r>
      <w:r>
        <w:rPr>
          <w:rFonts w:ascii="Arial" w:cs="Arial" w:eastAsia="Arial" w:hAnsi="Arial"/>
          <w:sz w:val="18"/>
          <w:szCs w:val="18"/>
          <w:color w:val="auto"/>
        </w:rPr>
        <w:t>. Each of the Agents, the Lead Arrangers and the Lenders agrees to maintain the confidentiality of the Information and not to disclose such information, except that Information may be disclosed (a) to its Affiliates and its Affiliates’ managers, administrators, directors, officers, employees, trustees, partners, investors,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242</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316" w:lineRule="exact"/>
        <w:rPr>
          <w:sz w:val="20"/>
          <w:szCs w:val="20"/>
          <w:color w:val="auto"/>
        </w:rPr>
      </w:pPr>
    </w:p>
    <w:p>
      <w:pPr>
        <w:jc w:val="both"/>
        <w:ind w:firstLine="6"/>
        <w:spacing w:after="0" w:line="228" w:lineRule="auto"/>
        <w:rPr>
          <w:sz w:val="20"/>
          <w:szCs w:val="20"/>
          <w:color w:val="auto"/>
        </w:rPr>
      </w:pPr>
      <w:r>
        <w:rPr>
          <w:rFonts w:ascii="Arial" w:cs="Arial" w:eastAsia="Arial" w:hAnsi="Arial"/>
          <w:sz w:val="19"/>
          <w:szCs w:val="19"/>
          <w:color w:val="auto"/>
        </w:rPr>
        <w:t xml:space="preserve">any Governmental Authority or self-regulatory authority having or asserting jurisdiction over such Person (including any Governmental Authority or examiner (including the National Association of Insurance Commissioners or any other similar organization) regulating any Lender or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such Lead Arranger or such Lender, as applicable, agrees that it will notify the Borrower as soon as practicable in the event of any such disclosure by such Person (other than at the request of a regulatory authority or examiner) unless such notification is prohibited by law, rule or regulation; (c) to the CUSIP Service Bureau or any similar agency in connection with the issuance and monitoring of CUSIP numbers with respect to the Facilities or market data collectors, similar services providers to the lending industry and service providers to the Administrative Agent in connection with the administration and management of this Agreement and the Loan Documents; (d) to the extent required by applicable Laws or regulations or by any subpoena or similar legal process;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(e) to any other party to this Agreement or to the Investors; (f) subject to an agreement containing provisions at least as restrictive as those set forth in this Section 10.08 (or as may otherwise be reasonably acceptable to the Borrower), to any pledgee referred to in Section 10.07(j), counterparty to a Swap Contract, Eligible Assignee of or Participant in, or any prospective Eligible Assignee of or Participant in any of its rights or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disclosure of any such Information to any Lenders or Eligible Assignees or Participants shall be made subject to the acknowledgement and acceptance by such Lender, Eligible Assignee or Participant that such Information is being disseminated on a confidential basis (on substantially the terms set forth in this Section 10.08 or as otherwise reasonably acceptable to the Borrower, including, without limitation, as agreed in any Borrower Materials) in accordance with the standard processes of the Administrative Agent or customary market standards for dissemination of such type of Information); (g) with the written consent of the Borrower; (h) to the extent such Information becomes publicly available other than as a result of a breach of this Section 10.08 or becomes available to the Administrative Agent, any Lead Arranger, any Lender, the L/C Issuer or any of their respective Affiliates on a non-confidential basis from a source other than a Loan Party or any Investor or their respective Affiliates (so long as such source is not known to the Administrative Agent, such Lead Arranger, such Lender, such L/C Issuer or any of their respective Affiliates to be bound by confidentiality obligations to any Loan Party); (i) to any Governmental Authority or examiner (including the National Association of Insurance Commissioners or any other similar organization) regulating any Lender; (j) to any Rating Agency when required by it (it being understood that, prior to any such disclosure, such Rating Agency shall undertake to preserve the confidentiality of any Information relating to Loan Parties and their Subsidiaries received by it from such Lender) or to the CUSIP Service Bureau or any similar organization; (k) in connection with establishing a “due diligence” defense or (l) to the extent such Information is independently developed by the Administrative Agent, such Lead Arranger, such Lender, such L/C Issuer or any of their respective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disclosure shall be made to any Disqualified Lender. In addition, the Agents and the Lenders may disclose the existence of this Agreement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243</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310" w:lineRule="exact"/>
        <w:rPr>
          <w:sz w:val="20"/>
          <w:szCs w:val="20"/>
          <w:color w:val="auto"/>
        </w:rPr>
      </w:pPr>
    </w:p>
    <w:p>
      <w:pPr>
        <w:jc w:val="both"/>
        <w:ind w:firstLine="6"/>
        <w:spacing w:after="0" w:line="238" w:lineRule="auto"/>
        <w:rPr>
          <w:sz w:val="20"/>
          <w:szCs w:val="20"/>
          <w:color w:val="auto"/>
        </w:rPr>
      </w:pPr>
      <w:r>
        <w:rPr>
          <w:rFonts w:ascii="Arial" w:cs="Arial" w:eastAsia="Arial" w:hAnsi="Arial"/>
          <w:sz w:val="19"/>
          <w:szCs w:val="19"/>
          <w:color w:val="auto"/>
        </w:rPr>
        <w:t>and the Credit Extensions. For the purposes of this Section 10.08, “</w:t>
      </w:r>
      <w:r>
        <w:rPr>
          <w:rFonts w:ascii="Arial" w:cs="Arial" w:eastAsia="Arial" w:hAnsi="Arial"/>
          <w:sz w:val="19"/>
          <w:szCs w:val="19"/>
          <w:b w:val="1"/>
          <w:bCs w:val="1"/>
          <w:color w:val="auto"/>
        </w:rPr>
        <w:t>Information</w:t>
      </w:r>
      <w:r>
        <w:rPr>
          <w:rFonts w:ascii="Arial" w:cs="Arial" w:eastAsia="Arial" w:hAnsi="Arial"/>
          <w:sz w:val="19"/>
          <w:szCs w:val="19"/>
          <w:color w:val="auto"/>
        </w:rPr>
        <w:t xml:space="preserve">” means all information received from the Loan Parties relating to any Loan Party, its Affiliates or its Affiliates’ directors, managers, officers, employees, trustees, investment advisors or agents, relating to Holdings, the Borrower or any of their Subsidiaries or its business, other than any such information that is publicly available to any Agent, any L/C Issuer or any Lender prior to disclosure by any Loan Party other than as a result of a breach of this Section 10.08;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information received after the Closing Date from Holdings, the Borrower or any of its Subsidiaries shall be deemed confidential unless such information is clearly identified at the time of delivery as not being confidential.</w:t>
      </w:r>
    </w:p>
    <w:p>
      <w:pPr>
        <w:spacing w:after="0" w:line="176"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i w:val="1"/>
          <w:iCs w:val="1"/>
          <w:color w:val="auto"/>
        </w:rPr>
        <w:t>Setoff</w:t>
      </w:r>
      <w:r>
        <w:rPr>
          <w:rFonts w:ascii="Arial" w:cs="Arial" w:eastAsia="Arial" w:hAnsi="Arial"/>
          <w:sz w:val="19"/>
          <w:szCs w:val="19"/>
          <w:color w:val="auto"/>
        </w:rPr>
        <w:t xml:space="preserve">. In addition to any rights and remedies of the Lenders provided by Law, upon the occurrence and during the continuance of any Event of Default, each Lender and its Affiliates (and the Collateral Agent, in respect of any unpaid fees, costs and expenses payable hereunder) is authorized at any time and from time to time, without prior notice to the Borrower, any such notice being waived by the Borrower (on its own behalf and on behalf of each Loan Party and each of its Subsidiaries) to the fullest extent permitted by applicable Law, to set off and apply any and all deposits (general or special, time or demand, provisional or final) at any time held by, and other Indebtedness at any time owing by, such Lender and its Affiliates or the Collateral Agent to or for the credit or the account of the respective Loan Parties and their Subsidiaries against any and all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the event that any Defaulting Lender shall exercise any such right of setoff, (x) all amounts so set off shall be paid over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immediately to the Administrative Agent for further application in accordance with the provisions of Section 2.17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set off and application made by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validity of such setoff and application. The rights of the Administrative Agent, the Collateral Agent and each Lender under this Section 10.09 are in addition to other rights and remedies (including other rights of setoff) that the Administrative Agent, the Collateral Agent and such Lender may have. No amounts set off from any Guarantor shall be applied to any Excluded Swap Obligations of such Guarantor.</w:t>
      </w:r>
    </w:p>
    <w:p>
      <w:pPr>
        <w:spacing w:after="0" w:line="162"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 xml:space="preserve">Section 10.10. </w:t>
      </w:r>
      <w:r>
        <w:rPr>
          <w:rFonts w:ascii="Arial" w:cs="Arial" w:eastAsia="Arial" w:hAnsi="Arial"/>
          <w:sz w:val="21"/>
          <w:szCs w:val="21"/>
          <w:i w:val="1"/>
          <w:iCs w:val="1"/>
          <w:color w:val="auto"/>
        </w:rPr>
        <w:t>Interest Rate Limitation</w:t>
      </w:r>
      <w:r>
        <w:rPr>
          <w:rFonts w:ascii="Arial" w:cs="Arial" w:eastAsia="Arial" w:hAnsi="Arial"/>
          <w:sz w:val="21"/>
          <w:szCs w:val="21"/>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21"/>
          <w:szCs w:val="21"/>
          <w:b w:val="1"/>
          <w:bCs w:val="1"/>
          <w:color w:val="auto"/>
        </w:rPr>
        <w:t>Maximum Rate</w:t>
      </w:r>
      <w:r>
        <w:rPr>
          <w:rFonts w:ascii="Arial" w:cs="Arial" w:eastAsia="Arial" w:hAnsi="Arial"/>
          <w:sz w:val="21"/>
          <w:szCs w:val="21"/>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244</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316" w:lineRule="exact"/>
        <w:rPr>
          <w:sz w:val="20"/>
          <w:szCs w:val="20"/>
          <w:color w:val="auto"/>
        </w:rPr>
      </w:pPr>
    </w:p>
    <w:p>
      <w:pPr>
        <w:jc w:val="both"/>
        <w:ind w:firstLine="6"/>
        <w:spacing w:after="0" w:line="219" w:lineRule="auto"/>
        <w:rPr>
          <w:sz w:val="20"/>
          <w:szCs w:val="20"/>
          <w:color w:val="auto"/>
        </w:rPr>
      </w:pPr>
      <w:r>
        <w:rPr>
          <w:rFonts w:ascii="Arial" w:cs="Arial" w:eastAsia="Arial" w:hAnsi="Arial"/>
          <w:sz w:val="21"/>
          <w:szCs w:val="21"/>
          <w:color w:val="auto"/>
        </w:rPr>
        <w:t>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6"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 xml:space="preserve">Section 10.11. </w:t>
      </w:r>
      <w:r>
        <w:rPr>
          <w:rFonts w:ascii="Arial" w:cs="Arial" w:eastAsia="Arial" w:hAnsi="Arial"/>
          <w:sz w:val="20"/>
          <w:szCs w:val="20"/>
          <w:i w:val="1"/>
          <w:iCs w:val="1"/>
          <w:color w:val="auto"/>
        </w:rPr>
        <w:t>Counterparts</w:t>
      </w:r>
      <w:r>
        <w:rPr>
          <w:rFonts w:ascii="Arial" w:cs="Arial" w:eastAsia="Arial" w:hAnsi="Arial"/>
          <w:sz w:val="20"/>
          <w:szCs w:val="20"/>
          <w:color w:val="auto"/>
        </w:rPr>
        <w:t xml:space="preserve">.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an original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to request or deliver the same shall not limit the effectiveness of any document or signature delivered by telecopier or other electronic transmission.</w:t>
      </w:r>
    </w:p>
    <w:p>
      <w:pPr>
        <w:spacing w:after="0" w:line="154"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i w:val="1"/>
          <w:iCs w:val="1"/>
          <w:color w:val="auto"/>
        </w:rPr>
        <w:t>Integration; Termination</w:t>
      </w:r>
      <w:r>
        <w:rPr>
          <w:rFonts w:ascii="Arial" w:cs="Arial" w:eastAsia="Arial" w:hAnsi="Arial"/>
          <w:sz w:val="20"/>
          <w:szCs w:val="20"/>
          <w:color w:val="auto"/>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54" w:lineRule="exact"/>
        <w:rPr>
          <w:sz w:val="20"/>
          <w:szCs w:val="20"/>
          <w:color w:val="auto"/>
        </w:rPr>
      </w:pPr>
    </w:p>
    <w:p>
      <w:pPr>
        <w:jc w:val="both"/>
        <w:ind w:firstLine="619"/>
        <w:spacing w:after="0" w:line="213" w:lineRule="auto"/>
        <w:rPr>
          <w:sz w:val="20"/>
          <w:szCs w:val="20"/>
          <w:color w:val="auto"/>
        </w:rPr>
      </w:pPr>
      <w:r>
        <w:rPr>
          <w:rFonts w:ascii="Arial" w:cs="Arial" w:eastAsia="Arial" w:hAnsi="Arial"/>
          <w:sz w:val="21"/>
          <w:szCs w:val="21"/>
          <w:color w:val="auto"/>
        </w:rPr>
        <w:t xml:space="preserve">Section 10.13. </w:t>
      </w:r>
      <w:r>
        <w:rPr>
          <w:rFonts w:ascii="Arial" w:cs="Arial" w:eastAsia="Arial" w:hAnsi="Arial"/>
          <w:sz w:val="21"/>
          <w:szCs w:val="21"/>
          <w:i w:val="1"/>
          <w:iCs w:val="1"/>
          <w:color w:val="auto"/>
        </w:rPr>
        <w:t>Survival of Representations and Warranties</w:t>
      </w:r>
      <w:r>
        <w:rPr>
          <w:rFonts w:ascii="Arial" w:cs="Arial" w:eastAsia="Arial" w:hAnsi="Arial"/>
          <w:sz w:val="21"/>
          <w:szCs w:val="21"/>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50"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 xml:space="preserve">Section 10.14. </w:t>
      </w:r>
      <w:r>
        <w:rPr>
          <w:rFonts w:ascii="Arial" w:cs="Arial" w:eastAsia="Arial" w:hAnsi="Arial"/>
          <w:sz w:val="20"/>
          <w:szCs w:val="20"/>
          <w:i w:val="1"/>
          <w:iCs w:val="1"/>
          <w:color w:val="auto"/>
        </w:rPr>
        <w:t>Severability</w:t>
      </w:r>
      <w:r>
        <w:rPr>
          <w:rFonts w:ascii="Arial" w:cs="Arial" w:eastAsia="Arial" w:hAnsi="Arial"/>
          <w:sz w:val="20"/>
          <w:szCs w:val="20"/>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Without limiting the foregoing provisions of this Section 10.14,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245</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619"/>
        <w:spacing w:after="0" w:line="233" w:lineRule="auto"/>
        <w:rPr>
          <w:sz w:val="20"/>
          <w:szCs w:val="20"/>
          <w:color w:val="auto"/>
        </w:rPr>
      </w:pPr>
      <w:r>
        <w:rPr>
          <w:rFonts w:ascii="Arial" w:cs="Arial" w:eastAsia="Arial" w:hAnsi="Arial"/>
          <w:sz w:val="21"/>
          <w:szCs w:val="21"/>
          <w:color w:val="auto"/>
        </w:rPr>
        <w:t xml:space="preserve">Section 10.15. </w:t>
      </w:r>
      <w:r>
        <w:rPr>
          <w:rFonts w:ascii="Arial" w:cs="Arial" w:eastAsia="Arial" w:hAnsi="Arial"/>
          <w:sz w:val="21"/>
          <w:szCs w:val="21"/>
          <w:i w:val="1"/>
          <w:iCs w:val="1"/>
          <w:color w:val="auto"/>
        </w:rPr>
        <w:t>GOVERNING LAW</w:t>
      </w:r>
      <w:r>
        <w:rPr>
          <w:rFonts w:ascii="Arial" w:cs="Arial" w:eastAsia="Arial" w:hAnsi="Arial"/>
          <w:sz w:val="21"/>
          <w:szCs w:val="21"/>
          <w:color w:val="auto"/>
        </w:rPr>
        <w:t>. (a) THIS AGREEMENT AND EACH OTHER LOAN DOCUMENT SHALL BE GOVERNED BY, AND CONSTRUED IN ACCORDANCE WITH, THE LAW OF THE STATE OF NEW YORK.</w:t>
      </w:r>
    </w:p>
    <w:p>
      <w:pPr>
        <w:spacing w:after="0" w:line="150" w:lineRule="exact"/>
        <w:rPr>
          <w:sz w:val="20"/>
          <w:szCs w:val="20"/>
          <w:color w:val="auto"/>
        </w:rPr>
      </w:pPr>
    </w:p>
    <w:p>
      <w:pPr>
        <w:jc w:val="both"/>
        <w:ind w:firstLine="622"/>
        <w:spacing w:after="0" w:line="218" w:lineRule="auto"/>
        <w:tabs>
          <w:tab w:leader="none" w:pos="126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COUNTY OR OF THE UNITED STATES FOR THE SOUTHERN DISTRICT OF SUCH STATE, AND BY EXECUTION AND DELIVERY OF THIS AGREEMENT, EACH LOAN PARTY, EACH AGENT AND EACH LENDER CONSENTS, FOR ITSELF AND IN RESPECT OF ITS PROPERTY, TO THE EXCLUSIVE JURISDICTION OF THOSE COURTS AND AGREES THAT IT WILL NOT COMMENCE OR SUPPORT ANY SUCH ACTION OR PROCEEDING IN ANOTHER JURISDICTION. EACH LOAN PARTY,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 ANY LOAN DOCUMENTS IN THE MANNER PROVIDED FOR NOTICES (OTHER THAN TELECOPIER OR OTHER ELECTRONIC TRANSMISSION) IN SECTION 10.02. NOTHING IN THIS AGREEMENT OR ANY OTHER LOAN DOCUMENT WILL AFFECT THE RIGHT OF ANY PARTY HERETO TO SERVE PROCESS IN ANY OTHER MANNER PERMITTED BY APPLICABLE LAW. NOTHING IN THIS AGREEMENT OR IN ANY OTHER LOAN DOCUMENT SHALL AFFECT ANY RIGHT THAT THE ADMINISTRATIVE AGENT OR ANY LENDER MAY OTHERWISE HAVE TO BRING ANY ACTION TO ENFORCE ANY AWARD OR JUDGMENT OR EXERCISE ANY RIGHT UNDER THE COLLATERAL DOCUMENTS AGAINST ANY COLLATERAL OR ANY OTHER PROPERTY OF ANY LOAN PARTY IN ANY OTHER FORUM IN ANY JURISDICTION IN WHICH COLLATERAL IS LOCATED.</w:t>
      </w:r>
    </w:p>
    <w:p>
      <w:pPr>
        <w:spacing w:after="0" w:line="151"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 xml:space="preserve">Section 10.16. </w:t>
      </w:r>
      <w:r>
        <w:rPr>
          <w:rFonts w:ascii="Arial" w:cs="Arial" w:eastAsia="Arial" w:hAnsi="Arial"/>
          <w:sz w:val="20"/>
          <w:szCs w:val="20"/>
          <w:i w:val="1"/>
          <w:iCs w:val="1"/>
          <w:color w:val="auto"/>
        </w:rPr>
        <w:t>WAIVER OF RIGHT TO TRIAL BY JURY</w:t>
      </w:r>
      <w:r>
        <w:rPr>
          <w:rFonts w:ascii="Arial" w:cs="Arial" w:eastAsia="Arial" w:hAnsi="Arial"/>
          <w:sz w:val="20"/>
          <w:szCs w:val="20"/>
          <w:color w:val="auto"/>
        </w:rPr>
        <w:t>. TO THE EXTENT PERMITTED BY APPLICABLE LAW,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246</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AN ORIGINAL COUNTERPART OR A COPY OF THIS SECTION 10.16 WITH ANY COURT AS WRITTEN EVIDENCE OF THE CONSENT OF THE SIGNATORIES HERETO TO THE WAIVER OF THEIR RIGHT TO TRIAL BY JURY.</w:t>
      </w:r>
    </w:p>
    <w:p>
      <w:pPr>
        <w:spacing w:after="0" w:line="176"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Binding Effect</w:t>
      </w:r>
      <w:r>
        <w:rPr>
          <w:rFonts w:ascii="Arial" w:cs="Arial" w:eastAsia="Arial" w:hAnsi="Arial"/>
          <w:sz w:val="18"/>
          <w:szCs w:val="18"/>
          <w:color w:val="auto"/>
        </w:rPr>
        <w:t>. This Agreement shall become effective when it shall have been executed by the Loan Parties, the Administrative Agent, the Collateral Agent, the L/C Issuers and the Administrative Agent shall have been notified by each Lender, the Swing Line Lender and the L/C Issuers that each Lender, the Swing Line Lender and the L/C Issuers have executed it and thereafter this Agreement shall be binding upon and inure to the benefit of the Loan Parties, each Agent and each Lender and their respective successors and assigns, in each case in accordance with Section 10.07 (if applicable) and except that no Loan Party shall have the right to assign its rights hereunder or any interest herein without the prior written consent of the Lenders except as permitted by Section 7.04.</w:t>
      </w:r>
    </w:p>
    <w:p>
      <w:pPr>
        <w:spacing w:after="0" w:line="140"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9"/>
          <w:szCs w:val="19"/>
          <w:color w:val="auto"/>
        </w:rPr>
        <w:t xml:space="preserve">Section 10.18. </w:t>
      </w:r>
      <w:r>
        <w:rPr>
          <w:rFonts w:ascii="Arial" w:cs="Arial" w:eastAsia="Arial" w:hAnsi="Arial"/>
          <w:sz w:val="19"/>
          <w:szCs w:val="19"/>
          <w:i w:val="1"/>
          <w:iCs w:val="1"/>
          <w:color w:val="auto"/>
        </w:rPr>
        <w:t>USA PATRIOT Act</w:t>
      </w:r>
      <w:r>
        <w:rPr>
          <w:rFonts w:ascii="Arial" w:cs="Arial" w:eastAsia="Arial" w:hAnsi="Arial"/>
          <w:sz w:val="19"/>
          <w:szCs w:val="19"/>
          <w:color w:val="auto"/>
        </w:rPr>
        <w: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address and tax identification number of such Loan Party and other information regarding such Loan Party that will allow such Lender or the Administrative Agent, as applicable, to identify such Loan Party in accordance with the USA PATRIOT Act. This notice is given in accordance with the requirements of the USA PATRIOT Act and is effective as to the Lenders and the Administrative Agent.</w:t>
      </w:r>
    </w:p>
    <w:p>
      <w:pPr>
        <w:spacing w:after="0" w:line="149"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 xml:space="preserve">Section 10.19. </w:t>
      </w:r>
      <w:r>
        <w:rPr>
          <w:rFonts w:ascii="Arial" w:cs="Arial" w:eastAsia="Arial" w:hAnsi="Arial"/>
          <w:sz w:val="19"/>
          <w:szCs w:val="19"/>
          <w:i w:val="1"/>
          <w:iCs w:val="1"/>
          <w:color w:val="auto"/>
        </w:rPr>
        <w:t>No Advisory or Fiduciary Responsibility</w:t>
      </w:r>
      <w:r>
        <w:rPr>
          <w:rFonts w:ascii="Arial" w:cs="Arial" w:eastAsia="Arial" w:hAnsi="Arial"/>
          <w:sz w:val="19"/>
          <w:szCs w:val="19"/>
          <w:color w:val="auto"/>
        </w:rPr>
        <w:t>. (a) 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Agents, the Lead Arrangers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Agents, the Lead Arrangers and the Lenders is and has been acting solely as a principal and is not the financial advisor, agent or fiduciary, for the Borrower or any of its Affiliates, stockholders, creditors or employees or any other Person, (iii) none of the Agents, the Lead Arrangers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Agent or Lender has advised or is currently advising the Borrower or any of its Affiliates on other matters) and none of the Agents, the Lead Arrangers or the Lenders has any obligation to the Borrower or any of its Affiliates with respect to the financing transactions contemplated hereby except those obligations expressly set forth herein and in the other Loan Documents, (iv) the Agents, the Lead Arrangers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247</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316" w:lineRule="exact"/>
        <w:rPr>
          <w:sz w:val="20"/>
          <w:szCs w:val="20"/>
          <w:color w:val="auto"/>
        </w:rPr>
      </w:pPr>
    </w:p>
    <w:p>
      <w:pPr>
        <w:jc w:val="both"/>
        <w:ind w:firstLine="6"/>
        <w:spacing w:after="0" w:line="221" w:lineRule="auto"/>
        <w:rPr>
          <w:sz w:val="20"/>
          <w:szCs w:val="20"/>
          <w:color w:val="auto"/>
        </w:rPr>
      </w:pPr>
      <w:r>
        <w:rPr>
          <w:rFonts w:ascii="Arial" w:cs="Arial" w:eastAsia="Arial" w:hAnsi="Arial"/>
          <w:sz w:val="20"/>
          <w:szCs w:val="20"/>
          <w:color w:val="auto"/>
        </w:rPr>
        <w:t>and the Lenders and their respective Affiliates may be engaged in a broad range of transactions that involve interests that differ from, and may conflict with, those of the Borrower and its Affiliates, and none of the Agents, the Lead Arrangers or the Lenders has any obligation to disclose any of such interests by virtue of any advisory, agency or fiduciary relationship and (v) the Agents, the Lead Arrangers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 Each Loan Party hereby waives and releases, to the fullest extent permitted by law, any claims that it may have against the Agents, the Lead Arrangers and the Lenders with respect to any breach or alleged breach of agency or fiduciary duty under applicable law relating to agency and fiduciary obligations.</w:t>
      </w:r>
    </w:p>
    <w:p>
      <w:pPr>
        <w:spacing w:after="0" w:line="183" w:lineRule="exact"/>
        <w:rPr>
          <w:sz w:val="20"/>
          <w:szCs w:val="20"/>
          <w:color w:val="auto"/>
        </w:rPr>
      </w:pPr>
    </w:p>
    <w:p>
      <w:pPr>
        <w:jc w:val="both"/>
        <w:ind w:firstLine="622"/>
        <w:spacing w:after="0" w:line="230" w:lineRule="auto"/>
        <w:tabs>
          <w:tab w:leader="none" w:pos="107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Each Loan Party acknowledges and agrees that each Lender, the Lead Arrangers and any Affiliate thereof may lend money to, invest in, and generally engage in any kind of business with, any of the Borrower, Holdings, any Investor, any Affiliate thereof or any other person or entity that may do business with or own securities of any of the foregoing, all as if such Lender, the Lead Arrangers or Affiliate thereof were not a Lender, the Lead Arrangers or an Affiliate thereof (or an agent or any other person with any similar role under the Facilities) and without any duty to account therefor to any other Lender, the Lead Arrangers, Holdings, the Borrower, any Investor or any Affiliate of the foregoing. Each Lender, the Lead Arrangers and any Affiliate thereof may accept fees and other consideration from Holdings, the Borrower, any Investor or any Affiliate thereof for services in connection with this Agreement, the Facilities or otherwise without having to account for the same to any other Lender, the Lead Arrangers, Holdings, the Borrower, any Investor or any Affiliate of the foregoing. Some or all of the Lenders and the Lead Arrangers may have directly or indirectly acquired certain equity interests (including warrants) in Holdings, the Borrower, an Investor or an Affiliate thereof or may have directly or indirectly extended credit on a subordinated basis to Holdings, the Borrower, an Investor or an Affiliate thereof. Each party hereto, on its behalf and on behalf of its Affiliates, acknowledges and waives the potential conflict of interest resulting from any such Lender, the Lead Arrangers or an Affiliate thereof holding disproportionate interests in the extensions of credit under the Facilities or otherwise acting as arranger or agent thereunder and such Lender, the Lead Arrangers or any Affiliate thereof directly or indirectly holding equity interests in or subordinated debt issued by Holdings, the Borrower, an Investor or an Affiliate thereof.</w:t>
      </w:r>
    </w:p>
    <w:p>
      <w:pPr>
        <w:spacing w:after="0" w:line="160" w:lineRule="exact"/>
        <w:rPr>
          <w:sz w:val="20"/>
          <w:szCs w:val="20"/>
          <w:color w:val="auto"/>
        </w:rPr>
      </w:pPr>
    </w:p>
    <w:p>
      <w:pPr>
        <w:jc w:val="both"/>
        <w:ind w:firstLine="619"/>
        <w:spacing w:after="0" w:line="225" w:lineRule="auto"/>
        <w:rPr>
          <w:sz w:val="20"/>
          <w:szCs w:val="20"/>
          <w:color w:val="auto"/>
        </w:rPr>
      </w:pPr>
      <w:r>
        <w:rPr>
          <w:rFonts w:ascii="Arial" w:cs="Arial" w:eastAsia="Arial" w:hAnsi="Arial"/>
          <w:sz w:val="20"/>
          <w:szCs w:val="20"/>
          <w:color w:val="auto"/>
        </w:rPr>
        <w:t xml:space="preserve">Section 10.20. </w:t>
      </w:r>
      <w:r>
        <w:rPr>
          <w:rFonts w:ascii="Arial" w:cs="Arial" w:eastAsia="Arial" w:hAnsi="Arial"/>
          <w:sz w:val="20"/>
          <w:szCs w:val="20"/>
          <w:i w:val="1"/>
          <w:iCs w:val="1"/>
          <w:color w:val="auto"/>
        </w:rPr>
        <w:t>Electronic Execution of Assignments</w:t>
      </w:r>
      <w:r>
        <w:rPr>
          <w:rFonts w:ascii="Arial" w:cs="Arial" w:eastAsia="Arial" w:hAnsi="Arial"/>
          <w:sz w:val="20"/>
          <w:szCs w:val="20"/>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 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248</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 xml:space="preserve">Section 10.21. </w:t>
      </w:r>
      <w:r>
        <w:rPr>
          <w:rFonts w:ascii="Arial" w:cs="Arial" w:eastAsia="Arial" w:hAnsi="Arial"/>
          <w:sz w:val="19"/>
          <w:szCs w:val="19"/>
          <w:i w:val="1"/>
          <w:iCs w:val="1"/>
          <w:color w:val="auto"/>
        </w:rPr>
        <w:t>Effect of Certain Inaccuracies</w:t>
      </w:r>
      <w:r>
        <w:rPr>
          <w:rFonts w:ascii="Arial" w:cs="Arial" w:eastAsia="Arial" w:hAnsi="Arial"/>
          <w:sz w:val="19"/>
          <w:szCs w:val="19"/>
          <w:color w:val="auto"/>
        </w:rPr>
        <w:t>. In the event that any financial statement or Compliance Certificate previously delivered pursuant to Section 6.02(a) was inaccurate or was restated (regardless of whether this Agreement or the Commitments are in effect when such inaccuracy is discovered), and such inaccuracy, if corrected, or such restatement would have led to the application of a higher Applicable Rate for any period (an “</w:t>
      </w:r>
      <w:r>
        <w:rPr>
          <w:rFonts w:ascii="Arial" w:cs="Arial" w:eastAsia="Arial" w:hAnsi="Arial"/>
          <w:sz w:val="19"/>
          <w:szCs w:val="19"/>
          <w:b w:val="1"/>
          <w:bCs w:val="1"/>
          <w:color w:val="auto"/>
        </w:rPr>
        <w:t>Applicable Period</w:t>
      </w:r>
      <w:r>
        <w:rPr>
          <w:rFonts w:ascii="Arial" w:cs="Arial" w:eastAsia="Arial" w:hAnsi="Arial"/>
          <w:sz w:val="19"/>
          <w:szCs w:val="19"/>
          <w:color w:val="auto"/>
        </w:rPr>
        <w:t xml:space="preserve">”) than the Applicable Rate applied for such Applicable Period, then (i) the Borrower shall as soon as practicable deliver to the Administrative Agent a corrected or restated financial statement and a corrected or updated Compliance Certificate for such Applicable Period, (ii) the Applicable Rate shall be determined based on the updated Compliance Certificate for such Applicable Period, and (iii) the Borrower shall within 15 days after the delivery of the corrected or restated financial statements and the updated Compliance Certificate pay to the Administrative Agent the accrued additional interest or fees owing as a result of such increased Applicable Rate for such Applicable Period. This Section 10.21 shall not limit the rights of the Administrative Agent or the Lenders with respect to Sections 2.08(b) and 8.01;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underpayment due to change in Applicable Rate shall not in itself constitute a Default or Event of Default under Section 8.01 so long as such additional interest or fees are paid within the 15-day period set forth above.</w:t>
      </w:r>
    </w:p>
    <w:p>
      <w:pPr>
        <w:spacing w:after="0" w:line="158"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 xml:space="preserve">Section 10.22. </w:t>
      </w:r>
      <w:r>
        <w:rPr>
          <w:rFonts w:ascii="Arial" w:cs="Arial" w:eastAsia="Arial" w:hAnsi="Arial"/>
          <w:sz w:val="19"/>
          <w:szCs w:val="19"/>
          <w:i w:val="1"/>
          <w:iCs w:val="1"/>
          <w:color w:val="auto"/>
        </w:rPr>
        <w:t>Judgment Currency</w:t>
      </w:r>
      <w:r>
        <w:rPr>
          <w:rFonts w:ascii="Arial" w:cs="Arial" w:eastAsia="Arial" w:hAnsi="Arial"/>
          <w:sz w:val="19"/>
          <w:szCs w:val="19"/>
          <w:color w:val="auto"/>
        </w:rPr>
        <w:t>. If for the purposes of obtaining judgment in any court it is necessary to convert a sum due from the Borrower hereunder in the currency expressed to be payable herein (the “</w:t>
      </w:r>
      <w:r>
        <w:rPr>
          <w:rFonts w:ascii="Arial" w:cs="Arial" w:eastAsia="Arial" w:hAnsi="Arial"/>
          <w:sz w:val="19"/>
          <w:szCs w:val="19"/>
          <w:b w:val="1"/>
          <w:bCs w:val="1"/>
          <w:color w:val="auto"/>
        </w:rPr>
        <w:t>specified currency</w:t>
      </w:r>
      <w:r>
        <w:rPr>
          <w:rFonts w:ascii="Arial" w:cs="Arial" w:eastAsia="Arial" w:hAnsi="Arial"/>
          <w:sz w:val="19"/>
          <w:szCs w:val="19"/>
          <w:color w:val="auto"/>
        </w:rPr>
        <w:t>”) into another currency, the parties hereto agree, to the fullest extent that they may effectively do so, that the rate of exchange used shall be that at which in accordance with normal banking procedures any Lender could purchase the specified currency with such other currency at such Lender’s New York office on the Business Day preceding that on which final judgment is given. The obligations of the Borrower in respect of any sum due to any Lender hereunder shall, notwithstanding any judgment in a currency other than the specified currency, be discharged only to the extent that on the Business Day following receipt by such Lender of any sum adjudged to be so due in such other currency such Lender may in accordance with normal banking procedures purchase the specified currency with such other currency; if the amount of the specified currency so purchased is less than the sum originally due to such Lender in the specified currency, the Borrower agrees, to the fullest extent that it may effectively do so, as a separate obligation and notwithstanding any such judgment, to indemnify the Lender against such loss, and if the amount of the specified currency so purchased exceeds the sum originally due to such Lender in the specified currency, such Lender agrees to remit such excess to the Borrower.</w:t>
      </w:r>
    </w:p>
    <w:p>
      <w:pPr>
        <w:spacing w:after="0" w:line="158" w:lineRule="exact"/>
        <w:rPr>
          <w:sz w:val="20"/>
          <w:szCs w:val="20"/>
          <w:color w:val="auto"/>
        </w:rPr>
      </w:pPr>
    </w:p>
    <w:p>
      <w:pPr>
        <w:ind w:left="620"/>
        <w:spacing w:after="0"/>
        <w:tabs>
          <w:tab w:leader="none" w:pos="2000" w:val="left"/>
        </w:tabs>
        <w:rPr>
          <w:sz w:val="20"/>
          <w:szCs w:val="20"/>
          <w:color w:val="auto"/>
        </w:rPr>
      </w:pPr>
      <w:r>
        <w:rPr>
          <w:rFonts w:ascii="Arial" w:cs="Arial" w:eastAsia="Arial" w:hAnsi="Arial"/>
          <w:sz w:val="21"/>
          <w:szCs w:val="21"/>
          <w:color w:val="auto"/>
        </w:rPr>
        <w:t>Section 10.23.</w:t>
      </w:r>
      <w:r>
        <w:rPr>
          <w:sz w:val="20"/>
          <w:szCs w:val="20"/>
          <w:color w:val="auto"/>
        </w:rPr>
        <w:tab/>
      </w:r>
      <w:r>
        <w:rPr>
          <w:rFonts w:ascii="Arial" w:cs="Arial" w:eastAsia="Arial" w:hAnsi="Arial"/>
          <w:sz w:val="18"/>
          <w:szCs w:val="18"/>
          <w:i w:val="1"/>
          <w:iCs w:val="1"/>
          <w:color w:val="auto"/>
        </w:rPr>
        <w:t>Acknowledgement and Consent to Bail-In of Affected Financial Institutions</w:t>
      </w:r>
      <w:r>
        <w:rPr>
          <w:rFonts w:ascii="Arial" w:cs="Arial" w:eastAsia="Arial" w:hAnsi="Arial"/>
          <w:sz w:val="18"/>
          <w:szCs w:val="18"/>
          <w:color w:val="auto"/>
        </w:rPr>
        <w:t>.</w:t>
      </w:r>
    </w:p>
    <w:p>
      <w:pPr>
        <w:spacing w:after="0" w:line="171"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249</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622"/>
        <w:spacing w:after="0" w:line="276" w:lineRule="auto"/>
        <w:tabs>
          <w:tab w:leader="none" w:pos="1098"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to any Lender that is an Affected Financial Institution; and</w:t>
      </w:r>
    </w:p>
    <w:p>
      <w:pPr>
        <w:spacing w:after="0" w:line="116" w:lineRule="exact"/>
        <w:rPr>
          <w:rFonts w:ascii="Arial" w:cs="Arial" w:eastAsia="Arial" w:hAnsi="Arial"/>
          <w:sz w:val="19"/>
          <w:szCs w:val="19"/>
          <w:color w:val="auto"/>
        </w:rPr>
      </w:pPr>
    </w:p>
    <w:p>
      <w:pPr>
        <w:ind w:left="1060" w:hanging="438"/>
        <w:spacing w:after="0"/>
        <w:tabs>
          <w:tab w:leader="none" w:pos="1060" w:val="left"/>
        </w:tabs>
        <w:numPr>
          <w:ilvl w:val="0"/>
          <w:numId w:val="272"/>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171" w:lineRule="exact"/>
        <w:rPr>
          <w:rFonts w:ascii="Arial" w:cs="Arial" w:eastAsia="Arial" w:hAnsi="Arial"/>
          <w:sz w:val="21"/>
          <w:szCs w:val="21"/>
          <w:color w:val="auto"/>
        </w:rPr>
      </w:pPr>
    </w:p>
    <w:p>
      <w:pPr>
        <w:ind w:left="1640" w:hanging="399"/>
        <w:spacing w:after="0"/>
        <w:tabs>
          <w:tab w:leader="none" w:pos="1640" w:val="left"/>
        </w:tabs>
        <w:numPr>
          <w:ilvl w:val="1"/>
          <w:numId w:val="272"/>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171" w:lineRule="exact"/>
        <w:rPr>
          <w:rFonts w:ascii="Arial" w:cs="Arial" w:eastAsia="Arial" w:hAnsi="Arial"/>
          <w:sz w:val="21"/>
          <w:szCs w:val="21"/>
          <w:color w:val="auto"/>
        </w:rPr>
      </w:pPr>
    </w:p>
    <w:p>
      <w:pPr>
        <w:jc w:val="both"/>
        <w:ind w:left="620" w:firstLine="621"/>
        <w:spacing w:after="0" w:line="219" w:lineRule="auto"/>
        <w:tabs>
          <w:tab w:leader="none" w:pos="1758" w:val="left"/>
        </w:tabs>
        <w:numPr>
          <w:ilvl w:val="1"/>
          <w:numId w:val="272"/>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9" w:lineRule="exact"/>
        <w:rPr>
          <w:rFonts w:ascii="Arial" w:cs="Arial" w:eastAsia="Arial" w:hAnsi="Arial"/>
          <w:sz w:val="21"/>
          <w:szCs w:val="21"/>
          <w:color w:val="auto"/>
        </w:rPr>
      </w:pPr>
    </w:p>
    <w:p>
      <w:pPr>
        <w:ind w:left="620" w:firstLine="621"/>
        <w:spacing w:after="0" w:line="233" w:lineRule="auto"/>
        <w:tabs>
          <w:tab w:leader="none" w:pos="1845" w:val="left"/>
        </w:tabs>
        <w:numPr>
          <w:ilvl w:val="1"/>
          <w:numId w:val="272"/>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the applicable Resolution Authority.</w:t>
      </w:r>
    </w:p>
    <w:p>
      <w:pPr>
        <w:spacing w:after="0" w:line="150"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color w:val="auto"/>
        </w:rPr>
        <w:t xml:space="preserve">Section 10.24. </w:t>
      </w:r>
      <w:r>
        <w:rPr>
          <w:rFonts w:ascii="Arial" w:cs="Arial" w:eastAsia="Arial" w:hAnsi="Arial"/>
          <w:sz w:val="20"/>
          <w:szCs w:val="20"/>
          <w:i w:val="1"/>
          <w:iCs w:val="1"/>
          <w:color w:val="auto"/>
        </w:rPr>
        <w:t>Cashless Rollovers</w:t>
      </w:r>
      <w:r>
        <w:rPr>
          <w:rFonts w:ascii="Arial" w:cs="Arial" w:eastAsia="Arial" w:hAnsi="Arial"/>
          <w:sz w:val="20"/>
          <w:szCs w:val="20"/>
          <w:color w:val="auto"/>
        </w:rPr>
        <w:t>. Notwithstanding anything to the contrary contained in this Agreement or in any other Loan Document, to the extent that any Lender extends the maturity date of, or replaces, renews or refinances, any of its then-existing Loans with Incremental Facilities, Facilities in connection with any Refinancing Series, Extended Term Loans, Extended Revolving Credit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54" w:lineRule="exact"/>
        <w:rPr>
          <w:sz w:val="20"/>
          <w:szCs w:val="20"/>
          <w:color w:val="auto"/>
        </w:rPr>
      </w:pPr>
    </w:p>
    <w:p>
      <w:pPr>
        <w:jc w:val="both"/>
        <w:ind w:firstLine="619"/>
        <w:spacing w:after="0" w:line="222" w:lineRule="auto"/>
        <w:rPr>
          <w:sz w:val="20"/>
          <w:szCs w:val="20"/>
          <w:color w:val="auto"/>
        </w:rPr>
      </w:pPr>
      <w:r>
        <w:rPr>
          <w:rFonts w:ascii="Arial" w:cs="Arial" w:eastAsia="Arial" w:hAnsi="Arial"/>
          <w:sz w:val="20"/>
          <w:szCs w:val="20"/>
          <w:color w:val="auto"/>
        </w:rPr>
        <w:t xml:space="preserve">Section 10.25. </w:t>
      </w:r>
      <w:r>
        <w:rPr>
          <w:rFonts w:ascii="Arial" w:cs="Arial" w:eastAsia="Arial" w:hAnsi="Arial"/>
          <w:sz w:val="20"/>
          <w:szCs w:val="20"/>
          <w:i w:val="1"/>
          <w:iCs w:val="1"/>
          <w:color w:val="auto"/>
        </w:rPr>
        <w:t>Acknowledgement Regarding Any Supported QFCs</w:t>
      </w:r>
      <w:r>
        <w:rPr>
          <w:rFonts w:ascii="Arial" w:cs="Arial" w:eastAsia="Arial" w:hAnsi="Arial"/>
          <w:sz w:val="20"/>
          <w:szCs w:val="20"/>
          <w:color w:val="auto"/>
        </w:rPr>
        <w:t>. To the extent that the Loan Documents provide support, through a guarantee or otherwise, for Secured Hedge Agreements or any other agreement or instrument that is a QFC (such support, “</w:t>
      </w:r>
      <w:r>
        <w:rPr>
          <w:rFonts w:ascii="Arial" w:cs="Arial" w:eastAsia="Arial" w:hAnsi="Arial"/>
          <w:sz w:val="20"/>
          <w:szCs w:val="20"/>
          <w:b w:val="1"/>
          <w:bCs w:val="1"/>
          <w:color w:val="auto"/>
        </w:rPr>
        <w:t>QFC Credit Support</w:t>
      </w:r>
      <w:r>
        <w:rPr>
          <w:rFonts w:ascii="Arial" w:cs="Arial" w:eastAsia="Arial" w:hAnsi="Arial"/>
          <w:sz w:val="20"/>
          <w:szCs w:val="20"/>
          <w:color w:val="auto"/>
        </w:rPr>
        <w:t>” and each such QFC a “</w:t>
      </w:r>
      <w:r>
        <w:rPr>
          <w:rFonts w:ascii="Arial" w:cs="Arial" w:eastAsia="Arial" w:hAnsi="Arial"/>
          <w:sz w:val="20"/>
          <w:szCs w:val="20"/>
          <w:b w:val="1"/>
          <w:bCs w:val="1"/>
          <w:color w:val="auto"/>
        </w:rPr>
        <w:t>Supported QFC</w:t>
      </w:r>
      <w:r>
        <w:rPr>
          <w:rFonts w:ascii="Arial" w:cs="Arial" w:eastAsia="Arial" w:hAnsi="Arial"/>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b w:val="1"/>
          <w:bCs w:val="1"/>
          <w:color w:val="auto"/>
        </w:rPr>
        <w:t>U.S. Special Resolution</w:t>
      </w:r>
      <w:r>
        <w:rPr>
          <w:rFonts w:ascii="Arial" w:cs="Arial" w:eastAsia="Arial" w:hAnsi="Arial"/>
          <w:sz w:val="20"/>
          <w:szCs w:val="20"/>
          <w:color w:val="auto"/>
        </w:rPr>
        <w:t xml:space="preserve"> </w:t>
      </w:r>
      <w:r>
        <w:rPr>
          <w:rFonts w:ascii="Arial" w:cs="Arial" w:eastAsia="Arial" w:hAnsi="Arial"/>
          <w:sz w:val="20"/>
          <w:szCs w:val="20"/>
          <w:b w:val="1"/>
          <w:bCs w:val="1"/>
          <w:color w:val="auto"/>
        </w:rPr>
        <w:t>Regimes</w:t>
      </w:r>
      <w:r>
        <w:rPr>
          <w:rFonts w:ascii="Arial" w:cs="Arial" w:eastAsia="Arial" w:hAnsi="Arial"/>
          <w:sz w:val="20"/>
          <w:szCs w:val="20"/>
          <w:color w:val="auto"/>
        </w:rPr>
        <w:t>”) in respect of such Supported QFC and QFC Credit Support (with the provisions below applicable notwithstanding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Loan Documents and any Supported QFC may in fact be stated to be governed by the laws of the State of New York and/or of the United States or any other state of the United States).</w:t>
      </w:r>
    </w:p>
    <w:p>
      <w:pPr>
        <w:spacing w:after="0" w:line="149" w:lineRule="exact"/>
        <w:rPr>
          <w:sz w:val="20"/>
          <w:szCs w:val="20"/>
          <w:color w:val="auto"/>
        </w:rPr>
      </w:pPr>
    </w:p>
    <w:p>
      <w:pPr>
        <w:jc w:val="both"/>
        <w:ind w:firstLine="622"/>
        <w:spacing w:after="0" w:line="215" w:lineRule="auto"/>
        <w:tabs>
          <w:tab w:leader="none" w:pos="1057" w:val="left"/>
        </w:tabs>
        <w:numPr>
          <w:ilvl w:val="0"/>
          <w:numId w:val="273"/>
        </w:numPr>
        <w:rPr>
          <w:rFonts w:ascii="Arial" w:cs="Arial" w:eastAsia="Arial" w:hAnsi="Arial"/>
          <w:sz w:val="21"/>
          <w:szCs w:val="21"/>
          <w:color w:val="auto"/>
        </w:rPr>
      </w:pPr>
      <w:r>
        <w:rPr>
          <w:rFonts w:ascii="Arial" w:cs="Arial" w:eastAsia="Arial" w:hAnsi="Arial"/>
          <w:sz w:val="21"/>
          <w:szCs w:val="21"/>
          <w:color w:val="auto"/>
        </w:rPr>
        <w:t>In the event a Covered Entity that is party to a Supported QFC (each, a “</w:t>
      </w:r>
      <w:r>
        <w:rPr>
          <w:rFonts w:ascii="Arial" w:cs="Arial" w:eastAsia="Arial" w:hAnsi="Arial"/>
          <w:sz w:val="21"/>
          <w:szCs w:val="21"/>
          <w:b w:val="1"/>
          <w:bCs w:val="1"/>
          <w:color w:val="auto"/>
        </w:rPr>
        <w:t>Covered Party</w:t>
      </w:r>
      <w:r>
        <w:rPr>
          <w:rFonts w:ascii="Arial" w:cs="Arial" w:eastAsia="Arial" w:hAnsi="Arial"/>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250</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316" w:lineRule="exact"/>
        <w:rPr>
          <w:sz w:val="20"/>
          <w:szCs w:val="20"/>
          <w:color w:val="auto"/>
        </w:rPr>
      </w:pPr>
    </w:p>
    <w:p>
      <w:pPr>
        <w:jc w:val="both"/>
        <w:ind w:firstLine="6"/>
        <w:spacing w:after="0" w:line="250" w:lineRule="auto"/>
        <w:rPr>
          <w:sz w:val="20"/>
          <w:szCs w:val="20"/>
          <w:color w:val="auto"/>
        </w:rPr>
      </w:pPr>
      <w:r>
        <w:rPr>
          <w:rFonts w:ascii="Arial" w:cs="Arial" w:eastAsia="Arial" w:hAnsi="Arial"/>
          <w:sz w:val="18"/>
          <w:szCs w:val="18"/>
          <w:color w:val="auto"/>
        </w:rPr>
        <w:t>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7"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8"/>
          <w:szCs w:val="18"/>
          <w:color w:val="auto"/>
        </w:rPr>
        <w:t>As used in this Section 10.25, the following terms have the following meanings:</w:t>
      </w:r>
    </w:p>
    <w:p>
      <w:pPr>
        <w:spacing w:after="0" w:line="165" w:lineRule="exact"/>
        <w:rPr>
          <w:sz w:val="20"/>
          <w:szCs w:val="20"/>
          <w:color w:val="auto"/>
        </w:rPr>
      </w:pPr>
    </w:p>
    <w:p>
      <w:pPr>
        <w:ind w:firstLine="622"/>
        <w:spacing w:after="0" w:line="236" w:lineRule="auto"/>
        <w:tabs>
          <w:tab w:leader="none" w:pos="1033" w:val="left"/>
        </w:tabs>
        <w:numPr>
          <w:ilvl w:val="0"/>
          <w:numId w:val="2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BHC Act Affiliate</w:t>
      </w:r>
      <w:r>
        <w:rPr>
          <w:rFonts w:ascii="Arial" w:cs="Arial" w:eastAsia="Arial" w:hAnsi="Arial"/>
          <w:sz w:val="21"/>
          <w:szCs w:val="21"/>
          <w:color w:val="auto"/>
        </w:rPr>
        <w:t>” of a party means an “affiliate” (as such term is defined under, and interpreted in accordance with, 12 U.S.C. 1841(k)) of such party.</w:t>
      </w:r>
    </w:p>
    <w:p>
      <w:pPr>
        <w:spacing w:after="0" w:line="143" w:lineRule="exact"/>
        <w:rPr>
          <w:rFonts w:ascii="Arial" w:cs="Arial" w:eastAsia="Arial" w:hAnsi="Arial"/>
          <w:sz w:val="21"/>
          <w:szCs w:val="21"/>
          <w:color w:val="auto"/>
        </w:rPr>
      </w:pPr>
    </w:p>
    <w:p>
      <w:pPr>
        <w:jc w:val="both"/>
        <w:ind w:firstLine="622"/>
        <w:spacing w:after="0" w:line="237" w:lineRule="auto"/>
        <w:tabs>
          <w:tab w:leader="none" w:pos="1219" w:val="left"/>
        </w:tabs>
        <w:numPr>
          <w:ilvl w:val="0"/>
          <w:numId w:val="2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43" w:lineRule="exact"/>
        <w:rPr>
          <w:rFonts w:ascii="Arial" w:cs="Arial" w:eastAsia="Arial" w:hAnsi="Arial"/>
          <w:sz w:val="20"/>
          <w:szCs w:val="20"/>
          <w:color w:val="auto"/>
        </w:rPr>
      </w:pPr>
    </w:p>
    <w:p>
      <w:pPr>
        <w:ind w:firstLine="622"/>
        <w:spacing w:after="0" w:line="236" w:lineRule="auto"/>
        <w:tabs>
          <w:tab w:leader="none" w:pos="1225" w:val="left"/>
        </w:tabs>
        <w:numPr>
          <w:ilvl w:val="0"/>
          <w:numId w:val="2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 Right</w:t>
      </w:r>
      <w:r>
        <w:rPr>
          <w:rFonts w:ascii="Arial" w:cs="Arial" w:eastAsia="Arial" w:hAnsi="Arial"/>
          <w:sz w:val="21"/>
          <w:szCs w:val="21"/>
          <w:color w:val="auto"/>
        </w:rPr>
        <w:t>” has the meaning assigned to that term in, and shall be interpreted in accordance with, 12 C.F.R. §§ 252.81, 47.2 or 382.1, as applicable.</w:t>
      </w:r>
    </w:p>
    <w:p>
      <w:pPr>
        <w:spacing w:after="0" w:line="143" w:lineRule="exact"/>
        <w:rPr>
          <w:rFonts w:ascii="Arial" w:cs="Arial" w:eastAsia="Arial" w:hAnsi="Arial"/>
          <w:sz w:val="21"/>
          <w:szCs w:val="21"/>
          <w:color w:val="auto"/>
        </w:rPr>
      </w:pPr>
    </w:p>
    <w:p>
      <w:pPr>
        <w:ind w:firstLine="622"/>
        <w:spacing w:after="0" w:line="236" w:lineRule="auto"/>
        <w:tabs>
          <w:tab w:leader="none" w:pos="1123" w:val="left"/>
        </w:tabs>
        <w:numPr>
          <w:ilvl w:val="0"/>
          <w:numId w:val="2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QFC</w:t>
      </w:r>
      <w:r>
        <w:rPr>
          <w:rFonts w:ascii="Arial" w:cs="Arial" w:eastAsia="Arial" w:hAnsi="Arial"/>
          <w:sz w:val="21"/>
          <w:szCs w:val="21"/>
          <w:color w:val="auto"/>
        </w:rPr>
        <w:t>” has the meaning assigned to the term “qualified financial contract” in, and shall be interpreted in accordance with, 12 U.S.C. 5390(c)(8)(D).</w:t>
      </w:r>
    </w:p>
    <w:p>
      <w:pPr>
        <w:spacing w:after="0" w:line="150" w:lineRule="exact"/>
        <w:rPr>
          <w:sz w:val="20"/>
          <w:szCs w:val="20"/>
          <w:color w:val="auto"/>
        </w:rPr>
      </w:pPr>
    </w:p>
    <w:p>
      <w:pPr>
        <w:ind w:left="620"/>
        <w:spacing w:after="0"/>
        <w:tabs>
          <w:tab w:leader="none" w:pos="2000" w:val="left"/>
        </w:tabs>
        <w:rPr>
          <w:sz w:val="20"/>
          <w:szCs w:val="20"/>
          <w:color w:val="auto"/>
        </w:rPr>
      </w:pPr>
      <w:r>
        <w:rPr>
          <w:rFonts w:ascii="Arial" w:cs="Arial" w:eastAsia="Arial" w:hAnsi="Arial"/>
          <w:sz w:val="21"/>
          <w:szCs w:val="21"/>
          <w:color w:val="auto"/>
        </w:rPr>
        <w:t>Section 10.26.</w:t>
      </w:r>
      <w:r>
        <w:rPr>
          <w:sz w:val="20"/>
          <w:szCs w:val="20"/>
          <w:color w:val="auto"/>
        </w:rPr>
        <w:tab/>
      </w:r>
      <w:r>
        <w:rPr>
          <w:rFonts w:ascii="Arial" w:cs="Arial" w:eastAsia="Arial" w:hAnsi="Arial"/>
          <w:sz w:val="18"/>
          <w:szCs w:val="18"/>
          <w:i w:val="1"/>
          <w:iCs w:val="1"/>
          <w:color w:val="auto"/>
        </w:rPr>
        <w:t>Assumption, Release and Reaffirmation</w:t>
      </w:r>
      <w:r>
        <w:rPr>
          <w:rFonts w:ascii="Arial" w:cs="Arial" w:eastAsia="Arial" w:hAnsi="Arial"/>
          <w:sz w:val="18"/>
          <w:szCs w:val="18"/>
          <w:color w:val="auto"/>
        </w:rPr>
        <w:t>.</w:t>
      </w:r>
    </w:p>
    <w:p>
      <w:pPr>
        <w:spacing w:after="0" w:line="171" w:lineRule="exact"/>
        <w:rPr>
          <w:sz w:val="20"/>
          <w:szCs w:val="20"/>
          <w:color w:val="auto"/>
        </w:rPr>
      </w:pPr>
    </w:p>
    <w:p>
      <w:pPr>
        <w:ind w:left="1060" w:hanging="438"/>
        <w:spacing w:after="0"/>
        <w:tabs>
          <w:tab w:leader="none" w:pos="106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At any time following the Restatement Date and without affecting the obligations of the Guarantors other than TU MidCo</w:t>
      </w:r>
    </w:p>
    <w:p>
      <w:pPr>
        <w:spacing w:after="0" w:line="5" w:lineRule="exact"/>
        <w:rPr>
          <w:rFonts w:ascii="Arial" w:cs="Arial" w:eastAsia="Arial" w:hAnsi="Arial"/>
          <w:sz w:val="19"/>
          <w:szCs w:val="19"/>
          <w:color w:val="auto"/>
        </w:rPr>
      </w:pPr>
    </w:p>
    <w:p>
      <w:pPr>
        <w:jc w:val="both"/>
        <w:ind w:firstLine="3"/>
        <w:spacing w:after="0" w:line="218" w:lineRule="auto"/>
        <w:tabs>
          <w:tab w:leader="none" w:pos="303" w:val="left"/>
        </w:tabs>
        <w:numPr>
          <w:ilvl w:val="0"/>
          <w:numId w:val="276"/>
        </w:numPr>
        <w:rPr>
          <w:rFonts w:ascii="Arial" w:cs="Arial" w:eastAsia="Arial" w:hAnsi="Arial"/>
          <w:sz w:val="20"/>
          <w:szCs w:val="20"/>
          <w:color w:val="auto"/>
        </w:rPr>
      </w:pPr>
      <w:r>
        <w:rPr>
          <w:rFonts w:ascii="Arial" w:cs="Arial" w:eastAsia="Arial" w:hAnsi="Arial"/>
          <w:sz w:val="20"/>
          <w:szCs w:val="20"/>
          <w:color w:val="auto"/>
        </w:rPr>
        <w:t>TU MidCo may assign all of its rights, title, interests, duties, liabilities and obligations (including the Obligations) under the Loan Documents as Holdings and a Guarantor to TU BidCo (TU BidCo, in such capacity, “</w:t>
      </w:r>
      <w:r>
        <w:rPr>
          <w:rFonts w:ascii="Arial" w:cs="Arial" w:eastAsia="Arial" w:hAnsi="Arial"/>
          <w:sz w:val="20"/>
          <w:szCs w:val="20"/>
          <w:b w:val="1"/>
          <w:bCs w:val="1"/>
          <w:color w:val="auto"/>
        </w:rPr>
        <w:t>New Holdings</w:t>
      </w:r>
      <w:r>
        <w:rPr>
          <w:rFonts w:ascii="Arial" w:cs="Arial" w:eastAsia="Arial" w:hAnsi="Arial"/>
          <w:sz w:val="20"/>
          <w:szCs w:val="20"/>
          <w:color w:val="auto"/>
        </w:rPr>
        <w:t>”), and New Holdings will assume all of such rights, title, interests, duties, liabilities and obligations (the “</w:t>
      </w:r>
      <w:r>
        <w:rPr>
          <w:rFonts w:ascii="Arial" w:cs="Arial" w:eastAsia="Arial" w:hAnsi="Arial"/>
          <w:sz w:val="20"/>
          <w:szCs w:val="20"/>
          <w:b w:val="1"/>
          <w:bCs w:val="1"/>
          <w:color w:val="auto"/>
        </w:rPr>
        <w:t>Holdings Assignment and Assumption</w:t>
      </w:r>
      <w:r>
        <w:rPr>
          <w:rFonts w:ascii="Arial" w:cs="Arial" w:eastAsia="Arial" w:hAnsi="Arial"/>
          <w:sz w:val="20"/>
          <w:szCs w:val="20"/>
          <w:color w:val="auto"/>
        </w:rPr>
        <w:t>”), (y) the TU BidCo may assign all of its rights, title, interests, duties, liabilities and obligations (including the Obligations) under the Loan Documents as the Borrower to TaskUs Holdings, Inc. (“</w:t>
      </w:r>
      <w:r>
        <w:rPr>
          <w:rFonts w:ascii="Arial" w:cs="Arial" w:eastAsia="Arial" w:hAnsi="Arial"/>
          <w:sz w:val="20"/>
          <w:szCs w:val="20"/>
          <w:b w:val="1"/>
          <w:bCs w:val="1"/>
          <w:color w:val="auto"/>
        </w:rPr>
        <w:t>New Borrower</w:t>
      </w:r>
      <w:r>
        <w:rPr>
          <w:rFonts w:ascii="Arial" w:cs="Arial" w:eastAsia="Arial" w:hAnsi="Arial"/>
          <w:sz w:val="20"/>
          <w:szCs w:val="20"/>
          <w:color w:val="auto"/>
        </w:rPr>
        <w:t>”), and the New Borrower will assume all of such rights, title, interests, duties, liabilities and obligations and (z) immediately after giving effect to the Holdings Assignment and Assumption, and without affecting the continuing rights, title, interest, duties, liabilities and obligations of New Holdings, TU MidCo shall be released from its all of its rights, title, interests, duties, liabilities and obligations (including the Obligations) under the Loan Documents (if any) as Holdings and a Guarantor (the foregoing clauses (x), (y) and (z), collectively, the “</w:t>
      </w:r>
      <w:r>
        <w:rPr>
          <w:rFonts w:ascii="Arial" w:cs="Arial" w:eastAsia="Arial" w:hAnsi="Arial"/>
          <w:sz w:val="20"/>
          <w:szCs w:val="20"/>
          <w:b w:val="1"/>
          <w:bCs w:val="1"/>
          <w:color w:val="auto"/>
        </w:rPr>
        <w:t>Assumption and Release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Assumption and Release shall only be permitted so long as (i) no Default or Event of Default has occurred and is continuing at the time of the Assumption and Release or shall result therefrom, (ii) to the extent any assets of the Borrower and the Restricted Subsidiaries immediately prior to the Assumption and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251</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316" w:lineRule="exact"/>
        <w:rPr>
          <w:sz w:val="20"/>
          <w:szCs w:val="20"/>
          <w:color w:val="auto"/>
        </w:rPr>
      </w:pPr>
    </w:p>
    <w:p>
      <w:pPr>
        <w:jc w:val="both"/>
        <w:ind w:firstLine="6"/>
        <w:spacing w:after="0" w:line="231" w:lineRule="auto"/>
        <w:rPr>
          <w:sz w:val="20"/>
          <w:szCs w:val="20"/>
          <w:color w:val="auto"/>
        </w:rPr>
      </w:pPr>
      <w:r>
        <w:rPr>
          <w:rFonts w:ascii="Arial" w:cs="Arial" w:eastAsia="Arial" w:hAnsi="Arial"/>
          <w:sz w:val="19"/>
          <w:szCs w:val="19"/>
          <w:color w:val="auto"/>
        </w:rPr>
        <w:t>are no longer held by the New Borrower and the Restricted Subsidiaries as a result of the Assumption and Release immediately thereafter, the Borrower shall be deemed to have made a Restricted Payment in an amount equal to the fair market value of such assets no longer held by the New Borrower and the Restricted Subsidiaries immediately after giving effect to the Assumption and Release (and shall, for the avoidance of doubt, not effectuate the Assumption and Release unless it has the capacity to make such Restricted Payments pursuant to Section 7.06) and (iii) the Administrative Agent and each Lender shall have received and be satisfied with all documentation and other information about the New Borrower and New Holdings required under applicable “know your customer” and anti-money laundering rules and regulations, including the USA PATRIOT Act that has been requested by the Administrative Agent or such Lender in writing. If the New Borrower qualifies as a “legal entity customer” under the Beneficial Ownership Regulation, the New Borrower shall have delivered to the Administrative Agent and each Lender a Beneficial Ownership Certification to the extent requested by the Administrative Agent or such Lender. Each Agent and each Lender hereby consents to the Assumption and Release. Each of the Lenders authorizes the Administrative Agent and the Collateral Agent to execute and deliver such documents, and take such other actions as the Borrower or Holdings may reasonably request (including filing a UCC termination with respect to TU MidCo) to give effect to the Assumption and Release.</w:t>
      </w:r>
    </w:p>
    <w:p>
      <w:pPr>
        <w:spacing w:after="0" w:line="180" w:lineRule="exact"/>
        <w:rPr>
          <w:sz w:val="20"/>
          <w:szCs w:val="20"/>
          <w:color w:val="auto"/>
        </w:rPr>
      </w:pPr>
    </w:p>
    <w:p>
      <w:pPr>
        <w:jc w:val="both"/>
        <w:ind w:firstLine="622"/>
        <w:spacing w:after="0" w:line="255" w:lineRule="auto"/>
        <w:tabs>
          <w:tab w:leader="none" w:pos="92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From and after the Assumption and Release, New Holdings shall be “Holdings” and a “Guarantor” under this Agreement and the other Loan Documents and a “Grantor” under the Security Agreement. New Holdings shall represent and warrant that, as of the date of the Assumption and Release, it directly owns 100% of the Equity Interests of the Borrower. On the date of the Assumption and Release, to confirm its continuing obligations under the Security Agreement, New Holdings shall execute and deliver a supplement to the Security Agreement in substantially the form attached hereto as Exhibit N (the “</w:t>
      </w:r>
      <w:r>
        <w:rPr>
          <w:rFonts w:ascii="Arial" w:cs="Arial" w:eastAsia="Arial" w:hAnsi="Arial"/>
          <w:sz w:val="18"/>
          <w:szCs w:val="18"/>
          <w:b w:val="1"/>
          <w:bCs w:val="1"/>
          <w:color w:val="auto"/>
        </w:rPr>
        <w:t>New Holdings and New Borrower Supplement</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firstLine="622"/>
        <w:spacing w:after="0" w:line="219" w:lineRule="auto"/>
        <w:tabs>
          <w:tab w:leader="none" w:pos="92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From and after the Assumption and Release, New Borrower shall be the “Borrower” under this Agreement and the other Loan Documents and shall continue to be a “Grantor” under the Security Agreement. On the date of the Assumption and Release, to confirm its continuing obligations under the Security Agreement, the New Borrower shall execute and deliver the New Holdings and New Borrower Supplement.</w:t>
      </w:r>
    </w:p>
    <w:p>
      <w:pPr>
        <w:spacing w:after="0" w:line="149" w:lineRule="exact"/>
        <w:rPr>
          <w:rFonts w:ascii="Arial" w:cs="Arial" w:eastAsia="Arial" w:hAnsi="Arial"/>
          <w:sz w:val="21"/>
          <w:szCs w:val="21"/>
          <w:color w:val="auto"/>
        </w:rPr>
      </w:pPr>
    </w:p>
    <w:p>
      <w:pPr>
        <w:ind w:firstLine="622"/>
        <w:spacing w:after="0" w:line="250" w:lineRule="auto"/>
        <w:tabs>
          <w:tab w:leader="none" w:pos="1164" w:val="left"/>
        </w:tabs>
        <w:numPr>
          <w:ilvl w:val="0"/>
          <w:numId w:val="277"/>
        </w:numPr>
        <w:rPr>
          <w:rFonts w:ascii="Arial" w:cs="Arial" w:eastAsia="Arial" w:hAnsi="Arial"/>
          <w:sz w:val="20"/>
          <w:szCs w:val="20"/>
          <w:color w:val="auto"/>
        </w:rPr>
      </w:pPr>
      <w:r>
        <w:rPr>
          <w:rFonts w:ascii="Arial" w:cs="Arial" w:eastAsia="Arial" w:hAnsi="Arial"/>
          <w:sz w:val="20"/>
          <w:szCs w:val="20"/>
          <w:color w:val="auto"/>
        </w:rPr>
        <w:t>Pursuant to Section 6.02, each of the Loan Parties (if required) and the Administrative Agent agree, and each Lender hereby consents, to supplement the Security Agreement by the New Holdings and New Borrower Supplement.</w:t>
      </w:r>
    </w:p>
    <w:p>
      <w:pPr>
        <w:spacing w:after="0" w:line="140" w:lineRule="exact"/>
        <w:rPr>
          <w:sz w:val="20"/>
          <w:szCs w:val="20"/>
          <w:color w:val="auto"/>
        </w:rPr>
      </w:pPr>
    </w:p>
    <w:p>
      <w:pPr>
        <w:ind w:left="620"/>
        <w:spacing w:after="0"/>
        <w:tabs>
          <w:tab w:leader="none" w:pos="2000" w:val="left"/>
        </w:tabs>
        <w:rPr>
          <w:sz w:val="20"/>
          <w:szCs w:val="20"/>
          <w:color w:val="auto"/>
        </w:rPr>
      </w:pPr>
      <w:r>
        <w:rPr>
          <w:rFonts w:ascii="Arial" w:cs="Arial" w:eastAsia="Arial" w:hAnsi="Arial"/>
          <w:sz w:val="21"/>
          <w:szCs w:val="21"/>
          <w:color w:val="auto"/>
        </w:rPr>
        <w:t>Section 10.27.</w:t>
      </w:r>
      <w:r>
        <w:rPr>
          <w:sz w:val="20"/>
          <w:szCs w:val="20"/>
          <w:color w:val="auto"/>
        </w:rPr>
        <w:tab/>
      </w:r>
      <w:r>
        <w:rPr>
          <w:rFonts w:ascii="Arial" w:cs="Arial" w:eastAsia="Arial" w:hAnsi="Arial"/>
          <w:sz w:val="17"/>
          <w:szCs w:val="17"/>
          <w:i w:val="1"/>
          <w:iCs w:val="1"/>
          <w:color w:val="auto"/>
        </w:rPr>
        <w:t>Amendment and Restatement</w:t>
      </w:r>
      <w:r>
        <w:rPr>
          <w:rFonts w:ascii="Arial" w:cs="Arial" w:eastAsia="Arial" w:hAnsi="Arial"/>
          <w:sz w:val="17"/>
          <w:szCs w:val="17"/>
          <w:color w:val="auto"/>
        </w:rPr>
        <w:t>.</w:t>
      </w:r>
    </w:p>
    <w:p>
      <w:pPr>
        <w:spacing w:after="0" w:line="171" w:lineRule="exact"/>
        <w:rPr>
          <w:sz w:val="20"/>
          <w:szCs w:val="20"/>
          <w:color w:val="auto"/>
        </w:rPr>
      </w:pPr>
    </w:p>
    <w:p>
      <w:pPr>
        <w:jc w:val="both"/>
        <w:ind w:firstLine="622"/>
        <w:spacing w:after="0" w:line="230" w:lineRule="auto"/>
        <w:tabs>
          <w:tab w:leader="none" w:pos="1146"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This Agreement amends and restates the Original Credit Agreement in its entirety. The Original Credit Agreement, as amended and restated by this Agreement, and each of the other Loan Documents are and shall continue to be in full force and effect. Each Loan Party hereby expressly acknowledges, ratifies and confirms the terms of this Agreement and the amendment and restatement of the Original Credit Agreement occurring on the Restatement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252</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316" w:lineRule="exact"/>
        <w:rPr>
          <w:sz w:val="20"/>
          <w:szCs w:val="20"/>
          <w:color w:val="auto"/>
        </w:rPr>
      </w:pPr>
    </w:p>
    <w:p>
      <w:pPr>
        <w:jc w:val="both"/>
        <w:ind w:firstLine="6"/>
        <w:spacing w:after="0" w:line="235" w:lineRule="auto"/>
        <w:rPr>
          <w:sz w:val="20"/>
          <w:szCs w:val="20"/>
          <w:color w:val="auto"/>
        </w:rPr>
      </w:pPr>
      <w:r>
        <w:rPr>
          <w:rFonts w:ascii="Arial" w:cs="Arial" w:eastAsia="Arial" w:hAnsi="Arial"/>
          <w:sz w:val="19"/>
          <w:szCs w:val="19"/>
          <w:color w:val="auto"/>
        </w:rPr>
        <w:t>reaffirms, as of the Restatement Date, (i) the covenants and agreements contained in each Loan Document to which it is a party, including, in each case, such covenants and agreements as in effect immediately after giving effect to the amendments and the transactions contemplated hereby on the Restatement Date and (ii) its guarantee of the Obligations under the Guaranty, as applicable, and its grant of Liens on the Collateral to secure the Obligations pursuant to the Collateral Documents. Without limiting the generality of the foregoing, (i) each Guarantor confirms its Guarantee of the Obligations after giving effect to the Assumption and Release and (ii) the Collateral Documents and all of the Collateral described therein do and shall continue to secure the payment of all of the Obligations (including, the Obligations of Holdings and the Borrower under the Loan Documents).</w:t>
      </w:r>
    </w:p>
    <w:p>
      <w:pPr>
        <w:spacing w:after="0" w:line="178"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The execution, delivery and effectiveness of this Agreement does not, except as expressly provided herein, operate as a waiver of any right, power or remedy of any Lender or the Administrative Agent under any of the Loan Documents nor constitute a waiver of any provision of any of the Loan Documents. This Agreement shall not constitute a novation of the Original Credit Agreement or any other Loan Document.</w:t>
      </w:r>
    </w:p>
    <w:p>
      <w:pPr>
        <w:spacing w:after="0" w:line="200" w:lineRule="exact"/>
        <w:rPr>
          <w:sz w:val="20"/>
          <w:szCs w:val="20"/>
          <w:color w:val="auto"/>
        </w:rPr>
      </w:pPr>
    </w:p>
    <w:p>
      <w:pPr>
        <w:spacing w:after="0" w:line="371"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ARTICLE 11</w:t>
      </w:r>
    </w:p>
    <w:p>
      <w:pPr>
        <w:ind w:left="5040"/>
        <w:spacing w:after="0"/>
        <w:rPr>
          <w:sz w:val="20"/>
          <w:szCs w:val="20"/>
          <w:color w:val="auto"/>
        </w:rPr>
      </w:pPr>
      <w:r>
        <w:rPr>
          <w:rFonts w:ascii="Arial" w:cs="Arial" w:eastAsia="Arial" w:hAnsi="Arial"/>
          <w:sz w:val="21"/>
          <w:szCs w:val="21"/>
          <w:color w:val="auto"/>
        </w:rPr>
        <w:t>GUARANTY</w:t>
      </w:r>
    </w:p>
    <w:p>
      <w:pPr>
        <w:spacing w:after="0" w:line="153"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i w:val="1"/>
          <w:iCs w:val="1"/>
          <w:color w:val="auto"/>
        </w:rPr>
        <w:t>The Guaranty</w:t>
      </w:r>
      <w:r>
        <w:rPr>
          <w:rFonts w:ascii="Arial" w:cs="Arial" w:eastAsia="Arial" w:hAnsi="Arial"/>
          <w:sz w:val="19"/>
          <w:szCs w:val="19"/>
          <w:color w:val="auto"/>
        </w:rPr>
        <w:t>. Each Guarantor hereby jointly and severally with the other Guarantors guarantees, as a primary obligor and not merely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on the Loans made by the Lenders to, and the Notes held by each Lender of, the Borrower, and all other Obligations (other than with respect to any Guarantor, Excluded Swap Obligations of such Guarantor) from time to time owing to the Secured Parties by the Borrower or any of its Subsidiaries under any Loan Document or any Secured Hedge Agreement or any Treasury Services Agreement, in each case strictly in accordance with the terms thereof (such obligations being herein collectively called the “</w:t>
      </w:r>
      <w:r>
        <w:rPr>
          <w:rFonts w:ascii="Arial" w:cs="Arial" w:eastAsia="Arial" w:hAnsi="Arial"/>
          <w:sz w:val="19"/>
          <w:szCs w:val="19"/>
          <w:b w:val="1"/>
          <w:bCs w:val="1"/>
          <w:color w:val="auto"/>
        </w:rPr>
        <w:t>Guaranteed Obligations</w:t>
      </w:r>
      <w:r>
        <w:rPr>
          <w:rFonts w:ascii="Arial" w:cs="Arial" w:eastAsia="Arial" w:hAnsi="Arial"/>
          <w:sz w:val="19"/>
          <w:szCs w:val="19"/>
          <w:color w:val="auto"/>
        </w:rPr>
        <w:t>”). The Guarantors hereby jointly and severally agree that if the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50"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11.02. </w:t>
      </w:r>
      <w:r>
        <w:rPr>
          <w:rFonts w:ascii="Arial" w:cs="Arial" w:eastAsia="Arial" w:hAnsi="Arial"/>
          <w:sz w:val="21"/>
          <w:szCs w:val="21"/>
          <w:i w:val="1"/>
          <w:iCs w:val="1"/>
          <w:color w:val="auto"/>
        </w:rPr>
        <w:t>Obligations Unconditional</w:t>
      </w:r>
      <w:r>
        <w:rPr>
          <w:rFonts w:ascii="Arial" w:cs="Arial" w:eastAsia="Arial" w:hAnsi="Arial"/>
          <w:sz w:val="21"/>
          <w:szCs w:val="21"/>
          <w:color w:val="auto"/>
        </w:rPr>
        <w:t>. The obligations of the Guarantors under Section 11.01 shall constitute a guarantee of payment and to the fullest extent permitted by applicable Law, are absolute, irrevocable and unconditional, joint and several, irrespective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253</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316" w:lineRule="exact"/>
        <w:rPr>
          <w:sz w:val="20"/>
          <w:szCs w:val="20"/>
          <w:color w:val="auto"/>
        </w:rPr>
      </w:pPr>
    </w:p>
    <w:p>
      <w:pPr>
        <w:jc w:val="both"/>
        <w:ind w:firstLine="6"/>
        <w:spacing w:after="0" w:line="235" w:lineRule="auto"/>
        <w:rPr>
          <w:sz w:val="20"/>
          <w:szCs w:val="20"/>
          <w:color w:val="auto"/>
        </w:rPr>
      </w:pPr>
      <w:r>
        <w:rPr>
          <w:rFonts w:ascii="Arial" w:cs="Arial" w:eastAsia="Arial" w:hAnsi="Arial"/>
          <w:sz w:val="19"/>
          <w:szCs w:val="19"/>
          <w:color w:val="auto"/>
        </w:rPr>
        <w:t>value, genuineness, validity, regularity or enforceability of the Guaranteed Obligations of the Borrower under this Agreement, the Secured Hedge Agreements, the Treasury Services Agreements,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53" w:lineRule="exact"/>
        <w:rPr>
          <w:sz w:val="20"/>
          <w:szCs w:val="20"/>
          <w:color w:val="auto"/>
        </w:rPr>
      </w:pPr>
    </w:p>
    <w:p>
      <w:pPr>
        <w:jc w:val="both"/>
        <w:ind w:left="620" w:firstLine="621"/>
        <w:spacing w:after="0" w:line="224" w:lineRule="auto"/>
        <w:tabs>
          <w:tab w:leader="none" w:pos="1662" w:val="left"/>
        </w:tabs>
        <w:numPr>
          <w:ilvl w:val="0"/>
          <w:numId w:val="279"/>
        </w:numPr>
        <w:rPr>
          <w:rFonts w:ascii="Arial" w:cs="Arial" w:eastAsia="Arial" w:hAnsi="Arial"/>
          <w:sz w:val="21"/>
          <w:szCs w:val="21"/>
          <w:color w:val="auto"/>
        </w:rPr>
      </w:pPr>
      <w:r>
        <w:rPr>
          <w:rFonts w:ascii="Arial" w:cs="Arial" w:eastAsia="Arial" w:hAnsi="Arial"/>
          <w:sz w:val="21"/>
          <w:szCs w:val="21"/>
          <w:color w:val="auto"/>
        </w:rPr>
        <w:t>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148" w:lineRule="exact"/>
        <w:rPr>
          <w:rFonts w:ascii="Arial" w:cs="Arial" w:eastAsia="Arial" w:hAnsi="Arial"/>
          <w:sz w:val="21"/>
          <w:szCs w:val="21"/>
          <w:color w:val="auto"/>
        </w:rPr>
      </w:pPr>
    </w:p>
    <w:p>
      <w:pPr>
        <w:ind w:left="620" w:firstLine="621"/>
        <w:spacing w:after="0" w:line="233" w:lineRule="auto"/>
        <w:tabs>
          <w:tab w:leader="none" w:pos="1701" w:val="left"/>
        </w:tabs>
        <w:numPr>
          <w:ilvl w:val="0"/>
          <w:numId w:val="279"/>
        </w:numPr>
        <w:rPr>
          <w:rFonts w:ascii="Arial" w:cs="Arial" w:eastAsia="Arial" w:hAnsi="Arial"/>
          <w:sz w:val="21"/>
          <w:szCs w:val="21"/>
          <w:color w:val="auto"/>
        </w:rPr>
      </w:pPr>
      <w:r>
        <w:rPr>
          <w:rFonts w:ascii="Arial" w:cs="Arial" w:eastAsia="Arial" w:hAnsi="Arial"/>
          <w:sz w:val="21"/>
          <w:szCs w:val="21"/>
          <w:color w:val="auto"/>
        </w:rPr>
        <w:t>any of the acts mentioned in any of the provisions of this Agreement or the Notes, if any, or any other agreement or instrument referred to herein or therein shall be done or omitted;</w:t>
      </w:r>
    </w:p>
    <w:p>
      <w:pPr>
        <w:spacing w:after="0" w:line="149" w:lineRule="exact"/>
        <w:rPr>
          <w:rFonts w:ascii="Arial" w:cs="Arial" w:eastAsia="Arial" w:hAnsi="Arial"/>
          <w:sz w:val="21"/>
          <w:szCs w:val="21"/>
          <w:color w:val="auto"/>
        </w:rPr>
      </w:pPr>
    </w:p>
    <w:p>
      <w:pPr>
        <w:jc w:val="both"/>
        <w:ind w:left="620" w:firstLine="621"/>
        <w:spacing w:after="0" w:line="216" w:lineRule="auto"/>
        <w:tabs>
          <w:tab w:leader="none" w:pos="1772" w:val="left"/>
        </w:tabs>
        <w:numPr>
          <w:ilvl w:val="0"/>
          <w:numId w:val="279"/>
        </w:numPr>
        <w:rPr>
          <w:rFonts w:ascii="Arial" w:cs="Arial" w:eastAsia="Arial" w:hAnsi="Arial"/>
          <w:sz w:val="21"/>
          <w:szCs w:val="21"/>
          <w:color w:val="auto"/>
        </w:rPr>
      </w:pPr>
      <w:r>
        <w:rPr>
          <w:rFonts w:ascii="Arial" w:cs="Arial" w:eastAsia="Arial" w:hAnsi="Arial"/>
          <w:sz w:val="21"/>
          <w:szCs w:val="21"/>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except as permitted pursuant to Section 11.10 any security therefor shall be released or exchanged in whole or in part or otherwise dealt with;</w:t>
      </w:r>
    </w:p>
    <w:p>
      <w:pPr>
        <w:spacing w:after="0" w:line="150" w:lineRule="exact"/>
        <w:rPr>
          <w:rFonts w:ascii="Arial" w:cs="Arial" w:eastAsia="Arial" w:hAnsi="Arial"/>
          <w:sz w:val="21"/>
          <w:szCs w:val="21"/>
          <w:color w:val="auto"/>
        </w:rPr>
      </w:pPr>
    </w:p>
    <w:p>
      <w:pPr>
        <w:ind w:left="620" w:firstLine="621"/>
        <w:spacing w:after="0" w:line="233" w:lineRule="auto"/>
        <w:tabs>
          <w:tab w:leader="none" w:pos="1758" w:val="left"/>
        </w:tabs>
        <w:numPr>
          <w:ilvl w:val="0"/>
          <w:numId w:val="279"/>
        </w:numPr>
        <w:rPr>
          <w:rFonts w:ascii="Arial" w:cs="Arial" w:eastAsia="Arial" w:hAnsi="Arial"/>
          <w:sz w:val="21"/>
          <w:szCs w:val="21"/>
          <w:color w:val="auto"/>
        </w:rPr>
      </w:pPr>
      <w:r>
        <w:rPr>
          <w:rFonts w:ascii="Arial" w:cs="Arial" w:eastAsia="Arial" w:hAnsi="Arial"/>
          <w:sz w:val="21"/>
          <w:szCs w:val="21"/>
          <w:color w:val="auto"/>
        </w:rPr>
        <w:t>any Lien or security interest granted to, or in favor of, an L/C Issuer or any Lender or Agent as security for any of the Guaranteed Obligations shall fail to be perfected; or</w:t>
      </w:r>
    </w:p>
    <w:p>
      <w:pPr>
        <w:spacing w:after="0" w:line="149" w:lineRule="exact"/>
        <w:rPr>
          <w:rFonts w:ascii="Arial" w:cs="Arial" w:eastAsia="Arial" w:hAnsi="Arial"/>
          <w:sz w:val="21"/>
          <w:szCs w:val="21"/>
          <w:color w:val="auto"/>
        </w:rPr>
      </w:pPr>
    </w:p>
    <w:p>
      <w:pPr>
        <w:ind w:left="1680" w:hanging="439"/>
        <w:spacing w:after="0"/>
        <w:tabs>
          <w:tab w:leader="none" w:pos="1680" w:val="left"/>
        </w:tabs>
        <w:numPr>
          <w:ilvl w:val="0"/>
          <w:numId w:val="279"/>
        </w:numPr>
        <w:rPr>
          <w:rFonts w:ascii="Arial" w:cs="Arial" w:eastAsia="Arial" w:hAnsi="Arial"/>
          <w:sz w:val="21"/>
          <w:szCs w:val="21"/>
          <w:color w:val="auto"/>
        </w:rPr>
      </w:pPr>
      <w:r>
        <w:rPr>
          <w:rFonts w:ascii="Arial" w:cs="Arial" w:eastAsia="Arial" w:hAnsi="Arial"/>
          <w:sz w:val="21"/>
          <w:szCs w:val="21"/>
          <w:color w:val="auto"/>
        </w:rPr>
        <w:t>the release of any other Guarantor pursuant to Section 11.10.</w:t>
      </w:r>
    </w:p>
    <w:p>
      <w:pPr>
        <w:spacing w:after="0" w:line="171"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The Guarantors hereby expressly waive diligence, presentment, demand of payment, protest and, to the extent permitted by Law, all notices whatsoever, and any requirement that any Secured Party exhaust any right, power or remedy or proceed against the Borrower under this Agreement, the Secured Hedge Agreements, the Treasury Services Agreements or the Notes,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Guaranty or acceptance of this Guaranty, and the Guaranteed Obligations, and any of them, shall conclusively be deemed to have been created, contracted or incurred in reliance upon this Guaranty, and all dealings between the Borrower and the Secured Parties shall likewise be conclusively presumed to have been had or consummated in reliance upon this Guaranty. This Guaranty shall be construed as a continuing,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254</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316" w:lineRule="exact"/>
        <w:rPr>
          <w:sz w:val="20"/>
          <w:szCs w:val="20"/>
          <w:color w:val="auto"/>
        </w:rPr>
      </w:pPr>
    </w:p>
    <w:p>
      <w:pPr>
        <w:jc w:val="both"/>
        <w:ind w:firstLine="6"/>
        <w:spacing w:after="0" w:line="234" w:lineRule="auto"/>
        <w:rPr>
          <w:sz w:val="20"/>
          <w:szCs w:val="20"/>
          <w:color w:val="auto"/>
        </w:rPr>
      </w:pPr>
      <w:r>
        <w:rPr>
          <w:rFonts w:ascii="Arial" w:cs="Arial" w:eastAsia="Arial" w:hAnsi="Arial"/>
          <w:sz w:val="19"/>
          <w:szCs w:val="19"/>
          <w:color w:val="auto"/>
        </w:rPr>
        <w:t>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Guaranty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spacing w:after="0" w:line="178"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20"/>
          <w:szCs w:val="20"/>
          <w:color w:val="auto"/>
        </w:rPr>
        <w:t xml:space="preserve">Section 11.03. </w:t>
      </w:r>
      <w:r>
        <w:rPr>
          <w:rFonts w:ascii="Arial" w:cs="Arial" w:eastAsia="Arial" w:hAnsi="Arial"/>
          <w:sz w:val="20"/>
          <w:szCs w:val="20"/>
          <w:i w:val="1"/>
          <w:iCs w:val="1"/>
          <w:color w:val="auto"/>
        </w:rPr>
        <w:t>Reinstatement</w:t>
      </w:r>
      <w:r>
        <w:rPr>
          <w:rFonts w:ascii="Arial" w:cs="Arial" w:eastAsia="Arial" w:hAnsi="Arial"/>
          <w:sz w:val="20"/>
          <w:szCs w:val="20"/>
          <w:color w:val="auto"/>
        </w:rPr>
        <w:t>. The obligations of the Guarantors under this Article 11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insolvency, bankruptcy or reorganization or otherwise.</w:t>
      </w:r>
    </w:p>
    <w:p>
      <w:pPr>
        <w:spacing w:after="0" w:line="150"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Subrogation; Subordination</w:t>
      </w:r>
      <w:r>
        <w:rPr>
          <w:rFonts w:ascii="Arial" w:cs="Arial" w:eastAsia="Arial" w:hAnsi="Arial"/>
          <w:sz w:val="19"/>
          <w:szCs w:val="19"/>
          <w:color w:val="auto"/>
        </w:rPr>
        <w:t>. Each Guarantor hereby agrees that until the payment and satisfaction in full in cash of all Guaranteed Obligations (other than (x) obligations under Secured Hedge Agreements and Treasury Services Agreements not yet due and payable and (y) contingent indemnification obligations not yet accrued and payable) and the expiration or termination of the Commitments of the Lenders under this Agreement, it shall waive any claim and shall not exercise any right or remedy, direct or indirect, arising by reason of any performance by it of its guarantee in Section 11.01, whether by subrogation or otherwise, against the Borrower or any other Guarantor of any of the Guaranteed Obligations or any security for any of the Guaranteed Obligations. Any Indebtedness of any Loan Party permitted pursuant to Section 7.03(b)(ii) or Section 7.03(d) shall be subordinated to such Loan Party’s Obligations in the manner set forth in the Intercompany Note evidencing such Indebtedness.</w:t>
      </w:r>
    </w:p>
    <w:p>
      <w:pPr>
        <w:spacing w:after="0" w:line="152"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9"/>
          <w:szCs w:val="19"/>
          <w:color w:val="auto"/>
        </w:rPr>
        <w:t xml:space="preserve">Section 11.05. </w:t>
      </w:r>
      <w:r>
        <w:rPr>
          <w:rFonts w:ascii="Arial" w:cs="Arial" w:eastAsia="Arial" w:hAnsi="Arial"/>
          <w:sz w:val="19"/>
          <w:szCs w:val="19"/>
          <w:i w:val="1"/>
          <w:iCs w:val="1"/>
          <w:color w:val="auto"/>
        </w:rPr>
        <w:t>Remedies</w:t>
      </w:r>
      <w:r>
        <w:rPr>
          <w:rFonts w:ascii="Arial" w:cs="Arial" w:eastAsia="Arial" w:hAnsi="Arial"/>
          <w:sz w:val="19"/>
          <w:szCs w:val="19"/>
          <w:color w:val="auto"/>
        </w:rPr>
        <w:t>. The Guarantors jointly and severally agree that, as between the Guarantors and the Lenders, the obligations of the Borrower under this Agreement and the Notes, if any, may be declared to be forthwith due and payable as provided in Section 8.02 (and shall be deemed to have become automatically due and payable in the circumstances provided in Section 8.02)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spacing w:after="0" w:line="153"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 xml:space="preserve">Section 11.06. </w:t>
      </w:r>
      <w:r>
        <w:rPr>
          <w:rFonts w:ascii="Arial" w:cs="Arial" w:eastAsia="Arial" w:hAnsi="Arial"/>
          <w:sz w:val="21"/>
          <w:szCs w:val="21"/>
          <w:i w:val="1"/>
          <w:iCs w:val="1"/>
          <w:color w:val="auto"/>
        </w:rPr>
        <w:t>Instrument for the Payment of Money</w:t>
      </w:r>
      <w:r>
        <w:rPr>
          <w:rFonts w:ascii="Arial" w:cs="Arial" w:eastAsia="Arial" w:hAnsi="Arial"/>
          <w:sz w:val="21"/>
          <w:szCs w:val="21"/>
          <w:color w:val="auto"/>
        </w:rPr>
        <w:t>. Each Guarantor hereby acknowledges that the guarantee in this Article 11 constitutes an instrument for the payment of money, and consents and agrees that any Lender or Agent, at its sole option, in the event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255</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dispute by such Guarantor in the payment of any moneys due hereunder, shall have the right to bring a motion-action under New York CPLR Section 3213.</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 xml:space="preserve">Section 11.07. </w:t>
      </w:r>
      <w:r>
        <w:rPr>
          <w:rFonts w:ascii="Arial" w:cs="Arial" w:eastAsia="Arial" w:hAnsi="Arial"/>
          <w:sz w:val="21"/>
          <w:szCs w:val="21"/>
          <w:i w:val="1"/>
          <w:iCs w:val="1"/>
          <w:color w:val="auto"/>
        </w:rPr>
        <w:t>Continuing Guaranty</w:t>
      </w:r>
      <w:r>
        <w:rPr>
          <w:rFonts w:ascii="Arial" w:cs="Arial" w:eastAsia="Arial" w:hAnsi="Arial"/>
          <w:sz w:val="21"/>
          <w:szCs w:val="21"/>
          <w:color w:val="auto"/>
        </w:rPr>
        <w:t>. The guarantee in this Article 11 is a continuing guarantee of payment, and shall apply to all Guaranteed Obligations whenever arising.</w:t>
      </w:r>
    </w:p>
    <w:p>
      <w:pPr>
        <w:spacing w:after="0" w:line="150"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Section 11.08. </w:t>
      </w:r>
      <w:r>
        <w:rPr>
          <w:rFonts w:ascii="Arial" w:cs="Arial" w:eastAsia="Arial" w:hAnsi="Arial"/>
          <w:sz w:val="19"/>
          <w:szCs w:val="19"/>
          <w:i w:val="1"/>
          <w:iCs w:val="1"/>
          <w:color w:val="auto"/>
        </w:rPr>
        <w:t>General Limitation on Guarantee Obligations</w:t>
      </w:r>
      <w:r>
        <w:rPr>
          <w:rFonts w:ascii="Arial" w:cs="Arial" w:eastAsia="Arial" w:hAnsi="Arial"/>
          <w:sz w:val="19"/>
          <w:szCs w:val="19"/>
          <w:color w:val="auto"/>
        </w:rPr>
        <w:t>. In any action or proceeding involving any state corporate, limited partnership or limited liability company law, or any applicable state, federal or foreign bankruptcy, insolvency, reorganization or other Law affecting the rights of creditors generally, if the obligations of any Subsidiary Guarantor under Section 11.01 would otherwise be held or determined to be void, voidable, invalid or unenforceable, or subordinated to the claims of any other creditors, on account of the amount of its liability under Section 11.01, then, notwithstanding any other provision to the contrary, the amount of such liability shall, without any further action by such Subsidiary Guarantor, any Loan Party or any other person, be automatically limited and reduced to the highest amount (after giving effect to the right of contribution established in Section 11.11) that is valid and enforceable and not subordinated to the claims of other creditors as determined in such action or proceeding.</w:t>
      </w:r>
    </w:p>
    <w:p>
      <w:pPr>
        <w:spacing w:after="0" w:line="152"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 xml:space="preserve">Section 11.09. </w:t>
      </w:r>
      <w:r>
        <w:rPr>
          <w:rFonts w:ascii="Arial" w:cs="Arial" w:eastAsia="Arial" w:hAnsi="Arial"/>
          <w:sz w:val="21"/>
          <w:szCs w:val="21"/>
          <w:i w:val="1"/>
          <w:iCs w:val="1"/>
          <w:color w:val="auto"/>
        </w:rPr>
        <w:t>Information</w:t>
      </w:r>
      <w:r>
        <w:rPr>
          <w:rFonts w:ascii="Arial" w:cs="Arial" w:eastAsia="Arial" w:hAnsi="Arial"/>
          <w:sz w:val="21"/>
          <w:szCs w:val="21"/>
          <w:color w:val="auto"/>
        </w:rPr>
        <w:t>. 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Guaranty, and agrees that none of any Agent, any L/C Issuer or any Lender shall have any duty to advise any Guarantor of information known to it regarding those circumstances or risks.</w:t>
      </w:r>
    </w:p>
    <w:p>
      <w:pPr>
        <w:spacing w:after="0" w:line="151"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i w:val="1"/>
          <w:iCs w:val="1"/>
          <w:color w:val="auto"/>
        </w:rPr>
        <w:t>Release of Guarantors</w:t>
      </w:r>
      <w:r>
        <w:rPr>
          <w:rFonts w:ascii="Arial" w:cs="Arial" w:eastAsia="Arial" w:hAnsi="Arial"/>
          <w:sz w:val="19"/>
          <w:szCs w:val="19"/>
          <w:color w:val="auto"/>
        </w:rPr>
        <w:t xml:space="preserve">. If, in compliance with the terms and provisions of the Loan Documents, (i) all or substantially all of the Equity Interests or property of any Subsidiary Guarantor are sold or otherwise transferred as permitted under this Agreement, to a person or persons, none of which is a Loan Party or (ii) any Subsidiary Guarantor becomes an Excluded Subsidiary, such Subsidiary Guarantor shall, upon the consummation of such sale or transfer or upon becoming an Excluded Subsidiary, be automatically released from its obligations under this Agreement (including under Section 10.05 hereof) and its obligations to pledge and grant any Collateral owned by it pursuant to any Collateral Document and the pledge of such Equity Interests to the Collateral Agent pursuant to the Collateral Documents shall be automatically released, and, so long as the Borrower shall have provided the Agents such certifications or documents as any Agent shall reasonably request, the Administrative Agent and the Collateral Agent shall, at such Subsidiary Guarantor’s expense, take such actions as are necessary to effect each release described in this Section 11.10 in accordance with the relevant provisions of the Collateral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no such release shall occur if such Guarantor continues to be a guarantor in respect of any Junior Financing with a principal amount in excess of the Threshold Amount, (y) a Subsidiary Guarantor that becomes an Excluded Subsidiary as a result of clause (a) of the definition thereof shall only be released from its obligations under the Guaranty if either (1) such release is otherwise approved, authorized or ratified in writing by the Required Lenders or (2) such Subsidiary Guarantor became a non-wholly owned Restricted Subsidiary pursuant to a transaction where such Subsidiary Guarantor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256</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316"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color w:val="auto"/>
        </w:rPr>
        <w:t>a bona fide joint venture where the other Person obtaining an equity interest in such Subsidiary Guarantor is not an Affiliate of Holdings or the Borrower (other than as a result of such joint venture).</w:t>
      </w:r>
    </w:p>
    <w:p>
      <w:pPr>
        <w:spacing w:after="0" w:line="176" w:lineRule="exact"/>
        <w:rPr>
          <w:sz w:val="20"/>
          <w:szCs w:val="20"/>
          <w:color w:val="auto"/>
        </w:rPr>
      </w:pPr>
    </w:p>
    <w:p>
      <w:pPr>
        <w:jc w:val="both"/>
        <w:ind w:firstLine="1238"/>
        <w:spacing w:after="0" w:line="234" w:lineRule="auto"/>
        <w:rPr>
          <w:sz w:val="20"/>
          <w:szCs w:val="20"/>
          <w:color w:val="auto"/>
        </w:rPr>
      </w:pPr>
      <w:r>
        <w:rPr>
          <w:rFonts w:ascii="Arial" w:cs="Arial" w:eastAsia="Arial" w:hAnsi="Arial"/>
          <w:sz w:val="19"/>
          <w:szCs w:val="19"/>
          <w:color w:val="auto"/>
        </w:rPr>
        <w:t>When all Commitments hereunder have terminated, and all Loans or other Obligations (other than obligations under Treasury Services Agreements or Secured Hedge Agreements) hereunder which are accrued and payable have been paid or satisfied, and no Letter of Credit remains outstanding (except any Letter of Credit the Outstanding Amount of which the Obligations related thereto has been Cash Collateralized or for which a backstop letter of credit reasonably satisfactory to the applicable L/C Issuer has been put in place), this Agreement, the other Loan Documents and the guarantees made herein shall terminate with respect to all Obligations, except with respect to Obligations that expressly survive such repayment pursuant to the terms of this Agreement or the other Loan Documents. The Collateral Agent shall, at each Guarantor’s expense, take such actions as are necessary to release any Collateral owned by such Guarantor in accordance with the relevant provisions of the Collateral Documents.</w:t>
      </w:r>
    </w:p>
    <w:p>
      <w:pPr>
        <w:spacing w:after="0" w:line="152"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i w:val="1"/>
          <w:iCs w:val="1"/>
          <w:color w:val="auto"/>
        </w:rPr>
        <w:t>Right of Contribution</w:t>
      </w:r>
      <w:r>
        <w:rPr>
          <w:rFonts w:ascii="Arial" w:cs="Arial" w:eastAsia="Arial" w:hAnsi="Arial"/>
          <w:sz w:val="19"/>
          <w:szCs w:val="19"/>
          <w:color w:val="auto"/>
        </w:rPr>
        <w:t>. Each Guarantor hereby agrees that to the extent that a Subsidiary Guarantor shall have paid more than its proportionate share of any payment made hereunder, such Subsidiary Guarantor shall be entitled to seek and receive contribution from and against any other Guarantor hereunder which has not paid its proportionate share of such payment. Each Subsidiary Guarantor’s right of contribution shall be subject to the terms and conditions of Section 11.04. The provisions of this Section 11.11 shall in no respect limit the obligations and liabilities of any Subsidiary Guarantor to the Administrative Agent, the L/C Issuer, the Swing Line Lender and the Lenders, and each Subsidiary Guarantor shall remain liable to the Administrative Agent, the L/C Issuer, the Swing Line Lender and the Lenders for the full amount guaranteed by such Subsidiary Guarantor hereunder.</w:t>
      </w:r>
    </w:p>
    <w:p>
      <w:pPr>
        <w:spacing w:after="0" w:line="153"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i w:val="1"/>
          <w:iCs w:val="1"/>
          <w:color w:val="auto"/>
        </w:rPr>
        <w:t>Cross-Guaranty</w:t>
      </w:r>
      <w:r>
        <w:rPr>
          <w:rFonts w:ascii="Arial" w:cs="Arial" w:eastAsia="Arial" w:hAnsi="Arial"/>
          <w:sz w:val="19"/>
          <w:szCs w:val="19"/>
          <w:color w:val="auto"/>
        </w:rPr>
        <w:t>. Each Qualified ECP Guarantor hereby jointly and severally, absolutely, unconditionally and irrevocably undertakes to provide such funds or other support to each Specified Guarantor as may be needed by such Specified Guarantor from time to time to honor all of its obligations under its Guaranty and the other Loan Documents in respect of any Swap Obligation (provided, however, that each Qualified ECP Guarantor shall only be liable under this Section 11.12 for up to the maximum amount of such liability that can be hereby incurred without rendering such Qualified ECP Guarantor’s obligations and undertakings under this Section 11.12 voidable under applicable law relating to fraudulent conveyance or fraudulent transfer, and not for any greater amount). The obligations and undertakings of each Qualified ECP Guarantor under this Section 11.12 shall remain in full force and effect until the Obligations have been indefeasibly paid and performed in full and all Commitments have been terminated. Each Qualified ECP Guarantor intends that this Section 11.12 constitute, and this Section 11.12 shall be deemed to constitute, an agreement for the benefit of each Specified Guarantor for all purposes of the Commodity Exchange 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257</w:t>
      </w:r>
    </w:p>
    <w:p>
      <w:pPr>
        <w:sectPr>
          <w:pgSz w:w="11900" w:h="16838" w:orient="portrait"/>
          <w:cols w:equalWidth="0" w:num="1">
            <w:col w:w="11240"/>
          </w:cols>
          <w:pgMar w:left="320" w:top="1440" w:right="339" w:bottom="1440" w:gutter="0" w:footer="0" w:header="0"/>
        </w:sectPr>
      </w:pPr>
    </w:p>
    <w:bookmarkStart w:id="305" w:name="page306"/>
    <w:bookmarkEnd w:id="305"/>
    <w:p>
      <w:pPr>
        <w:ind w:firstLine="619"/>
        <w:spacing w:after="0" w:line="233" w:lineRule="auto"/>
        <w:rPr>
          <w:sz w:val="20"/>
          <w:szCs w:val="20"/>
          <w:color w:val="auto"/>
        </w:rPr>
      </w:pPr>
      <w:r>
        <w:rPr>
          <w:rFonts w:ascii="Arial" w:cs="Arial" w:eastAsia="Arial" w:hAnsi="Arial"/>
          <w:sz w:val="21"/>
          <w:szCs w:val="21"/>
          <w:color w:val="auto"/>
        </w:rPr>
        <w:t>IN WITNESS WHEREOF, the parties hereto have caused this Agreement to be duly executed by their respective authorized officers as of the day and year first above written.</w:t>
      </w:r>
    </w:p>
    <w:p>
      <w:pPr>
        <w:spacing w:after="0" w:line="202"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TU BIDCO, INC., as Borrower</w:t>
      </w:r>
    </w:p>
    <w:p>
      <w:pPr>
        <w:spacing w:after="0" w:line="200" w:lineRule="exact"/>
        <w:rPr>
          <w:sz w:val="20"/>
          <w:szCs w:val="20"/>
          <w:color w:val="auto"/>
        </w:rPr>
      </w:pPr>
    </w:p>
    <w:p>
      <w:pPr>
        <w:spacing w:after="0" w:line="229" w:lineRule="exact"/>
        <w:rPr>
          <w:sz w:val="20"/>
          <w:szCs w:val="20"/>
          <w:color w:val="auto"/>
        </w:rPr>
      </w:pPr>
    </w:p>
    <w:p>
      <w:pPr>
        <w:ind w:left="3980"/>
        <w:spacing w:after="0"/>
        <w:tabs>
          <w:tab w:leader="none" w:pos="4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15875</wp:posOffset>
            </wp:positionV>
            <wp:extent cx="1939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9"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Name: Balaji Sekar</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Amended and Restated Credit Agreement]</w:t>
      </w:r>
    </w:p>
    <w:p>
      <w:pPr>
        <w:sectPr>
          <w:pgSz w:w="11900" w:h="16838" w:orient="portrait"/>
          <w:cols w:equalWidth="0" w:num="1">
            <w:col w:w="11240"/>
          </w:cols>
          <w:pgMar w:left="320" w:top="1343" w:right="339" w:bottom="1440" w:gutter="0" w:footer="0" w:header="0"/>
        </w:sectPr>
      </w:pPr>
    </w:p>
    <w:bookmarkStart w:id="306" w:name="page307"/>
    <w:bookmarkEnd w:id="306"/>
    <w:p>
      <w:pPr>
        <w:ind w:left="2860"/>
        <w:spacing w:after="0"/>
        <w:rPr>
          <w:sz w:val="20"/>
          <w:szCs w:val="20"/>
          <w:color w:val="auto"/>
        </w:rPr>
      </w:pPr>
      <w:r>
        <w:rPr>
          <w:rFonts w:ascii="Arial" w:cs="Arial" w:eastAsia="Arial" w:hAnsi="Arial"/>
          <w:sz w:val="21"/>
          <w:szCs w:val="21"/>
          <w:color w:val="auto"/>
        </w:rPr>
        <w:t>TU MIDCO, INC., as Holdings</w:t>
      </w:r>
    </w:p>
    <w:p>
      <w:pPr>
        <w:spacing w:after="0" w:line="200" w:lineRule="exact"/>
        <w:rPr>
          <w:sz w:val="20"/>
          <w:szCs w:val="20"/>
          <w:color w:val="auto"/>
        </w:rPr>
      </w:pPr>
    </w:p>
    <w:p>
      <w:pPr>
        <w:spacing w:after="0" w:line="229"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15875</wp:posOffset>
            </wp:positionV>
            <wp:extent cx="1939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9"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Balaji Sekar</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394" w:right="1440" w:bottom="1440" w:gutter="0" w:footer="0" w:header="0"/>
        </w:sectPr>
      </w:pPr>
    </w:p>
    <w:bookmarkStart w:id="307" w:name="page308"/>
    <w:bookmarkEnd w:id="307"/>
    <w:p>
      <w:pPr>
        <w:ind w:left="2860"/>
        <w:spacing w:after="0"/>
        <w:rPr>
          <w:sz w:val="20"/>
          <w:szCs w:val="20"/>
          <w:color w:val="auto"/>
        </w:rPr>
      </w:pPr>
      <w:r>
        <w:rPr>
          <w:rFonts w:ascii="Arial" w:cs="Arial" w:eastAsia="Arial" w:hAnsi="Arial"/>
          <w:sz w:val="21"/>
          <w:szCs w:val="21"/>
          <w:color w:val="auto"/>
        </w:rPr>
        <w:t>TASKUS USA, LLC., as a Guarantor</w:t>
      </w:r>
    </w:p>
    <w:p>
      <w:pPr>
        <w:spacing w:after="0" w:line="248"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15875</wp:posOffset>
            </wp:positionV>
            <wp:extent cx="1939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9"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Bryce Maddock</w:t>
      </w:r>
    </w:p>
    <w:p>
      <w:pPr>
        <w:ind w:left="3320"/>
        <w:spacing w:after="0"/>
        <w:rPr>
          <w:sz w:val="20"/>
          <w:szCs w:val="20"/>
          <w:color w:val="auto"/>
        </w:rPr>
      </w:pPr>
      <w:r>
        <w:rPr>
          <w:rFonts w:ascii="Arial" w:cs="Arial" w:eastAsia="Arial" w:hAnsi="Arial"/>
          <w:sz w:val="21"/>
          <w:szCs w:val="21"/>
          <w:color w:val="auto"/>
        </w:rPr>
        <w:t>Title: Chief Executive Officer and</w:t>
      </w:r>
    </w:p>
    <w:p>
      <w:pPr>
        <w:ind w:left="3320"/>
        <w:spacing w:after="0"/>
        <w:rPr>
          <w:sz w:val="20"/>
          <w:szCs w:val="20"/>
          <w:color w:val="auto"/>
        </w:rPr>
      </w:pPr>
      <w:r>
        <w:rPr>
          <w:rFonts w:ascii="Arial" w:cs="Arial" w:eastAsia="Arial" w:hAnsi="Arial"/>
          <w:sz w:val="21"/>
          <w:szCs w:val="21"/>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TASKUS HOLDINGS, INC., as a</w:t>
      </w:r>
    </w:p>
    <w:p>
      <w:pPr>
        <w:ind w:left="2860"/>
        <w:spacing w:after="0"/>
        <w:rPr>
          <w:sz w:val="20"/>
          <w:szCs w:val="20"/>
          <w:color w:val="auto"/>
        </w:rPr>
      </w:pPr>
      <w:r>
        <w:rPr>
          <w:rFonts w:ascii="Arial" w:cs="Arial" w:eastAsia="Arial" w:hAnsi="Arial"/>
          <w:sz w:val="21"/>
          <w:szCs w:val="21"/>
          <w:color w:val="auto"/>
        </w:rPr>
        <w:t>Guarantor</w:t>
      </w:r>
    </w:p>
    <w:p>
      <w:pPr>
        <w:spacing w:after="0" w:line="230"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15875</wp:posOffset>
            </wp:positionV>
            <wp:extent cx="1931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line="9"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Name: Bryce Maddock</w:t>
      </w:r>
    </w:p>
    <w:p>
      <w:pPr>
        <w:ind w:left="2800"/>
        <w:spacing w:after="0"/>
        <w:rPr>
          <w:sz w:val="20"/>
          <w:szCs w:val="20"/>
          <w:color w:val="auto"/>
        </w:rPr>
      </w:pPr>
      <w:r>
        <w:rPr>
          <w:rFonts w:ascii="Arial" w:cs="Arial" w:eastAsia="Arial" w:hAnsi="Arial"/>
          <w:sz w:val="21"/>
          <w:szCs w:val="21"/>
          <w:color w:val="auto"/>
        </w:rPr>
        <w:t>Title: Chief Executive Officer and</w:t>
      </w:r>
    </w:p>
    <w:p>
      <w:pPr>
        <w:ind w:left="2820"/>
        <w:spacing w:after="0"/>
        <w:rPr>
          <w:sz w:val="20"/>
          <w:szCs w:val="20"/>
          <w:color w:val="auto"/>
        </w:rPr>
      </w:pPr>
      <w:r>
        <w:rPr>
          <w:rFonts w:ascii="Arial" w:cs="Arial" w:eastAsia="Arial" w:hAnsi="Arial"/>
          <w:sz w:val="21"/>
          <w:szCs w:val="21"/>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394" w:right="1440" w:bottom="1440" w:gutter="0" w:footer="0" w:header="0"/>
        </w:sectPr>
      </w:pPr>
    </w:p>
    <w:bookmarkStart w:id="308" w:name="page309"/>
    <w:bookmarkEnd w:id="308"/>
    <w:p>
      <w:pPr>
        <w:spacing w:after="0" w:line="170"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JPMORGAN CHASE BANK, N.A., as</w:t>
      </w:r>
    </w:p>
    <w:p>
      <w:pPr>
        <w:ind w:left="2860"/>
        <w:spacing w:after="0" w:line="205" w:lineRule="auto"/>
        <w:rPr>
          <w:sz w:val="20"/>
          <w:szCs w:val="20"/>
          <w:color w:val="auto"/>
        </w:rPr>
      </w:pPr>
      <w:r>
        <w:rPr>
          <w:rFonts w:ascii="Arial" w:cs="Arial" w:eastAsia="Arial" w:hAnsi="Arial"/>
          <w:sz w:val="21"/>
          <w:szCs w:val="21"/>
          <w:color w:val="auto"/>
        </w:rPr>
        <w:t>Administrative Agent, Collateral Agent,</w:t>
      </w:r>
    </w:p>
    <w:p>
      <w:pPr>
        <w:ind w:left="2860"/>
        <w:spacing w:after="0" w:line="205" w:lineRule="auto"/>
        <w:rPr>
          <w:sz w:val="20"/>
          <w:szCs w:val="20"/>
          <w:color w:val="auto"/>
        </w:rPr>
      </w:pPr>
      <w:r>
        <w:rPr>
          <w:rFonts w:ascii="Arial" w:cs="Arial" w:eastAsia="Arial" w:hAnsi="Arial"/>
          <w:sz w:val="21"/>
          <w:szCs w:val="21"/>
          <w:color w:val="auto"/>
        </w:rPr>
        <w:t>Swing Line Lender, L/C Issuer, a Term</w:t>
      </w:r>
    </w:p>
    <w:p>
      <w:pPr>
        <w:ind w:left="2860"/>
        <w:spacing w:after="0"/>
        <w:rPr>
          <w:sz w:val="20"/>
          <w:szCs w:val="20"/>
          <w:color w:val="auto"/>
        </w:rPr>
      </w:pPr>
      <w:r>
        <w:rPr>
          <w:rFonts w:ascii="Arial" w:cs="Arial" w:eastAsia="Arial" w:hAnsi="Arial"/>
          <w:sz w:val="21"/>
          <w:szCs w:val="21"/>
          <w:color w:val="auto"/>
        </w:rPr>
        <w:t>Lender and a Revolving Credit Lender</w:t>
      </w:r>
    </w:p>
    <w:p>
      <w:pPr>
        <w:spacing w:after="0" w:line="200" w:lineRule="exact"/>
        <w:rPr>
          <w:sz w:val="20"/>
          <w:szCs w:val="20"/>
          <w:color w:val="auto"/>
        </w:rPr>
      </w:pPr>
    </w:p>
    <w:p>
      <w:pPr>
        <w:spacing w:after="0" w:line="211"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Cameron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15875</wp:posOffset>
            </wp:positionV>
            <wp:extent cx="1939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9"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Cameron Gray</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09" w:name="page310"/>
    <w:bookmarkEnd w:id="309"/>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Bank of America, N.A., as a Term Lender</w:t>
      </w:r>
    </w:p>
    <w:p>
      <w:pPr>
        <w:ind w:left="2860"/>
        <w:spacing w:after="0"/>
        <w:rPr>
          <w:sz w:val="20"/>
          <w:szCs w:val="20"/>
          <w:color w:val="auto"/>
        </w:rPr>
      </w:pPr>
      <w:r>
        <w:rPr>
          <w:rFonts w:ascii="Arial" w:cs="Arial" w:eastAsia="Arial" w:hAnsi="Arial"/>
          <w:sz w:val="21"/>
          <w:szCs w:val="21"/>
          <w:color w:val="auto"/>
        </w:rPr>
        <w:t>and a Revolving Credit Lender</w:t>
      </w:r>
    </w:p>
    <w:p>
      <w:pPr>
        <w:spacing w:after="0" w:line="4"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Carolyn Sarnecki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12065</wp:posOffset>
            </wp:positionV>
            <wp:extent cx="1939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Carolyn Sarnecki</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10" w:name="page311"/>
    <w:bookmarkEnd w:id="310"/>
    <w:p>
      <w:pPr>
        <w:spacing w:after="0" w:line="170"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THE TORONTO-DOMINION BANK,</w:t>
      </w:r>
    </w:p>
    <w:p>
      <w:pPr>
        <w:ind w:left="2860"/>
        <w:spacing w:after="0" w:line="205" w:lineRule="auto"/>
        <w:rPr>
          <w:sz w:val="20"/>
          <w:szCs w:val="20"/>
          <w:color w:val="auto"/>
        </w:rPr>
      </w:pPr>
      <w:r>
        <w:rPr>
          <w:rFonts w:ascii="Arial" w:cs="Arial" w:eastAsia="Arial" w:hAnsi="Arial"/>
          <w:sz w:val="21"/>
          <w:szCs w:val="21"/>
          <w:color w:val="auto"/>
        </w:rPr>
        <w:t>NEW YORK BRANCH., as a Term</w:t>
      </w:r>
    </w:p>
    <w:p>
      <w:pPr>
        <w:ind w:left="2860"/>
        <w:spacing w:after="0"/>
        <w:rPr>
          <w:sz w:val="20"/>
          <w:szCs w:val="20"/>
          <w:color w:val="auto"/>
        </w:rPr>
      </w:pPr>
      <w:r>
        <w:rPr>
          <w:rFonts w:ascii="Arial" w:cs="Arial" w:eastAsia="Arial" w:hAnsi="Arial"/>
          <w:sz w:val="21"/>
          <w:szCs w:val="21"/>
          <w:color w:val="auto"/>
        </w:rPr>
        <w:t>Lender and a Revolving Credit Lender</w:t>
      </w:r>
    </w:p>
    <w:p>
      <w:pPr>
        <w:spacing w:after="0" w:line="4"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John Glotzbecker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12065</wp:posOffset>
            </wp:positionV>
            <wp:extent cx="1939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John Glotzbecker</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11" w:name="page312"/>
    <w:bookmarkEnd w:id="311"/>
    <w:p>
      <w:pPr>
        <w:spacing w:after="0" w:line="170"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Fifth Third Bank, National Association as</w:t>
      </w:r>
    </w:p>
    <w:p>
      <w:pPr>
        <w:ind w:left="2860"/>
        <w:spacing w:after="0" w:line="205" w:lineRule="auto"/>
        <w:rPr>
          <w:sz w:val="20"/>
          <w:szCs w:val="20"/>
          <w:color w:val="auto"/>
        </w:rPr>
      </w:pPr>
      <w:r>
        <w:rPr>
          <w:rFonts w:ascii="Arial" w:cs="Arial" w:eastAsia="Arial" w:hAnsi="Arial"/>
          <w:sz w:val="21"/>
          <w:szCs w:val="21"/>
          <w:color w:val="auto"/>
        </w:rPr>
        <w:t>a Term Lender and a Revolving Credit</w:t>
      </w:r>
    </w:p>
    <w:p>
      <w:pPr>
        <w:ind w:left="2860"/>
        <w:spacing w:after="0"/>
        <w:rPr>
          <w:sz w:val="20"/>
          <w:szCs w:val="20"/>
          <w:color w:val="auto"/>
        </w:rPr>
      </w:pPr>
      <w:r>
        <w:rPr>
          <w:rFonts w:ascii="Arial" w:cs="Arial" w:eastAsia="Arial" w:hAnsi="Arial"/>
          <w:sz w:val="21"/>
          <w:szCs w:val="21"/>
          <w:color w:val="auto"/>
        </w:rPr>
        <w:t>Lender</w:t>
      </w:r>
    </w:p>
    <w:p>
      <w:pPr>
        <w:spacing w:after="0" w:line="4"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Ryan Sonkin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12065</wp:posOffset>
            </wp:positionV>
            <wp:extent cx="1939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Ryan Sonkin</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12" w:name="page313"/>
    <w:bookmarkEnd w:id="312"/>
    <w:p>
      <w:pPr>
        <w:spacing w:after="0" w:line="169"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U.S. BANK NATIONAL</w:t>
      </w:r>
    </w:p>
    <w:p>
      <w:pPr>
        <w:ind w:left="2860"/>
        <w:spacing w:after="0" w:line="205" w:lineRule="auto"/>
        <w:rPr>
          <w:sz w:val="20"/>
          <w:szCs w:val="20"/>
          <w:color w:val="auto"/>
        </w:rPr>
      </w:pPr>
      <w:r>
        <w:rPr>
          <w:rFonts w:ascii="Arial" w:cs="Arial" w:eastAsia="Arial" w:hAnsi="Arial"/>
          <w:sz w:val="21"/>
          <w:szCs w:val="21"/>
          <w:color w:val="auto"/>
        </w:rPr>
        <w:t>ASSOCIATION, as a Term Lender and a</w:t>
      </w:r>
    </w:p>
    <w:p>
      <w:pPr>
        <w:ind w:left="2860"/>
        <w:spacing w:after="0"/>
        <w:rPr>
          <w:sz w:val="20"/>
          <w:szCs w:val="20"/>
          <w:color w:val="auto"/>
        </w:rPr>
      </w:pPr>
      <w:r>
        <w:rPr>
          <w:rFonts w:ascii="Arial" w:cs="Arial" w:eastAsia="Arial" w:hAnsi="Arial"/>
          <w:sz w:val="21"/>
          <w:szCs w:val="21"/>
          <w:color w:val="auto"/>
        </w:rPr>
        <w:t>Revolving Credit Lender</w:t>
      </w:r>
    </w:p>
    <w:p>
      <w:pPr>
        <w:spacing w:after="0" w:line="4"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Roger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12065</wp:posOffset>
            </wp:positionV>
            <wp:extent cx="1939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Roger Yee</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13" w:name="page314"/>
    <w:bookmarkEnd w:id="313"/>
    <w:p>
      <w:pPr>
        <w:spacing w:after="0" w:line="169"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PNC BANK, NATIONAL</w:t>
      </w:r>
    </w:p>
    <w:p>
      <w:pPr>
        <w:ind w:left="2860"/>
        <w:spacing w:after="0" w:line="205" w:lineRule="auto"/>
        <w:rPr>
          <w:sz w:val="20"/>
          <w:szCs w:val="20"/>
          <w:color w:val="auto"/>
        </w:rPr>
      </w:pPr>
      <w:r>
        <w:rPr>
          <w:rFonts w:ascii="Arial" w:cs="Arial" w:eastAsia="Arial" w:hAnsi="Arial"/>
          <w:sz w:val="21"/>
          <w:szCs w:val="21"/>
          <w:color w:val="auto"/>
        </w:rPr>
        <w:t>ASSOCIATION, as a Term Lender and a</w:t>
      </w:r>
    </w:p>
    <w:p>
      <w:pPr>
        <w:ind w:left="2860"/>
        <w:spacing w:after="0"/>
        <w:rPr>
          <w:sz w:val="20"/>
          <w:szCs w:val="20"/>
          <w:color w:val="auto"/>
        </w:rPr>
      </w:pPr>
      <w:r>
        <w:rPr>
          <w:rFonts w:ascii="Arial" w:cs="Arial" w:eastAsia="Arial" w:hAnsi="Arial"/>
          <w:sz w:val="21"/>
          <w:szCs w:val="21"/>
          <w:color w:val="auto"/>
        </w:rPr>
        <w:t>Revolving Credit Lender</w:t>
      </w:r>
    </w:p>
    <w:p>
      <w:pPr>
        <w:spacing w:after="0" w:line="4"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Natalie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12065</wp:posOffset>
            </wp:positionV>
            <wp:extent cx="1939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Natalie Hill</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14" w:name="page315"/>
    <w:bookmarkEnd w:id="314"/>
    <w:p>
      <w:pPr>
        <w:spacing w:after="0" w:line="170"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HSBC Bank USA, National Association,</w:t>
      </w:r>
    </w:p>
    <w:p>
      <w:pPr>
        <w:ind w:left="2860"/>
        <w:spacing w:after="0" w:line="205" w:lineRule="auto"/>
        <w:rPr>
          <w:sz w:val="20"/>
          <w:szCs w:val="20"/>
          <w:color w:val="auto"/>
        </w:rPr>
      </w:pPr>
      <w:r>
        <w:rPr>
          <w:rFonts w:ascii="Arial" w:cs="Arial" w:eastAsia="Arial" w:hAnsi="Arial"/>
          <w:sz w:val="21"/>
          <w:szCs w:val="21"/>
          <w:color w:val="auto"/>
        </w:rPr>
        <w:t>as a Term Lender and a Revolving Credit</w:t>
      </w:r>
    </w:p>
    <w:p>
      <w:pPr>
        <w:ind w:left="2860"/>
        <w:spacing w:after="0"/>
        <w:rPr>
          <w:sz w:val="20"/>
          <w:szCs w:val="20"/>
          <w:color w:val="auto"/>
        </w:rPr>
      </w:pPr>
      <w:r>
        <w:rPr>
          <w:rFonts w:ascii="Arial" w:cs="Arial" w:eastAsia="Arial" w:hAnsi="Arial"/>
          <w:sz w:val="21"/>
          <w:szCs w:val="21"/>
          <w:color w:val="auto"/>
        </w:rPr>
        <w:t>Lender</w:t>
      </w:r>
    </w:p>
    <w:p>
      <w:pPr>
        <w:spacing w:after="0" w:line="4"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Paul M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12065</wp:posOffset>
            </wp:positionV>
            <wp:extent cx="1939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Paul M Weeks</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Regional 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15" w:name="page316"/>
    <w:bookmarkEnd w:id="315"/>
    <w:p>
      <w:pPr>
        <w:spacing w:after="0" w:line="170"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Cadence Bank, as a Term Lender and a</w:t>
      </w:r>
    </w:p>
    <w:p>
      <w:pPr>
        <w:ind w:left="2860"/>
        <w:spacing w:after="0"/>
        <w:rPr>
          <w:sz w:val="20"/>
          <w:szCs w:val="20"/>
          <w:color w:val="auto"/>
        </w:rPr>
      </w:pPr>
      <w:r>
        <w:rPr>
          <w:rFonts w:ascii="Arial" w:cs="Arial" w:eastAsia="Arial" w:hAnsi="Arial"/>
          <w:sz w:val="21"/>
          <w:szCs w:val="21"/>
          <w:color w:val="auto"/>
        </w:rPr>
        <w:t>Revolving Credit Lender</w:t>
      </w:r>
    </w:p>
    <w:p>
      <w:pPr>
        <w:spacing w:after="0" w:line="4"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Jonathan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12065</wp:posOffset>
            </wp:positionV>
            <wp:extent cx="1939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Jonathan Miller</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16" w:name="page317"/>
    <w:bookmarkEnd w:id="316"/>
    <w:p>
      <w:pPr>
        <w:spacing w:after="0" w:line="170"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WESTERN ALLIANCE BANK, as a</w:t>
      </w:r>
    </w:p>
    <w:p>
      <w:pPr>
        <w:ind w:left="2860"/>
        <w:spacing w:after="0" w:line="205" w:lineRule="auto"/>
        <w:rPr>
          <w:sz w:val="20"/>
          <w:szCs w:val="20"/>
          <w:color w:val="auto"/>
        </w:rPr>
      </w:pPr>
      <w:r>
        <w:rPr>
          <w:rFonts w:ascii="Arial" w:cs="Arial" w:eastAsia="Arial" w:hAnsi="Arial"/>
          <w:sz w:val="21"/>
          <w:szCs w:val="21"/>
          <w:color w:val="auto"/>
        </w:rPr>
        <w:t>Term Lender and a Revolving Credit</w:t>
      </w:r>
    </w:p>
    <w:p>
      <w:pPr>
        <w:ind w:left="2860"/>
        <w:spacing w:after="0"/>
        <w:rPr>
          <w:sz w:val="20"/>
          <w:szCs w:val="20"/>
          <w:color w:val="auto"/>
        </w:rPr>
      </w:pPr>
      <w:r>
        <w:rPr>
          <w:rFonts w:ascii="Arial" w:cs="Arial" w:eastAsia="Arial" w:hAnsi="Arial"/>
          <w:sz w:val="21"/>
          <w:szCs w:val="21"/>
          <w:color w:val="auto"/>
        </w:rPr>
        <w:t>Lender</w:t>
      </w:r>
    </w:p>
    <w:p>
      <w:pPr>
        <w:spacing w:after="0" w:line="4"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Jeff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12065</wp:posOffset>
            </wp:positionV>
            <wp:extent cx="19399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Jeff Brown</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17" w:name="page318"/>
    <w:bookmarkEnd w:id="317"/>
    <w:p>
      <w:pPr>
        <w:spacing w:after="0" w:line="170"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GOLDMAN SACHS BANK USA as a</w:t>
      </w:r>
    </w:p>
    <w:p>
      <w:pPr>
        <w:ind w:left="2860"/>
        <w:spacing w:after="0" w:line="205" w:lineRule="auto"/>
        <w:rPr>
          <w:sz w:val="20"/>
          <w:szCs w:val="20"/>
          <w:color w:val="auto"/>
        </w:rPr>
      </w:pPr>
      <w:r>
        <w:rPr>
          <w:rFonts w:ascii="Arial" w:cs="Arial" w:eastAsia="Arial" w:hAnsi="Arial"/>
          <w:sz w:val="21"/>
          <w:szCs w:val="21"/>
          <w:color w:val="auto"/>
        </w:rPr>
        <w:t>Term Lender and a Revolving Credit</w:t>
      </w:r>
    </w:p>
    <w:p>
      <w:pPr>
        <w:ind w:left="2860"/>
        <w:spacing w:after="0"/>
        <w:rPr>
          <w:sz w:val="20"/>
          <w:szCs w:val="20"/>
          <w:color w:val="auto"/>
        </w:rPr>
      </w:pPr>
      <w:r>
        <w:rPr>
          <w:rFonts w:ascii="Arial" w:cs="Arial" w:eastAsia="Arial" w:hAnsi="Arial"/>
          <w:sz w:val="21"/>
          <w:szCs w:val="21"/>
          <w:color w:val="auto"/>
        </w:rPr>
        <w:t>Lender</w:t>
      </w:r>
    </w:p>
    <w:p>
      <w:pPr>
        <w:spacing w:after="0" w:line="4" w:lineRule="exact"/>
        <w:rPr>
          <w:sz w:val="20"/>
          <w:szCs w:val="20"/>
          <w:color w:val="auto"/>
        </w:rPr>
      </w:pPr>
    </w:p>
    <w:p>
      <w:pPr>
        <w:ind w:left="2860"/>
        <w:spacing w:after="0"/>
        <w:tabs>
          <w:tab w:leader="none" w:pos="3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William E. Briggs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12065</wp:posOffset>
            </wp:positionV>
            <wp:extent cx="1939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Name: William E. Briggs IV</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ectPr>
          <w:pgSz w:w="11900" w:h="16838" w:orient="portrait"/>
          <w:cols w:equalWidth="0" w:num="1">
            <w:col w:w="9019"/>
          </w:cols>
          <w:pgMar w:left="1440" w:top="1440" w:right="1440" w:bottom="1440" w:gutter="0" w:footer="0" w:header="0"/>
        </w:sectPr>
      </w:pPr>
    </w:p>
    <w:bookmarkStart w:id="318" w:name="page319"/>
    <w:bookmarkEnd w:id="318"/>
    <w:p>
      <w:pPr>
        <w:jc w:val="right"/>
        <w:spacing w:after="0"/>
        <w:rPr>
          <w:sz w:val="20"/>
          <w:szCs w:val="20"/>
          <w:color w:val="auto"/>
        </w:rPr>
      </w:pPr>
      <w:r>
        <w:rPr>
          <w:rFonts w:ascii="Arial" w:cs="Arial" w:eastAsia="Arial" w:hAnsi="Arial"/>
          <w:sz w:val="17"/>
          <w:szCs w:val="17"/>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Bryce Maddock, certify that:</w:t>
      </w:r>
    </w:p>
    <w:p>
      <w:pPr>
        <w:spacing w:after="0" w:line="114" w:lineRule="exact"/>
        <w:rPr>
          <w:sz w:val="20"/>
          <w:szCs w:val="20"/>
          <w:color w:val="auto"/>
        </w:rPr>
      </w:pPr>
    </w:p>
    <w:p>
      <w:pPr>
        <w:ind w:left="940" w:hanging="473"/>
        <w:spacing w:after="0"/>
        <w:tabs>
          <w:tab w:leader="none" w:pos="9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2022 of TaskUs, Inc.;</w:t>
      </w:r>
    </w:p>
    <w:p>
      <w:pPr>
        <w:spacing w:after="0" w:line="113" w:lineRule="exact"/>
        <w:rPr>
          <w:rFonts w:ascii="Arial" w:cs="Arial" w:eastAsia="Arial" w:hAnsi="Arial"/>
          <w:sz w:val="17"/>
          <w:szCs w:val="17"/>
          <w:color w:val="auto"/>
        </w:rPr>
      </w:pPr>
    </w:p>
    <w:p>
      <w:pPr>
        <w:jc w:val="both"/>
        <w:ind w:left="940" w:right="320" w:hanging="473"/>
        <w:spacing w:after="0" w:line="266" w:lineRule="auto"/>
        <w:tabs>
          <w:tab w:leader="none" w:pos="9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7"/>
          <w:szCs w:val="17"/>
          <w:color w:val="auto"/>
        </w:rPr>
      </w:pPr>
    </w:p>
    <w:p>
      <w:pPr>
        <w:ind w:left="940" w:right="280" w:hanging="473"/>
        <w:spacing w:after="0" w:line="312" w:lineRule="auto"/>
        <w:tabs>
          <w:tab w:leader="none" w:pos="9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940" w:right="500" w:hanging="473"/>
        <w:spacing w:after="0" w:line="279" w:lineRule="auto"/>
        <w:tabs>
          <w:tab w:leader="none" w:pos="9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Arial" w:cs="Arial" w:eastAsia="Arial" w:hAnsi="Arial"/>
          <w:sz w:val="17"/>
          <w:szCs w:val="17"/>
          <w:color w:val="auto"/>
        </w:rPr>
      </w:pPr>
    </w:p>
    <w:p>
      <w:pPr>
        <w:ind w:left="1400" w:right="100" w:hanging="469"/>
        <w:spacing w:after="0" w:line="266" w:lineRule="auto"/>
        <w:tabs>
          <w:tab w:leader="none" w:pos="1397" w:val="left"/>
        </w:tabs>
        <w:numPr>
          <w:ilvl w:val="1"/>
          <w:numId w:val="2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380" w:hanging="449"/>
        <w:spacing w:after="0"/>
        <w:tabs>
          <w:tab w:leader="none" w:pos="1380" w:val="left"/>
        </w:tabs>
        <w:numPr>
          <w:ilvl w:val="1"/>
          <w:numId w:val="280"/>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jc w:val="both"/>
        <w:ind w:left="1400" w:right="560" w:hanging="469"/>
        <w:spacing w:after="0" w:line="349" w:lineRule="auto"/>
        <w:tabs>
          <w:tab w:leader="none" w:pos="1397" w:val="left"/>
        </w:tabs>
        <w:numPr>
          <w:ilvl w:val="1"/>
          <w:numId w:val="28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400" w:right="100" w:hanging="469"/>
        <w:spacing w:after="0" w:line="266" w:lineRule="auto"/>
        <w:tabs>
          <w:tab w:leader="none" w:pos="1394" w:val="left"/>
        </w:tabs>
        <w:numPr>
          <w:ilvl w:val="1"/>
          <w:numId w:val="2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940" w:right="200" w:hanging="473"/>
        <w:spacing w:after="0" w:line="312" w:lineRule="auto"/>
        <w:tabs>
          <w:tab w:leader="none" w:pos="9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400" w:hanging="469"/>
        <w:spacing w:after="0" w:line="279" w:lineRule="auto"/>
        <w:tabs>
          <w:tab w:leader="none" w:pos="1397" w:val="left"/>
        </w:tabs>
        <w:numPr>
          <w:ilvl w:val="1"/>
          <w:numId w:val="2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400" w:right="500" w:hanging="469"/>
        <w:spacing w:after="0" w:line="279" w:lineRule="auto"/>
        <w:tabs>
          <w:tab w:leader="none" w:pos="1394" w:val="left"/>
        </w:tabs>
        <w:numPr>
          <w:ilvl w:val="1"/>
          <w:numId w:val="2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8, 2022</w:t>
      </w:r>
    </w:p>
    <w:p>
      <w:pPr>
        <w:spacing w:after="0" w:line="26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5787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Bryce Maddock</w:t>
      </w:r>
    </w:p>
    <w:p>
      <w:pPr>
        <w:spacing w:after="0" w:line="24"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Executive Officer</w:t>
      </w:r>
    </w:p>
    <w:p>
      <w:pPr>
        <w:spacing w:after="0" w:line="24"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94" w:right="3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7"/>
          <w:szCs w:val="17"/>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Balaji Sekar, certify that:</w:t>
      </w:r>
    </w:p>
    <w:p>
      <w:pPr>
        <w:spacing w:after="0" w:line="114" w:lineRule="exact"/>
        <w:rPr>
          <w:sz w:val="20"/>
          <w:szCs w:val="20"/>
          <w:color w:val="auto"/>
        </w:rPr>
      </w:pPr>
    </w:p>
    <w:p>
      <w:pPr>
        <w:ind w:left="940" w:hanging="473"/>
        <w:spacing w:after="0"/>
        <w:tabs>
          <w:tab w:leader="none" w:pos="9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2022 of TaskUs, Inc.;</w:t>
      </w:r>
    </w:p>
    <w:p>
      <w:pPr>
        <w:spacing w:after="0" w:line="113" w:lineRule="exact"/>
        <w:rPr>
          <w:rFonts w:ascii="Arial" w:cs="Arial" w:eastAsia="Arial" w:hAnsi="Arial"/>
          <w:sz w:val="17"/>
          <w:szCs w:val="17"/>
          <w:color w:val="auto"/>
        </w:rPr>
      </w:pPr>
    </w:p>
    <w:p>
      <w:pPr>
        <w:jc w:val="both"/>
        <w:ind w:left="940" w:right="320" w:hanging="473"/>
        <w:spacing w:after="0" w:line="266" w:lineRule="auto"/>
        <w:tabs>
          <w:tab w:leader="none" w:pos="9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7"/>
          <w:szCs w:val="17"/>
          <w:color w:val="auto"/>
        </w:rPr>
      </w:pPr>
    </w:p>
    <w:p>
      <w:pPr>
        <w:ind w:left="940" w:right="280" w:hanging="473"/>
        <w:spacing w:after="0" w:line="312" w:lineRule="auto"/>
        <w:tabs>
          <w:tab w:leader="none" w:pos="9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940" w:right="500" w:hanging="473"/>
        <w:spacing w:after="0" w:line="279" w:lineRule="auto"/>
        <w:tabs>
          <w:tab w:leader="none" w:pos="9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Arial" w:cs="Arial" w:eastAsia="Arial" w:hAnsi="Arial"/>
          <w:sz w:val="17"/>
          <w:szCs w:val="17"/>
          <w:color w:val="auto"/>
        </w:rPr>
      </w:pPr>
    </w:p>
    <w:p>
      <w:pPr>
        <w:ind w:left="1400" w:right="100" w:hanging="469"/>
        <w:spacing w:after="0" w:line="266" w:lineRule="auto"/>
        <w:tabs>
          <w:tab w:leader="none" w:pos="1397" w:val="left"/>
        </w:tabs>
        <w:numPr>
          <w:ilvl w:val="1"/>
          <w:numId w:val="2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380" w:hanging="449"/>
        <w:spacing w:after="0"/>
        <w:tabs>
          <w:tab w:leader="none" w:pos="138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[Reserved];</w:t>
      </w:r>
    </w:p>
    <w:p>
      <w:pPr>
        <w:spacing w:after="0" w:line="113" w:lineRule="exact"/>
        <w:rPr>
          <w:rFonts w:ascii="Arial" w:cs="Arial" w:eastAsia="Arial" w:hAnsi="Arial"/>
          <w:sz w:val="17"/>
          <w:szCs w:val="17"/>
          <w:color w:val="auto"/>
        </w:rPr>
      </w:pPr>
    </w:p>
    <w:p>
      <w:pPr>
        <w:jc w:val="both"/>
        <w:ind w:left="1400" w:right="560" w:hanging="469"/>
        <w:spacing w:after="0" w:line="349" w:lineRule="auto"/>
        <w:tabs>
          <w:tab w:leader="none" w:pos="1397" w:val="left"/>
        </w:tabs>
        <w:numPr>
          <w:ilvl w:val="1"/>
          <w:numId w:val="28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400" w:right="100" w:hanging="469"/>
        <w:spacing w:after="0" w:line="266" w:lineRule="auto"/>
        <w:tabs>
          <w:tab w:leader="none" w:pos="139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940" w:right="200" w:hanging="473"/>
        <w:spacing w:after="0" w:line="312" w:lineRule="auto"/>
        <w:tabs>
          <w:tab w:leader="none" w:pos="9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400" w:hanging="469"/>
        <w:spacing w:after="0" w:line="279" w:lineRule="auto"/>
        <w:tabs>
          <w:tab w:leader="none" w:pos="1397" w:val="left"/>
        </w:tabs>
        <w:numPr>
          <w:ilvl w:val="1"/>
          <w:numId w:val="2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400" w:right="500" w:hanging="469"/>
        <w:spacing w:after="0" w:line="279" w:lineRule="auto"/>
        <w:tabs>
          <w:tab w:leader="none" w:pos="139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8, 2022</w:t>
      </w:r>
    </w:p>
    <w:p>
      <w:pPr>
        <w:spacing w:after="0" w:line="294"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5787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Balaji Sekar</w:t>
      </w:r>
    </w:p>
    <w:p>
      <w:pPr>
        <w:spacing w:after="0" w:line="24"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94" w:right="3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20" w:firstLine="464"/>
        <w:spacing w:after="0" w:line="266" w:lineRule="auto"/>
        <w:rPr>
          <w:sz w:val="20"/>
          <w:szCs w:val="20"/>
          <w:color w:val="auto"/>
        </w:rPr>
      </w:pPr>
      <w:r>
        <w:rPr>
          <w:rFonts w:ascii="Arial" w:cs="Arial" w:eastAsia="Arial" w:hAnsi="Arial"/>
          <w:sz w:val="17"/>
          <w:szCs w:val="17"/>
          <w:color w:val="auto"/>
        </w:rPr>
        <w:t>In connection with the Quarterly Report on Form 10-Q of TaskUs, Inc. (the “</w:t>
      </w:r>
      <w:r>
        <w:rPr>
          <w:rFonts w:ascii="Arial" w:cs="Arial" w:eastAsia="Arial" w:hAnsi="Arial"/>
          <w:sz w:val="17"/>
          <w:szCs w:val="17"/>
          <w:u w:val="single" w:color="auto"/>
          <w:color w:val="auto"/>
        </w:rPr>
        <w:t>Company</w:t>
      </w:r>
      <w:r>
        <w:rPr>
          <w:rFonts w:ascii="Arial" w:cs="Arial" w:eastAsia="Arial" w:hAnsi="Arial"/>
          <w:sz w:val="17"/>
          <w:szCs w:val="17"/>
          <w:color w:val="auto"/>
        </w:rPr>
        <w:t>”) for the quarter ended September 30, 2022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Bryce Maddock, Chief Executive Officer of the Company, certify, pursuant to 18 U.S.C. Section 1350, as adopted pursuant to Section 906 of the Sarbanes-Oxley Act of 2002, that:</w:t>
      </w:r>
    </w:p>
    <w:p>
      <w:pPr>
        <w:spacing w:after="0" w:line="72" w:lineRule="exact"/>
        <w:rPr>
          <w:sz w:val="20"/>
          <w:szCs w:val="20"/>
          <w:color w:val="auto"/>
        </w:rPr>
      </w:pPr>
    </w:p>
    <w:p>
      <w:pPr>
        <w:ind w:left="940" w:hanging="473"/>
        <w:spacing w:after="0"/>
        <w:tabs>
          <w:tab w:leader="none" w:pos="94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3" w:lineRule="exact"/>
        <w:rPr>
          <w:rFonts w:ascii="Arial" w:cs="Arial" w:eastAsia="Arial" w:hAnsi="Arial"/>
          <w:sz w:val="17"/>
          <w:szCs w:val="17"/>
          <w:color w:val="auto"/>
        </w:rPr>
      </w:pPr>
    </w:p>
    <w:p>
      <w:pPr>
        <w:ind w:left="940" w:hanging="473"/>
        <w:spacing w:after="0"/>
        <w:tabs>
          <w:tab w:leader="none" w:pos="9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787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Bryce Maddock</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November 8, 2022</w:t>
      </w:r>
    </w:p>
    <w:p>
      <w:pPr>
        <w:sectPr>
          <w:pgSz w:w="11900" w:h="16838" w:orient="portrait"/>
          <w:cols w:equalWidth="0" w:num="1">
            <w:col w:w="11240"/>
          </w:cols>
          <w:pgMar w:left="320" w:top="895"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7"/>
          <w:szCs w:val="17"/>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340" w:firstLine="464"/>
        <w:spacing w:after="0" w:line="266" w:lineRule="auto"/>
        <w:rPr>
          <w:sz w:val="20"/>
          <w:szCs w:val="20"/>
          <w:color w:val="auto"/>
        </w:rPr>
      </w:pPr>
      <w:r>
        <w:rPr>
          <w:rFonts w:ascii="Arial" w:cs="Arial" w:eastAsia="Arial" w:hAnsi="Arial"/>
          <w:sz w:val="17"/>
          <w:szCs w:val="17"/>
          <w:color w:val="auto"/>
        </w:rPr>
        <w:t>In connection with the Quarterly Report on Form 10-Q of TaskUs, Inc. (the “</w:t>
      </w:r>
      <w:r>
        <w:rPr>
          <w:rFonts w:ascii="Arial" w:cs="Arial" w:eastAsia="Arial" w:hAnsi="Arial"/>
          <w:sz w:val="17"/>
          <w:szCs w:val="17"/>
          <w:u w:val="single" w:color="auto"/>
          <w:color w:val="auto"/>
        </w:rPr>
        <w:t>Company</w:t>
      </w:r>
      <w:r>
        <w:rPr>
          <w:rFonts w:ascii="Arial" w:cs="Arial" w:eastAsia="Arial" w:hAnsi="Arial"/>
          <w:sz w:val="17"/>
          <w:szCs w:val="17"/>
          <w:color w:val="auto"/>
        </w:rPr>
        <w:t>”) for the quarter ended September 30, 2022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Balaji Sekar, Chief Financial Officer of the Company, certify, pursuant to 18 U.S.C. Section 1350, as adopted pursuant to Section 906 of the Sarbanes-Oxley Act of 2002, that:</w:t>
      </w:r>
    </w:p>
    <w:p>
      <w:pPr>
        <w:spacing w:after="0" w:line="72" w:lineRule="exact"/>
        <w:rPr>
          <w:sz w:val="20"/>
          <w:szCs w:val="20"/>
          <w:color w:val="auto"/>
        </w:rPr>
      </w:pPr>
    </w:p>
    <w:p>
      <w:pPr>
        <w:ind w:left="940" w:hanging="473"/>
        <w:spacing w:after="0"/>
        <w:tabs>
          <w:tab w:leader="none" w:pos="9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3" w:lineRule="exact"/>
        <w:rPr>
          <w:rFonts w:ascii="Arial" w:cs="Arial" w:eastAsia="Arial" w:hAnsi="Arial"/>
          <w:sz w:val="17"/>
          <w:szCs w:val="17"/>
          <w:color w:val="auto"/>
        </w:rPr>
      </w:pPr>
    </w:p>
    <w:p>
      <w:pPr>
        <w:ind w:left="940" w:hanging="473"/>
        <w:spacing w:after="0"/>
        <w:tabs>
          <w:tab w:leader="none" w:pos="9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787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Balaji Sekar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November 8, 2022</w:t>
      </w:r>
    </w:p>
    <w:sectPr>
      <w:pgSz w:w="11900" w:h="16838" w:orient="portrait"/>
      <w:cols w:equalWidth="0" w:num="1">
        <w:col w:w="11240"/>
      </w:cols>
      <w:pgMar w:left="320" w:top="8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6DE806"/>
    <w:multiLevelType w:val="hybridMultilevel"/>
    <w:lvl w:ilvl="0">
      <w:lvlJc w:val="left"/>
      <w:lvlText w:val="x"/>
      <w:numFmt w:val="bullet"/>
      <w:start w:val="1"/>
    </w:lvl>
  </w:abstractNum>
  <w:abstractNum w:abstractNumId="1">
    <w:nsid w:val="1816F8C4"/>
    <w:multiLevelType w:val="hybridMultilevel"/>
    <w:lvl w:ilvl="0">
      <w:lvlJc w:val="left"/>
      <w:lvlText w:val="o"/>
      <w:numFmt w:val="bullet"/>
      <w:start w:val="1"/>
    </w:lvl>
  </w:abstractNum>
  <w:abstractNum w:abstractNumId="2">
    <w:nsid w:val="37DF2233"/>
    <w:multiLevelType w:val="hybridMultilevel"/>
    <w:lvl w:ilvl="0">
      <w:lvlJc w:val="left"/>
      <w:lvlText w:val="•"/>
      <w:numFmt w:val="bullet"/>
      <w:start w:val="1"/>
    </w:lvl>
  </w:abstractNum>
  <w:abstractNum w:abstractNumId="3">
    <w:nsid w:val="7AB49DAF"/>
    <w:multiLevelType w:val="hybridMultilevel"/>
    <w:lvl w:ilvl="0">
      <w:lvlJc w:val="left"/>
      <w:lvlText w:val="•"/>
      <w:numFmt w:val="bullet"/>
      <w:start w:val="1"/>
    </w:lvl>
  </w:abstractNum>
  <w:abstractNum w:abstractNumId="4">
    <w:nsid w:val="759F82CD"/>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
    <w:nsid w:val="61E74EA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6">
    <w:nsid w:val="597B4D84"/>
    <w:multiLevelType w:val="hybridMultilevel"/>
    <w:lvl w:ilvl="0">
      <w:lvlJc w:val="left"/>
      <w:lvlText w:val="(%1)"/>
      <w:numFmt w:val="decimal"/>
      <w:start w:val="1"/>
    </w:lvl>
  </w:abstractNum>
  <w:abstractNum w:abstractNumId="7">
    <w:nsid w:val="F819E7F"/>
    <w:multiLevelType w:val="hybridMultilevel"/>
    <w:lvl w:ilvl="0">
      <w:lvlJc w:val="left"/>
      <w:lvlText w:val="%1."/>
      <w:numFmt w:val="decimal"/>
      <w:start w:val="6"/>
    </w:lvl>
  </w:abstractNum>
  <w:abstractNum w:abstractNumId="8">
    <w:nsid w:val="57C7D42D"/>
    <w:multiLevelType w:val="hybridMultilevel"/>
    <w:lvl w:ilvl="0">
      <w:lvlJc w:val="left"/>
      <w:lvlText w:val="$"/>
      <w:numFmt w:val="bullet"/>
      <w:start w:val="1"/>
    </w:lvl>
  </w:abstractNum>
  <w:abstractNum w:abstractNumId="9">
    <w:nsid w:val="312167AD"/>
    <w:multiLevelType w:val="hybridMultilevel"/>
    <w:lvl w:ilvl="0">
      <w:lvlJc w:val="left"/>
      <w:lvlText w:val="$"/>
      <w:numFmt w:val="bullet"/>
      <w:start w:val="1"/>
    </w:lvl>
  </w:abstractNum>
  <w:abstractNum w:abstractNumId="10">
    <w:nsid w:val="631B64D4"/>
    <w:multiLevelType w:val="hybridMultilevel"/>
    <w:lvl w:ilvl="0">
      <w:lvlJc w:val="left"/>
      <w:lvlText w:val="%1."/>
      <w:numFmt w:val="decimal"/>
      <w:start w:val="8"/>
    </w:lvl>
  </w:abstractNum>
  <w:abstractNum w:abstractNumId="11">
    <w:nsid w:val="78B5E776"/>
    <w:multiLevelType w:val="hybridMultilevel"/>
    <w:lvl w:ilvl="0">
      <w:lvlJc w:val="left"/>
      <w:lvlText w:val="(%1)"/>
      <w:numFmt w:val="decimal"/>
      <w:start w:val="1"/>
    </w:lvl>
  </w:abstractNum>
  <w:abstractNum w:abstractNumId="12">
    <w:nsid w:val="75486E47"/>
    <w:multiLevelType w:val="hybridMultilevel"/>
    <w:lvl w:ilvl="0">
      <w:lvlJc w:val="left"/>
      <w:lvlText w:val="(%1)"/>
      <w:numFmt w:val="decimal"/>
      <w:start w:val="1"/>
    </w:lvl>
  </w:abstractNum>
  <w:abstractNum w:abstractNumId="13">
    <w:nsid w:val="6E534CDE"/>
    <w:multiLevelType w:val="hybridMultilevel"/>
    <w:lvl w:ilvl="0">
      <w:lvlJc w:val="left"/>
      <w:lvlText w:val="(%1)"/>
      <w:numFmt w:val="decimal"/>
      <w:start w:val="1"/>
    </w:lvl>
  </w:abstractNum>
  <w:abstractNum w:abstractNumId="14">
    <w:nsid w:val="1A0DDE32"/>
    <w:multiLevelType w:val="hybridMultilevel"/>
    <w:lvl w:ilvl="0">
      <w:lvlJc w:val="left"/>
      <w:lvlText w:val="(%1)"/>
      <w:numFmt w:val="decimal"/>
      <w:start w:val="1"/>
    </w:lvl>
  </w:abstractNum>
  <w:abstractNum w:abstractNumId="15">
    <w:nsid w:val="65968C1C"/>
    <w:multiLevelType w:val="hybridMultilevel"/>
    <w:lvl w:ilvl="0">
      <w:lvlJc w:val="left"/>
      <w:lvlText w:val="(%1)"/>
      <w:numFmt w:val="decimal"/>
      <w:start w:val="1"/>
    </w:lvl>
  </w:abstractNum>
  <w:abstractNum w:abstractNumId="16">
    <w:nsid w:val="46263DEC"/>
    <w:multiLevelType w:val="hybridMultilevel"/>
    <w:lvl w:ilvl="0">
      <w:lvlJc w:val="left"/>
      <w:lvlText w:val="*"/>
      <w:numFmt w:val="bullet"/>
      <w:start w:val="1"/>
    </w:lvl>
    <w:lvl w:ilvl="1">
      <w:lvlJc w:val="left"/>
      <w:lvlText w:val="%2"/>
      <w:numFmt w:val="decimal"/>
      <w:start w:val="104"/>
    </w:lvl>
  </w:abstractNum>
  <w:abstractNum w:abstractNumId="17">
    <w:nsid w:val="260D8C4A"/>
    <w:multiLevelType w:val="hybridMultilevel"/>
    <w:lvl w:ilvl="0">
      <w:lvlJc w:val="left"/>
      <w:lvlText w:val="†"/>
      <w:numFmt w:val="bullet"/>
      <w:start w:val="1"/>
    </w:lvl>
  </w:abstractNum>
  <w:abstractNum w:abstractNumId="18">
    <w:nsid w:val="73D4D3C4"/>
    <w:multiLevelType w:val="hybridMultilevel"/>
    <w:lvl w:ilvl="0">
      <w:lvlJc w:val="left"/>
      <w:lvlText w:val="B"/>
      <w:numFmt w:val="bullet"/>
      <w:start w:val="1"/>
    </w:lvl>
  </w:abstractNum>
  <w:abstractNum w:abstractNumId="19">
    <w:nsid w:val="746F2E30"/>
    <w:multiLevelType w:val="hybridMultilevel"/>
    <w:lvl w:ilvl="0">
      <w:lvlJc w:val="left"/>
      <w:lvlText w:val="N"/>
      <w:numFmt w:val="bullet"/>
      <w:start w:val="1"/>
    </w:lvl>
  </w:abstractNum>
  <w:abstractNum w:abstractNumId="20">
    <w:nsid w:val="6FDE8AF6"/>
    <w:multiLevelType w:val="hybridMultilevel"/>
    <w:lvl w:ilvl="0">
      <w:lvlJc w:val="left"/>
      <w:lvlText w:val="(%1)"/>
      <w:numFmt w:val="lowerLetter"/>
      <w:start w:val="2"/>
    </w:lvl>
  </w:abstractNum>
  <w:abstractNum w:abstractNumId="21">
    <w:nsid w:val="3FC32E20"/>
    <w:multiLevelType w:val="hybridMultilevel"/>
    <w:lvl w:ilvl="0">
      <w:lvlJc w:val="left"/>
      <w:lvlText w:val="(%1)"/>
      <w:numFmt w:val="lowerRoman"/>
      <w:start w:val="1"/>
    </w:lvl>
  </w:abstractNum>
  <w:abstractNum w:abstractNumId="22">
    <w:nsid w:val="49C0E823"/>
    <w:multiLevelType w:val="hybridMultilevel"/>
    <w:lvl w:ilvl="0">
      <w:lvlJc w:val="left"/>
      <w:lvlText w:val="(%1)"/>
      <w:numFmt w:val="lowerLetter"/>
      <w:start w:val="2"/>
    </w:lvl>
  </w:abstractNum>
  <w:abstractNum w:abstractNumId="23">
    <w:nsid w:val="14D53685"/>
    <w:multiLevelType w:val="hybridMultilevel"/>
    <w:lvl w:ilvl="0">
      <w:lvlJc w:val="left"/>
      <w:lvlText w:val="(%1)"/>
      <w:numFmt w:val="decimal"/>
      <w:start w:val="1"/>
    </w:lvl>
  </w:abstractNum>
  <w:abstractNum w:abstractNumId="24">
    <w:nsid w:val="230F856C"/>
    <w:multiLevelType w:val="hybridMultilevel"/>
    <w:lvl w:ilvl="0">
      <w:lvlJc w:val="left"/>
      <w:lvlText w:val="(%1)"/>
      <w:numFmt w:val="decimal"/>
      <w:start w:val="5"/>
    </w:lvl>
  </w:abstractNum>
  <w:abstractNum w:abstractNumId="25">
    <w:nsid w:val="6EAA85FB"/>
    <w:multiLevelType w:val="hybridMultilevel"/>
    <w:lvl w:ilvl="0">
      <w:lvlJc w:val="left"/>
      <w:lvlText w:val="(%1)"/>
      <w:numFmt w:val="lowerLetter"/>
      <w:start w:val="1"/>
    </w:lvl>
  </w:abstractNum>
  <w:abstractNum w:abstractNumId="26">
    <w:nsid w:val="3F06ECB2"/>
    <w:multiLevelType w:val="hybridMultilevel"/>
    <w:lvl w:ilvl="0">
      <w:lvlJc w:val="left"/>
      <w:lvlText w:val="(%1)"/>
      <w:numFmt w:val="lowerLetter"/>
      <w:start w:val="1"/>
    </w:lvl>
  </w:abstractNum>
  <w:abstractNum w:abstractNumId="27">
    <w:nsid w:val="3B594807"/>
    <w:multiLevelType w:val="hybridMultilevel"/>
    <w:lvl w:ilvl="0">
      <w:lvlJc w:val="left"/>
      <w:lvlText w:val="(%1)"/>
      <w:numFmt w:val="lowerLetter"/>
      <w:start w:val="7"/>
    </w:lvl>
  </w:abstractNum>
  <w:abstractNum w:abstractNumId="28">
    <w:nsid w:val="6CAA2304"/>
    <w:multiLevelType w:val="hybridMultilevel"/>
    <w:lvl w:ilvl="0">
      <w:lvlJc w:val="left"/>
      <w:lvlText w:val="%1"/>
      <w:numFmt w:val="lowerRoman"/>
      <w:start w:val="1"/>
    </w:lvl>
    <w:lvl w:ilvl="1">
      <w:lvlJc w:val="left"/>
      <w:lvlText w:val="(%2)"/>
      <w:numFmt w:val="upperLetter"/>
      <w:start w:val="1"/>
    </w:lvl>
  </w:abstractNum>
  <w:abstractNum w:abstractNumId="29">
    <w:nsid w:val="3F7C2FF4"/>
    <w:multiLevelType w:val="hybridMultilevel"/>
    <w:lvl w:ilvl="0">
      <w:lvlJc w:val="left"/>
      <w:lvlText w:val="(%1)"/>
      <w:numFmt w:val="lowerRoman"/>
      <w:start w:val="3"/>
    </w:lvl>
    <w:lvl w:ilvl="1">
      <w:lvlJc w:val="left"/>
      <w:lvlText w:val="%2"/>
      <w:numFmt w:val="upperLetter"/>
      <w:start w:val="1"/>
    </w:lvl>
  </w:abstractNum>
  <w:abstractNum w:abstractNumId="30">
    <w:nsid w:val="25413BEC"/>
    <w:multiLevelType w:val="hybridMultilevel"/>
    <w:lvl w:ilvl="0">
      <w:lvlJc w:val="left"/>
      <w:lvlText w:val="(%1)"/>
      <w:numFmt w:val="upperLetter"/>
      <w:start w:val="2"/>
    </w:lvl>
  </w:abstractNum>
  <w:abstractNum w:abstractNumId="31">
    <w:nsid w:val="17180B0B"/>
    <w:multiLevelType w:val="hybridMultilevel"/>
    <w:lvl w:ilvl="0">
      <w:lvlJc w:val="left"/>
      <w:lvlText w:val="(%1)"/>
      <w:numFmt w:val="upperLetter"/>
      <w:start w:val="3"/>
    </w:lvl>
  </w:abstractNum>
  <w:abstractNum w:abstractNumId="32">
    <w:nsid w:val="579328B9"/>
    <w:multiLevelType w:val="hybridMultilevel"/>
    <w:lvl w:ilvl="0">
      <w:lvlJc w:val="left"/>
      <w:lvlText w:val="(%1)"/>
      <w:numFmt w:val="decimal"/>
      <w:start w:val="1"/>
    </w:lvl>
  </w:abstractNum>
  <w:abstractNum w:abstractNumId="33">
    <w:nsid w:val="5D205E20"/>
    <w:multiLevelType w:val="hybridMultilevel"/>
    <w:lvl w:ilvl="0">
      <w:lvlJc w:val="left"/>
      <w:lvlText w:val="(%1)"/>
      <w:numFmt w:val="lowerLetter"/>
      <w:start w:val="1"/>
    </w:lvl>
  </w:abstractNum>
  <w:abstractNum w:abstractNumId="34">
    <w:nsid w:val="11CCA8BA"/>
    <w:multiLevelType w:val="hybridMultilevel"/>
    <w:lvl w:ilvl="0">
      <w:lvlJc w:val="left"/>
      <w:lvlText w:val="(%1)"/>
      <w:numFmt w:val="lowerLetter"/>
      <w:start w:val="4"/>
    </w:lvl>
  </w:abstractNum>
  <w:abstractNum w:abstractNumId="35">
    <w:nsid w:val="4D32AB86"/>
    <w:multiLevelType w:val="hybridMultilevel"/>
    <w:lvl w:ilvl="0">
      <w:lvlJc w:val="left"/>
      <w:lvlText w:val="(%1)"/>
      <w:numFmt w:val="lowerLetter"/>
      <w:start w:val="9"/>
    </w:lvl>
  </w:abstractNum>
  <w:abstractNum w:abstractNumId="36">
    <w:nsid w:val="3F07ACC3"/>
    <w:multiLevelType w:val="hybridMultilevel"/>
    <w:lvl w:ilvl="0">
      <w:lvlJc w:val="left"/>
      <w:lvlText w:val="(%1)"/>
      <w:numFmt w:val="lowerLetter"/>
      <w:start w:val="14"/>
    </w:lvl>
  </w:abstractNum>
  <w:abstractNum w:abstractNumId="37">
    <w:nsid w:val="6B47F63E"/>
    <w:multiLevelType w:val="hybridMultilevel"/>
    <w:lvl w:ilvl="0">
      <w:lvlJc w:val="left"/>
      <w:lvlText w:val="(%1)"/>
      <w:numFmt w:val="decimal"/>
      <w:start w:val="2"/>
    </w:lvl>
  </w:abstractNum>
  <w:abstractNum w:abstractNumId="38">
    <w:nsid w:val="5CB44A05"/>
    <w:multiLevelType w:val="hybridMultilevel"/>
    <w:lvl w:ilvl="0">
      <w:lvlJc w:val="left"/>
      <w:lvlText w:val="(%1)"/>
      <w:numFmt w:val="lowerLetter"/>
      <w:start w:val="1"/>
    </w:lvl>
  </w:abstractNum>
  <w:abstractNum w:abstractNumId="39">
    <w:nsid w:val="16CF80F1"/>
    <w:multiLevelType w:val="hybridMultilevel"/>
    <w:lvl w:ilvl="0">
      <w:lvlJc w:val="left"/>
      <w:lvlText w:val="(%1)"/>
      <w:numFmt w:val="decimal"/>
      <w:start w:val="3"/>
    </w:lvl>
  </w:abstractNum>
  <w:abstractNum w:abstractNumId="40">
    <w:nsid w:val="1C695DEC"/>
    <w:multiLevelType w:val="hybridMultilevel"/>
    <w:lvl w:ilvl="0">
      <w:lvlJc w:val="left"/>
      <w:lvlText w:val="(%1)"/>
      <w:numFmt w:val="decimal"/>
      <w:start w:val="1"/>
    </w:lvl>
  </w:abstractNum>
  <w:abstractNum w:abstractNumId="41">
    <w:nsid w:val="3FCFAED9"/>
    <w:multiLevelType w:val="hybridMultilevel"/>
    <w:lvl w:ilvl="0">
      <w:lvlJc w:val="left"/>
      <w:lvlText w:val="(%1)"/>
      <w:numFmt w:val="decimal"/>
      <w:start w:val="2"/>
    </w:lvl>
  </w:abstractNum>
  <w:abstractNum w:abstractNumId="42">
    <w:nsid w:val="F856867"/>
    <w:multiLevelType w:val="hybridMultilevel"/>
    <w:lvl w:ilvl="0">
      <w:lvlJc w:val="left"/>
      <w:lvlText w:val="(%1)"/>
      <w:numFmt w:val="decimal"/>
      <w:start w:val="1"/>
    </w:lvl>
  </w:abstractNum>
  <w:abstractNum w:abstractNumId="43">
    <w:nsid w:val="11B1CC33"/>
    <w:multiLevelType w:val="hybridMultilevel"/>
    <w:lvl w:ilvl="0">
      <w:lvlJc w:val="left"/>
      <w:lvlText w:val="(%1)"/>
      <w:numFmt w:val="decimal"/>
      <w:start w:val="3"/>
    </w:lvl>
  </w:abstractNum>
  <w:abstractNum w:abstractNumId="44">
    <w:nsid w:val="2E22FBB7"/>
    <w:multiLevelType w:val="hybridMultilevel"/>
    <w:lvl w:ilvl="0">
      <w:lvlJc w:val="left"/>
      <w:lvlText w:val="(%1)"/>
      <w:numFmt w:val="decimal"/>
      <w:start w:val="8"/>
    </w:lvl>
  </w:abstractNum>
  <w:abstractNum w:abstractNumId="45">
    <w:nsid w:val="29934699"/>
    <w:multiLevelType w:val="hybridMultilevel"/>
    <w:lvl w:ilvl="0">
      <w:lvlJc w:val="left"/>
      <w:lvlText w:val="(%1)"/>
      <w:numFmt w:val="decimal"/>
      <w:start w:val="12"/>
    </w:lvl>
    <w:lvl w:ilvl="1">
      <w:lvlJc w:val="left"/>
      <w:lvlText w:val="(%2)"/>
      <w:numFmt w:val="lowerLetter"/>
      <w:start w:val="1"/>
    </w:lvl>
  </w:abstractNum>
  <w:abstractNum w:abstractNumId="46">
    <w:nsid w:val="77485850"/>
    <w:multiLevelType w:val="hybridMultilevel"/>
    <w:lvl w:ilvl="0">
      <w:lvlJc w:val="left"/>
      <w:lvlText w:val="(%1)"/>
      <w:numFmt w:val="lowerLetter"/>
      <w:start w:val="3"/>
    </w:lvl>
  </w:abstractNum>
  <w:abstractNum w:abstractNumId="47">
    <w:nsid w:val="744939A3"/>
    <w:multiLevelType w:val="hybridMultilevel"/>
    <w:lvl w:ilvl="0">
      <w:lvlJc w:val="left"/>
      <w:lvlText w:val="(%1)"/>
      <w:numFmt w:val="decimal"/>
      <w:start w:val="18"/>
    </w:lvl>
  </w:abstractNum>
  <w:abstractNum w:abstractNumId="48">
    <w:nsid w:val="4FA0D2E3"/>
    <w:multiLevelType w:val="hybridMultilevel"/>
    <w:lvl w:ilvl="0">
      <w:lvlJc w:val="left"/>
      <w:lvlText w:val="(%1)"/>
      <w:numFmt w:val="lowerLetter"/>
      <w:start w:val="1"/>
    </w:lvl>
  </w:abstractNum>
  <w:abstractNum w:abstractNumId="49">
    <w:nsid w:val="6B1D2C14"/>
    <w:multiLevelType w:val="hybridMultilevel"/>
    <w:lvl w:ilvl="0">
      <w:lvlJc w:val="left"/>
      <w:lvlText w:val="(%1)"/>
      <w:numFmt w:val="lowerLetter"/>
      <w:start w:val="2"/>
    </w:lvl>
    <w:lvl w:ilvl="1">
      <w:lvlJc w:val="left"/>
      <w:lvlText w:val="(%2)"/>
      <w:numFmt w:val="upperLetter"/>
      <w:start w:val="1"/>
    </w:lvl>
  </w:abstractNum>
  <w:abstractNum w:abstractNumId="50">
    <w:nsid w:val="68B867D3"/>
    <w:multiLevelType w:val="hybridMultilevel"/>
    <w:lvl w:ilvl="0">
      <w:lvlJc w:val="left"/>
      <w:lvlText w:val="(%1)"/>
      <w:numFmt w:val="lowerLetter"/>
      <w:start w:val="8"/>
    </w:lvl>
  </w:abstractNum>
  <w:abstractNum w:abstractNumId="51">
    <w:nsid w:val="3F7F5DD9"/>
    <w:multiLevelType w:val="hybridMultilevel"/>
    <w:lvl w:ilvl="0">
      <w:lvlJc w:val="left"/>
      <w:lvlText w:val="(%1)"/>
      <w:numFmt w:val="lowerLetter"/>
      <w:start w:val="1"/>
    </w:lvl>
  </w:abstractNum>
  <w:abstractNum w:abstractNumId="52">
    <w:nsid w:val="2AE05A34"/>
    <w:multiLevelType w:val="hybridMultilevel"/>
    <w:lvl w:ilvl="0">
      <w:lvlJc w:val="left"/>
      <w:lvlText w:val="(%1)"/>
      <w:numFmt w:val="lowerLetter"/>
      <w:start w:val="3"/>
    </w:lvl>
  </w:abstractNum>
  <w:abstractNum w:abstractNumId="53">
    <w:nsid w:val="32794FF7"/>
    <w:multiLevelType w:val="hybridMultilevel"/>
    <w:lvl w:ilvl="0">
      <w:lvlJc w:val="left"/>
      <w:lvlText w:val="(%1)"/>
      <w:numFmt w:val="lowerRoman"/>
      <w:start w:val="10"/>
    </w:lvl>
  </w:abstractNum>
  <w:abstractNum w:abstractNumId="54">
    <w:nsid w:val="5454945E"/>
    <w:multiLevelType w:val="hybridMultilevel"/>
    <w:lvl w:ilvl="0">
      <w:lvlJc w:val="left"/>
      <w:lvlText w:val="(%1)"/>
      <w:numFmt w:val="lowerLetter"/>
      <w:start w:val="2"/>
    </w:lvl>
  </w:abstractNum>
  <w:abstractNum w:abstractNumId="55">
    <w:nsid w:val="4DEFDFA0"/>
    <w:multiLevelType w:val="hybridMultilevel"/>
    <w:lvl w:ilvl="0">
      <w:lvlJc w:val="left"/>
      <w:lvlText w:val="(%1)"/>
      <w:numFmt w:val="decimal"/>
      <w:start w:val="1"/>
    </w:lvl>
  </w:abstractNum>
  <w:abstractNum w:abstractNumId="56">
    <w:nsid w:val="2123D5F2"/>
    <w:multiLevelType w:val="hybridMultilevel"/>
    <w:lvl w:ilvl="0">
      <w:lvlJc w:val="left"/>
      <w:lvlText w:val="(%1)"/>
      <w:numFmt w:val="lowerRoman"/>
      <w:start w:val="1"/>
    </w:lvl>
  </w:abstractNum>
  <w:abstractNum w:abstractNumId="57">
    <w:nsid w:val="135B8110"/>
    <w:multiLevelType w:val="hybridMultilevel"/>
    <w:lvl w:ilvl="0">
      <w:lvlJc w:val="left"/>
      <w:lvlText w:val="(%1)"/>
      <w:numFmt w:val="lowerLetter"/>
      <w:start w:val="2"/>
    </w:lvl>
  </w:abstractNum>
  <w:abstractNum w:abstractNumId="58">
    <w:nsid w:val="94927A8"/>
    <w:multiLevelType w:val="hybridMultilevel"/>
    <w:lvl w:ilvl="0">
      <w:lvlJc w:val="left"/>
      <w:lvlText w:val="(%1)"/>
      <w:numFmt w:val="decimal"/>
      <w:start w:val="1"/>
    </w:lvl>
  </w:abstractNum>
  <w:abstractNum w:abstractNumId="59">
    <w:nsid w:val="DCDF8F6"/>
    <w:multiLevelType w:val="hybridMultilevel"/>
    <w:lvl w:ilvl="0">
      <w:lvlJc w:val="left"/>
      <w:lvlText w:val="(%1)"/>
      <w:numFmt w:val="lowerRoman"/>
      <w:start w:val="5"/>
    </w:lvl>
  </w:abstractNum>
  <w:abstractNum w:abstractNumId="60">
    <w:nsid w:val="52D7B105"/>
    <w:multiLevelType w:val="hybridMultilevel"/>
    <w:lvl w:ilvl="0">
      <w:lvlJc w:val="left"/>
      <w:lvlText w:val="(%1)"/>
      <w:numFmt w:val="lowerLetter"/>
      <w:start w:val="1"/>
    </w:lvl>
  </w:abstractNum>
  <w:abstractNum w:abstractNumId="61">
    <w:nsid w:val="2E8A6394"/>
    <w:multiLevelType w:val="hybridMultilevel"/>
    <w:lvl w:ilvl="0">
      <w:lvlJc w:val="left"/>
      <w:lvlText w:val="(%1)"/>
      <w:numFmt w:val="lowerLetter"/>
      <w:start w:val="8"/>
    </w:lvl>
  </w:abstractNum>
  <w:abstractNum w:abstractNumId="62">
    <w:nsid w:val="24E60401"/>
    <w:multiLevelType w:val="hybridMultilevel"/>
    <w:lvl w:ilvl="0">
      <w:lvlJc w:val="left"/>
      <w:lvlText w:val="(%1)"/>
      <w:numFmt w:val="lowerRoman"/>
      <w:start w:val="2"/>
    </w:lvl>
  </w:abstractNum>
  <w:abstractNum w:abstractNumId="63">
    <w:nsid w:val="2A6AD9BE"/>
    <w:multiLevelType w:val="hybridMultilevel"/>
    <w:lvl w:ilvl="0">
      <w:lvlJc w:val="left"/>
      <w:lvlText w:val="(%1)"/>
      <w:numFmt w:val="lowerLetter"/>
      <w:start w:val="1"/>
    </w:lvl>
    <w:lvl w:ilvl="1">
      <w:lvlJc w:val="left"/>
      <w:lvlText w:val="(%2)"/>
      <w:numFmt w:val="lowerRoman"/>
      <w:start w:val="1"/>
    </w:lvl>
  </w:abstractNum>
  <w:abstractNum w:abstractNumId="64">
    <w:nsid w:val="BAAC1B4"/>
    <w:multiLevelType w:val="hybridMultilevel"/>
    <w:lvl w:ilvl="0">
      <w:lvlJc w:val="left"/>
      <w:lvlText w:val="(%1)"/>
      <w:numFmt w:val="lowerLetter"/>
      <w:start w:val="1"/>
    </w:lvl>
  </w:abstractNum>
  <w:abstractNum w:abstractNumId="65">
    <w:nsid w:val="36B2ACBC"/>
    <w:multiLevelType w:val="hybridMultilevel"/>
    <w:lvl w:ilvl="0">
      <w:lvlJc w:val="left"/>
      <w:lvlText w:val="(%1)"/>
      <w:numFmt w:val="lowerLetter"/>
      <w:start w:val="2"/>
    </w:lvl>
  </w:abstractNum>
  <w:abstractNum w:abstractNumId="66">
    <w:nsid w:val="779D8544"/>
    <w:multiLevelType w:val="hybridMultilevel"/>
    <w:lvl w:ilvl="0">
      <w:lvlJc w:val="left"/>
      <w:lvlText w:val="(%1)"/>
      <w:numFmt w:val="lowerLetter"/>
      <w:start w:val="1"/>
    </w:lvl>
  </w:abstractNum>
  <w:abstractNum w:abstractNumId="67">
    <w:nsid w:val="4AB26E78"/>
    <w:multiLevelType w:val="hybridMultilevel"/>
    <w:lvl w:ilvl="0">
      <w:lvlJc w:val="left"/>
      <w:lvlText w:val="(%1)"/>
      <w:numFmt w:val="lowerRoman"/>
      <w:start w:val="1"/>
    </w:lvl>
  </w:abstractNum>
  <w:abstractNum w:abstractNumId="68">
    <w:nsid w:val="21FAA2FA"/>
    <w:multiLevelType w:val="hybridMultilevel"/>
    <w:lvl w:ilvl="0">
      <w:lvlJc w:val="left"/>
      <w:lvlText w:val="(%1)"/>
      <w:numFmt w:val="lowerLetter"/>
      <w:start w:val="1"/>
    </w:lvl>
  </w:abstractNum>
  <w:abstractNum w:abstractNumId="69">
    <w:nsid w:val="5451CF49"/>
    <w:multiLevelType w:val="hybridMultilevel"/>
    <w:lvl w:ilvl="0">
      <w:lvlJc w:val="left"/>
      <w:lvlText w:val="(%1)"/>
      <w:numFmt w:val="lowerRoman"/>
      <w:start w:val="2"/>
    </w:lvl>
  </w:abstractNum>
  <w:abstractNum w:abstractNumId="70">
    <w:nsid w:val="6181EF69"/>
    <w:multiLevelType w:val="hybridMultilevel"/>
    <w:lvl w:ilvl="0">
      <w:lvlJc w:val="left"/>
      <w:lvlText w:val="(%1)"/>
      <w:numFmt w:val="lowerRoman"/>
      <w:start w:val="2"/>
    </w:lvl>
  </w:abstractNum>
  <w:abstractNum w:abstractNumId="71">
    <w:nsid w:val="3E6400E6"/>
    <w:multiLevelType w:val="hybridMultilevel"/>
    <w:lvl w:ilvl="0">
      <w:lvlJc w:val="left"/>
      <w:lvlText w:val="(%1)"/>
      <w:numFmt w:val="lowerLetter"/>
      <w:start w:val="1"/>
    </w:lvl>
    <w:lvl w:ilvl="1">
      <w:lvlJc w:val="left"/>
      <w:lvlText w:val="(%2)"/>
      <w:numFmt w:val="lowerLetter"/>
      <w:start w:val="24"/>
    </w:lvl>
  </w:abstractNum>
  <w:abstractNum w:abstractNumId="72">
    <w:nsid w:val="14217E23"/>
    <w:multiLevelType w:val="hybridMultilevel"/>
    <w:lvl w:ilvl="0">
      <w:lvlJc w:val="left"/>
      <w:lvlText w:val="(%1)"/>
      <w:numFmt w:val="lowerRoman"/>
      <w:start w:val="1"/>
    </w:lvl>
  </w:abstractNum>
  <w:abstractNum w:abstractNumId="73">
    <w:nsid w:val="710757D0"/>
    <w:multiLevelType w:val="hybridMultilevel"/>
    <w:lvl w:ilvl="0">
      <w:lvlJc w:val="left"/>
      <w:lvlText w:val="(%1)"/>
      <w:numFmt w:val="lowerLetter"/>
      <w:start w:val="2"/>
    </w:lvl>
  </w:abstractNum>
  <w:abstractNum w:abstractNumId="74">
    <w:nsid w:val="5015CD1A"/>
    <w:multiLevelType w:val="hybridMultilevel"/>
    <w:lvl w:ilvl="0">
      <w:lvlJc w:val="left"/>
      <w:lvlText w:val="(%1)"/>
      <w:numFmt w:val="lowerLetter"/>
      <w:start w:val="1"/>
    </w:lvl>
  </w:abstractNum>
  <w:abstractNum w:abstractNumId="75">
    <w:nsid w:val="424479DA"/>
    <w:multiLevelType w:val="hybridMultilevel"/>
    <w:lvl w:ilvl="0">
      <w:lvlJc w:val="left"/>
      <w:lvlText w:val="%1"/>
      <w:numFmt w:val="decimal"/>
      <w:start w:val="1"/>
    </w:lvl>
    <w:lvl w:ilvl="1">
      <w:lvlJc w:val="left"/>
      <w:lvlText w:val="(%2)"/>
      <w:numFmt w:val="lowerLetter"/>
      <w:start w:val="2"/>
    </w:lvl>
  </w:abstractNum>
  <w:abstractNum w:abstractNumId="76">
    <w:nsid w:val="1A9A9E69"/>
    <w:multiLevelType w:val="hybridMultilevel"/>
    <w:lvl w:ilvl="0">
      <w:lvlJc w:val="left"/>
      <w:lvlText w:val="(%1)"/>
      <w:numFmt w:val="decimal"/>
      <w:start w:val="2"/>
    </w:lvl>
    <w:lvl w:ilvl="1">
      <w:lvlJc w:val="left"/>
      <w:lvlText w:val="(%2)"/>
      <w:numFmt w:val="lowerLetter"/>
      <w:start w:val="3"/>
    </w:lvl>
  </w:abstractNum>
  <w:abstractNum w:abstractNumId="77">
    <w:nsid w:val="475E256A"/>
    <w:multiLevelType w:val="hybridMultilevel"/>
    <w:lvl w:ilvl="0">
      <w:lvlJc w:val="left"/>
      <w:lvlText w:val="(%1)"/>
      <w:numFmt w:val="lowerLetter"/>
      <w:start w:val="2"/>
    </w:lvl>
  </w:abstractNum>
  <w:abstractNum w:abstractNumId="78">
    <w:nsid w:val="368DB37E"/>
    <w:multiLevelType w:val="hybridMultilevel"/>
    <w:lvl w:ilvl="0">
      <w:lvlJc w:val="left"/>
      <w:lvlText w:val="(%1)"/>
      <w:numFmt w:val="lowerLetter"/>
      <w:start w:val="2"/>
    </w:lvl>
  </w:abstractNum>
  <w:abstractNum w:abstractNumId="79">
    <w:nsid w:val="6A3B714C"/>
    <w:multiLevelType w:val="hybridMultilevel"/>
    <w:lvl w:ilvl="0">
      <w:lvlJc w:val="left"/>
      <w:lvlText w:val="(%1)"/>
      <w:numFmt w:val="lowerLetter"/>
      <w:start w:val="6"/>
    </w:lvl>
  </w:abstractNum>
  <w:abstractNum w:abstractNumId="80">
    <w:nsid w:val="327B517E"/>
    <w:multiLevelType w:val="hybridMultilevel"/>
    <w:lvl w:ilvl="0">
      <w:lvlJc w:val="left"/>
      <w:lvlText w:val="(%1)"/>
      <w:numFmt w:val="lowerRoman"/>
      <w:start w:val="1"/>
    </w:lvl>
    <w:lvl w:ilvl="1">
      <w:lvlJc w:val="left"/>
      <w:lvlText w:val="(%2)"/>
      <w:numFmt w:val="upperLetter"/>
      <w:start w:val="1"/>
    </w:lvl>
  </w:abstractNum>
  <w:abstractNum w:abstractNumId="81">
    <w:nsid w:val="1F461B51"/>
    <w:multiLevelType w:val="hybridMultilevel"/>
    <w:lvl w:ilvl="0">
      <w:lvlJc w:val="left"/>
      <w:lvlText w:val="%1"/>
      <w:numFmt w:val="lowerRoman"/>
      <w:start w:val="1"/>
    </w:lvl>
    <w:lvl w:ilvl="1">
      <w:lvlJc w:val="left"/>
      <w:lvlText w:val="(%2)"/>
      <w:numFmt w:val="upperLetter"/>
      <w:start w:val="2"/>
    </w:lvl>
  </w:abstractNum>
  <w:abstractNum w:abstractNumId="82">
    <w:nsid w:val="29BACF25"/>
    <w:multiLevelType w:val="hybridMultilevel"/>
    <w:lvl w:ilvl="0">
      <w:lvlJc w:val="left"/>
      <w:lvlText w:val="(%1)"/>
      <w:numFmt w:val="lowerRoman"/>
      <w:start w:val="3"/>
    </w:lvl>
    <w:lvl w:ilvl="1">
      <w:lvlJc w:val="left"/>
      <w:lvlText w:val="%2"/>
      <w:numFmt w:val="upperLetter"/>
      <w:start w:val="1"/>
    </w:lvl>
  </w:abstractNum>
  <w:abstractNum w:abstractNumId="83">
    <w:nsid w:val="5D5BABB3"/>
    <w:multiLevelType w:val="hybridMultilevel"/>
    <w:lvl w:ilvl="0">
      <w:lvlJc w:val="left"/>
      <w:lvlText w:val="%1"/>
      <w:numFmt w:val="lowerLetter"/>
      <w:start w:val="1"/>
    </w:lvl>
    <w:lvl w:ilvl="1">
      <w:lvlJc w:val="left"/>
      <w:lvlText w:val="(%2)"/>
      <w:numFmt w:val="lowerLetter"/>
      <w:start w:val="22"/>
    </w:lvl>
  </w:abstractNum>
  <w:abstractNum w:abstractNumId="84">
    <w:nsid w:val="51BF6B48"/>
    <w:multiLevelType w:val="hybridMultilevel"/>
    <w:lvl w:ilvl="0">
      <w:lvlJc w:val="left"/>
      <w:lvlText w:val="(%1)"/>
      <w:numFmt w:val="lowerLetter"/>
      <w:start w:val="2"/>
    </w:lvl>
    <w:lvl w:ilvl="1">
      <w:lvlJc w:val="left"/>
      <w:lvlText w:val="(%2)"/>
      <w:numFmt w:val="lowerLetter"/>
      <w:start w:val="9"/>
    </w:lvl>
  </w:abstractNum>
  <w:abstractNum w:abstractNumId="85">
    <w:nsid w:val="7E0F6384"/>
    <w:multiLevelType w:val="hybridMultilevel"/>
    <w:lvl w:ilvl="0">
      <w:lvlJc w:val="left"/>
      <w:lvlText w:val="%1"/>
      <w:numFmt w:val="lowerLetter"/>
      <w:start w:val="1"/>
    </w:lvl>
    <w:lvl w:ilvl="1">
      <w:lvlJc w:val="left"/>
      <w:lvlText w:val="(%2)"/>
      <w:numFmt w:val="lowerRoman"/>
      <w:start w:val="2"/>
    </w:lvl>
  </w:abstractNum>
  <w:abstractNum w:abstractNumId="86">
    <w:nsid w:val="2B4B8B53"/>
    <w:multiLevelType w:val="hybridMultilevel"/>
    <w:lvl w:ilvl="0">
      <w:lvlJc w:val="left"/>
      <w:lvlText w:val="(%1)"/>
      <w:numFmt w:val="lowerLetter"/>
      <w:start w:val="3"/>
    </w:lvl>
    <w:lvl w:ilvl="1">
      <w:lvlJc w:val="left"/>
      <w:lvlText w:val="(%2)"/>
      <w:numFmt w:val="lowerRoman"/>
      <w:start w:val="1"/>
    </w:lvl>
  </w:abstractNum>
  <w:abstractNum w:abstractNumId="87">
    <w:nsid w:val="72E3413A"/>
    <w:multiLevelType w:val="hybridMultilevel"/>
    <w:lvl w:ilvl="0">
      <w:lvlJc w:val="left"/>
      <w:lvlText w:val="(%1)"/>
      <w:numFmt w:val="lowerRoman"/>
      <w:start w:val="2"/>
    </w:lvl>
  </w:abstractNum>
  <w:abstractNum w:abstractNumId="88">
    <w:nsid w:val="116AE494"/>
    <w:multiLevelType w:val="hybridMultilevel"/>
    <w:lvl w:ilvl="0">
      <w:lvlJc w:val="left"/>
      <w:lvlText w:val="(%1)"/>
      <w:numFmt w:val="lowerRoman"/>
      <w:start w:val="3"/>
    </w:lvl>
  </w:abstractNum>
  <w:abstractNum w:abstractNumId="89">
    <w:nsid w:val="3494B2FB"/>
    <w:multiLevelType w:val="hybridMultilevel"/>
    <w:lvl w:ilvl="0">
      <w:lvlJc w:val="left"/>
      <w:lvlText w:val="(%1)"/>
      <w:numFmt w:val="lowerLetter"/>
      <w:start w:val="4"/>
    </w:lvl>
    <w:lvl w:ilvl="1">
      <w:lvlJc w:val="left"/>
      <w:lvlText w:val="(%2)"/>
      <w:numFmt w:val="lowerRoman"/>
      <w:start w:val="1"/>
    </w:lvl>
  </w:abstractNum>
  <w:abstractNum w:abstractNumId="90">
    <w:nsid w:val="B13A31"/>
    <w:multiLevelType w:val="hybridMultilevel"/>
    <w:lvl w:ilvl="0">
      <w:lvlJc w:val="left"/>
      <w:lvlText w:val="(%1)"/>
      <w:numFmt w:val="lowerLetter"/>
      <w:start w:val="9"/>
    </w:lvl>
    <w:lvl w:ilvl="1">
      <w:lvlJc w:val="left"/>
      <w:lvlText w:val="%2"/>
      <w:numFmt w:val="lowerRoman"/>
      <w:start w:val="1"/>
    </w:lvl>
  </w:abstractNum>
  <w:abstractNum w:abstractNumId="91">
    <w:nsid w:val="64429599"/>
    <w:multiLevelType w:val="hybridMultilevel"/>
    <w:lvl w:ilvl="0">
      <w:lvlJc w:val="left"/>
      <w:lvlText w:val="(%1)"/>
      <w:numFmt w:val="lowerLetter"/>
      <w:start w:val="5"/>
    </w:lvl>
    <w:lvl w:ilvl="1">
      <w:lvlJc w:val="left"/>
      <w:lvlText w:val="(%2)"/>
      <w:numFmt w:val="lowerRoman"/>
      <w:start w:val="1"/>
    </w:lvl>
  </w:abstractNum>
  <w:abstractNum w:abstractNumId="92">
    <w:nsid w:val="631F1690"/>
    <w:multiLevelType w:val="hybridMultilevel"/>
    <w:lvl w:ilvl="0">
      <w:lvlJc w:val="left"/>
      <w:lvlText w:val="(%1)"/>
      <w:numFmt w:val="lowerRoman"/>
      <w:start w:val="3"/>
    </w:lvl>
  </w:abstractNum>
  <w:abstractNum w:abstractNumId="93">
    <w:nsid w:val="25973E32"/>
    <w:multiLevelType w:val="hybridMultilevel"/>
    <w:lvl w:ilvl="0">
      <w:lvlJc w:val="left"/>
      <w:lvlText w:val="(%1)"/>
      <w:numFmt w:val="lowerLetter"/>
      <w:start w:val="6"/>
    </w:lvl>
  </w:abstractNum>
  <w:abstractNum w:abstractNumId="94">
    <w:nsid w:val="EAD6F57"/>
    <w:multiLevelType w:val="hybridMultilevel"/>
    <w:lvl w:ilvl="0">
      <w:lvlJc w:val="left"/>
      <w:lvlText w:val="(%1)"/>
      <w:numFmt w:val="lowerLetter"/>
      <w:start w:val="7"/>
    </w:lvl>
  </w:abstractNum>
  <w:abstractNum w:abstractNumId="95">
    <w:nsid w:val="6EC9D844"/>
    <w:multiLevelType w:val="hybridMultilevel"/>
    <w:lvl w:ilvl="0">
      <w:lvlJc w:val="left"/>
      <w:lvlText w:val="(%1)"/>
      <w:numFmt w:val="lowerLetter"/>
      <w:start w:val="8"/>
    </w:lvl>
  </w:abstractNum>
  <w:abstractNum w:abstractNumId="96">
    <w:nsid w:val="5C49EAEE"/>
    <w:multiLevelType w:val="hybridMultilevel"/>
    <w:lvl w:ilvl="0">
      <w:lvlJc w:val="left"/>
      <w:lvlText w:val="(%1)"/>
      <w:numFmt w:val="lowerLetter"/>
      <w:start w:val="9"/>
    </w:lvl>
  </w:abstractNum>
  <w:abstractNum w:abstractNumId="97">
    <w:nsid w:val="64AF49B"/>
    <w:multiLevelType w:val="hybridMultilevel"/>
    <w:lvl w:ilvl="0">
      <w:lvlJc w:val="left"/>
      <w:lvlText w:val="%1"/>
      <w:numFmt w:val="lowerLetter"/>
      <w:start w:val="1"/>
    </w:lvl>
    <w:lvl w:ilvl="1">
      <w:lvlJc w:val="left"/>
      <w:lvlText w:val="(%2)"/>
      <w:numFmt w:val="lowerLetter"/>
      <w:start w:val="14"/>
    </w:lvl>
  </w:abstractNum>
  <w:abstractNum w:abstractNumId="98">
    <w:nsid w:val="397C46BC"/>
    <w:multiLevelType w:val="hybridMultilevel"/>
    <w:lvl w:ilvl="0">
      <w:lvlJc w:val="left"/>
      <w:lvlText w:val="(%1)"/>
      <w:numFmt w:val="lowerLetter"/>
      <w:start w:val="9"/>
    </w:lvl>
    <w:lvl w:ilvl="1">
      <w:lvlJc w:val="left"/>
      <w:lvlText w:val="(%2)"/>
      <w:numFmt w:val="lowerLetter"/>
      <w:start w:val="15"/>
    </w:lvl>
  </w:abstractNum>
  <w:abstractNum w:abstractNumId="99">
    <w:nsid w:val="7E448DE9"/>
    <w:multiLevelType w:val="hybridMultilevel"/>
    <w:lvl w:ilvl="0">
      <w:lvlJc w:val="left"/>
      <w:lvlText w:val="(%1)"/>
      <w:numFmt w:val="lowerLetter"/>
      <w:start w:val="17"/>
    </w:lvl>
  </w:abstractNum>
  <w:abstractNum w:abstractNumId="100">
    <w:nsid w:val="5A9CC3E5"/>
    <w:multiLevelType w:val="hybridMultilevel"/>
    <w:lvl w:ilvl="0">
      <w:lvlJc w:val="left"/>
      <w:lvlText w:val="(%1)"/>
      <w:numFmt w:val="lowerRoman"/>
      <w:start w:val="2"/>
    </w:lvl>
  </w:abstractNum>
  <w:abstractNum w:abstractNumId="101">
    <w:nsid w:val="1AFE3625"/>
    <w:multiLevelType w:val="hybridMultilevel"/>
    <w:lvl w:ilvl="0">
      <w:lvlJc w:val="left"/>
      <w:lvlText w:val="(%1)"/>
      <w:numFmt w:val="lowerLetter"/>
      <w:start w:val="2"/>
    </w:lvl>
    <w:lvl w:ilvl="1">
      <w:lvlJc w:val="left"/>
      <w:lvlText w:val="(%2)"/>
      <w:numFmt w:val="lowerLetter"/>
      <w:start w:val="9"/>
    </w:lvl>
  </w:abstractNum>
  <w:abstractNum w:abstractNumId="102">
    <w:nsid w:val="3CA88ECF"/>
    <w:multiLevelType w:val="hybridMultilevel"/>
    <w:lvl w:ilvl="0">
      <w:lvlJc w:val="left"/>
      <w:lvlText w:val="(%1)"/>
      <w:numFmt w:val="lowerRoman"/>
      <w:start w:val="2"/>
    </w:lvl>
  </w:abstractNum>
  <w:abstractNum w:abstractNumId="103">
    <w:nsid w:val="6EBE4208"/>
    <w:multiLevelType w:val="hybridMultilevel"/>
    <w:lvl w:ilvl="0">
      <w:lvlJc w:val="left"/>
      <w:lvlText w:val="(%1)"/>
      <w:numFmt w:val="lowerLetter"/>
      <w:start w:val="4"/>
    </w:lvl>
    <w:lvl w:ilvl="1">
      <w:lvlJc w:val="left"/>
      <w:lvlText w:val="(%2)"/>
      <w:numFmt w:val="lowerRoman"/>
      <w:start w:val="1"/>
    </w:lvl>
  </w:abstractNum>
  <w:abstractNum w:abstractNumId="104">
    <w:nsid w:val="C058DF5"/>
    <w:multiLevelType w:val="hybridMultilevel"/>
    <w:lvl w:ilvl="0">
      <w:lvlJc w:val="left"/>
      <w:lvlText w:val="(%1)"/>
      <w:numFmt w:val="lowerLetter"/>
      <w:start w:val="8"/>
    </w:lvl>
  </w:abstractNum>
  <w:abstractNum w:abstractNumId="105">
    <w:nsid w:val="CBE5BE9"/>
    <w:multiLevelType w:val="hybridMultilevel"/>
    <w:lvl w:ilvl="0">
      <w:lvlJc w:val="left"/>
      <w:lvlText w:val="(%1)"/>
      <w:numFmt w:val="lowerRoman"/>
      <w:start w:val="1"/>
    </w:lvl>
  </w:abstractNum>
  <w:abstractNum w:abstractNumId="106">
    <w:nsid w:val="3102BBE2"/>
    <w:multiLevelType w:val="hybridMultilevel"/>
    <w:lvl w:ilvl="0">
      <w:lvlJc w:val="left"/>
      <w:lvlText w:val="(%1)"/>
      <w:numFmt w:val="lowerRoman"/>
      <w:start w:val="2"/>
    </w:lvl>
  </w:abstractNum>
  <w:abstractNum w:abstractNumId="107">
    <w:nsid w:val="26A02C5E"/>
    <w:multiLevelType w:val="hybridMultilevel"/>
    <w:lvl w:ilvl="0">
      <w:lvlJc w:val="left"/>
      <w:lvlText w:val="%1"/>
      <w:numFmt w:val="upperLetter"/>
      <w:start w:val="1"/>
    </w:lvl>
    <w:lvl w:ilvl="1">
      <w:lvlJc w:val="left"/>
      <w:lvlText w:val="(%2)"/>
      <w:numFmt w:val="upperLetter"/>
      <w:start w:val="1"/>
    </w:lvl>
  </w:abstractNum>
  <w:abstractNum w:abstractNumId="108">
    <w:nsid w:val="541C8153"/>
    <w:multiLevelType w:val="hybridMultilevel"/>
    <w:lvl w:ilvl="0">
      <w:lvlJc w:val="left"/>
      <w:lvlText w:val="(%1)"/>
      <w:numFmt w:val="upperLetter"/>
      <w:start w:val="9"/>
    </w:lvl>
    <w:lvl w:ilvl="1">
      <w:lvlJc w:val="left"/>
      <w:lvlText w:val="(%2)"/>
      <w:numFmt w:val="upperLetter"/>
      <w:start w:val="2"/>
    </w:lvl>
  </w:abstractNum>
  <w:abstractNum w:abstractNumId="109">
    <w:nsid w:val="67906F60"/>
    <w:multiLevelType w:val="hybridMultilevel"/>
    <w:lvl w:ilvl="0">
      <w:lvlJc w:val="left"/>
      <w:lvlText w:val="(%1)"/>
      <w:numFmt w:val="upperLetter"/>
      <w:start w:val="22"/>
    </w:lvl>
    <w:lvl w:ilvl="1">
      <w:lvlJc w:val="left"/>
      <w:lvlText w:val="%2"/>
      <w:numFmt w:val="upperLetter"/>
      <w:start w:val="1"/>
    </w:lvl>
  </w:abstractNum>
  <w:abstractNum w:abstractNumId="110">
    <w:nsid w:val="10DB9DAA"/>
    <w:multiLevelType w:val="hybridMultilevel"/>
    <w:lvl w:ilvl="0">
      <w:lvlJc w:val="left"/>
      <w:lvlText w:val="(%1)"/>
      <w:numFmt w:val="decimal"/>
      <w:start w:val="1"/>
    </w:lvl>
  </w:abstractNum>
  <w:abstractNum w:abstractNumId="111">
    <w:nsid w:val="697D2D2"/>
    <w:multiLevelType w:val="hybridMultilevel"/>
    <w:lvl w:ilvl="0">
      <w:lvlJc w:val="left"/>
      <w:lvlText w:val="(%1)"/>
      <w:numFmt w:val="upperLetter"/>
      <w:start w:val="3"/>
    </w:lvl>
    <w:lvl w:ilvl="1">
      <w:lvlJc w:val="left"/>
      <w:lvlText w:val="(%2)"/>
      <w:numFmt w:val="decimal"/>
      <w:start w:val="2"/>
    </w:lvl>
  </w:abstractNum>
  <w:abstractNum w:abstractNumId="112">
    <w:nsid w:val="6D68AB2"/>
    <w:multiLevelType w:val="hybridMultilevel"/>
    <w:lvl w:ilvl="0">
      <w:lvlJc w:val="left"/>
      <w:lvlText w:val="(%1)"/>
      <w:numFmt w:val="decimal"/>
      <w:start w:val="3"/>
    </w:lvl>
  </w:abstractNum>
  <w:abstractNum w:abstractNumId="113">
    <w:nsid w:val="3A966CD0"/>
    <w:multiLevelType w:val="hybridMultilevel"/>
    <w:lvl w:ilvl="0">
      <w:lvlJc w:val="left"/>
      <w:lvlText w:val="(%1)"/>
      <w:numFmt w:val="upperLetter"/>
      <w:start w:val="4"/>
    </w:lvl>
    <w:lvl w:ilvl="1">
      <w:lvlJc w:val="left"/>
      <w:lvlText w:val="(%2)"/>
      <w:numFmt w:val="decimal"/>
      <w:start w:val="2"/>
    </w:lvl>
  </w:abstractNum>
  <w:abstractNum w:abstractNumId="114">
    <w:nsid w:val="63F37E85"/>
    <w:multiLevelType w:val="hybridMultilevel"/>
    <w:lvl w:ilvl="0">
      <w:lvlJc w:val="left"/>
      <w:lvlText w:val="(%1)"/>
      <w:numFmt w:val="decimal"/>
      <w:start w:val="3"/>
    </w:lvl>
  </w:abstractNum>
  <w:abstractNum w:abstractNumId="115">
    <w:nsid w:val="5895F5FA"/>
    <w:multiLevelType w:val="hybridMultilevel"/>
    <w:lvl w:ilvl="0">
      <w:lvlJc w:val="left"/>
      <w:lvlText w:val="(%1)"/>
      <w:numFmt w:val="upperLetter"/>
      <w:start w:val="5"/>
    </w:lvl>
  </w:abstractNum>
  <w:abstractNum w:abstractNumId="116">
    <w:nsid w:val="38A5D0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117">
    <w:nsid w:val="F3F09D8"/>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18">
    <w:nsid w:val="4B793735"/>
    <w:multiLevelType w:val="hybridMultilevel"/>
    <w:lvl w:ilvl="0">
      <w:lvlJc w:val="left"/>
      <w:lvlText w:val="(%1)"/>
      <w:numFmt w:val="lowerRoman"/>
      <w:start w:val="2"/>
    </w:lvl>
  </w:abstractNum>
  <w:abstractNum w:abstractNumId="119">
    <w:nsid w:val="4A10B4E8"/>
    <w:multiLevelType w:val="hybridMultilevel"/>
    <w:lvl w:ilvl="0">
      <w:lvlJc w:val="left"/>
      <w:lvlText w:val="(%1)"/>
      <w:numFmt w:val="lowerRoman"/>
      <w:start w:val="4"/>
    </w:lvl>
  </w:abstractNum>
  <w:abstractNum w:abstractNumId="120">
    <w:nsid w:val="43D3BCD4"/>
    <w:multiLevelType w:val="hybridMultilevel"/>
    <w:lvl w:ilvl="0">
      <w:lvlJc w:val="left"/>
      <w:lvlText w:val="(%1)"/>
      <w:numFmt w:val="lowerRoman"/>
      <w:start w:val="6"/>
    </w:lvl>
  </w:abstractNum>
  <w:abstractNum w:abstractNumId="121">
    <w:nsid w:val="4C2A7166"/>
    <w:multiLevelType w:val="hybridMultilevel"/>
    <w:lvl w:ilvl="0">
      <w:lvlJc w:val="left"/>
      <w:lvlText w:val="(%1)"/>
      <w:numFmt w:val="lowerRoman"/>
      <w:start w:val="9"/>
    </w:lvl>
  </w:abstractNum>
  <w:abstractNum w:abstractNumId="122">
    <w:nsid w:val="2E534A82"/>
    <w:multiLevelType w:val="hybridMultilevel"/>
    <w:lvl w:ilvl="0">
      <w:lvlJc w:val="left"/>
      <w:lvlText w:val="(%1)"/>
      <w:numFmt w:val="lowerLetter"/>
      <w:start w:val="2"/>
    </w:lvl>
  </w:abstractNum>
  <w:abstractNum w:abstractNumId="123">
    <w:nsid w:val="26F2D364"/>
    <w:multiLevelType w:val="hybridMultilevel"/>
    <w:lvl w:ilvl="0">
      <w:lvlJc w:val="left"/>
      <w:lvlText w:val="(%1)"/>
      <w:numFmt w:val="lowerLetter"/>
      <w:start w:val="2"/>
    </w:lvl>
  </w:abstractNum>
  <w:abstractNum w:abstractNumId="124">
    <w:nsid w:val="71C1AF98"/>
    <w:multiLevelType w:val="hybridMultilevel"/>
    <w:lvl w:ilvl="0">
      <w:lvlJc w:val="left"/>
      <w:lvlText w:val="(%1)"/>
      <w:numFmt w:val="lowerLetter"/>
      <w:start w:val="2"/>
    </w:lvl>
  </w:abstractNum>
  <w:abstractNum w:abstractNumId="125">
    <w:nsid w:val="3D00B9D9"/>
    <w:multiLevelType w:val="hybridMultilevel"/>
    <w:lvl w:ilvl="0">
      <w:lvlJc w:val="left"/>
      <w:lvlText w:val="(%1)"/>
      <w:numFmt w:val="lowerLetter"/>
      <w:start w:val="3"/>
    </w:lvl>
  </w:abstractNum>
  <w:abstractNum w:abstractNumId="126">
    <w:nsid w:val="15BCABA8"/>
    <w:multiLevelType w:val="hybridMultilevel"/>
    <w:lvl w:ilvl="0">
      <w:lvlJc w:val="left"/>
      <w:lvlText w:val="(%1)"/>
      <w:numFmt w:val="lowerLetter"/>
      <w:start w:val="1"/>
    </w:lvl>
  </w:abstractNum>
  <w:abstractNum w:abstractNumId="127">
    <w:nsid w:val="4E0B9A87"/>
    <w:multiLevelType w:val="hybridMultilevel"/>
    <w:lvl w:ilvl="0">
      <w:lvlJc w:val="left"/>
      <w:lvlText w:val="(%1)"/>
      <w:numFmt w:val="lowerLetter"/>
      <w:start w:val="2"/>
    </w:lvl>
  </w:abstractNum>
  <w:abstractNum w:abstractNumId="128">
    <w:nsid w:val="434BAE75"/>
    <w:multiLevelType w:val="hybridMultilevel"/>
    <w:lvl w:ilvl="0">
      <w:lvlJc w:val="left"/>
      <w:lvlText w:val="(%1)"/>
      <w:numFmt w:val="lowerLetter"/>
      <w:start w:val="2"/>
    </w:lvl>
    <w:lvl w:ilvl="1">
      <w:lvlJc w:val="left"/>
      <w:lvlText w:val="(%2)"/>
      <w:numFmt w:val="lowerRoman"/>
      <w:start w:val="1"/>
    </w:lvl>
  </w:abstractNum>
  <w:abstractNum w:abstractNumId="129">
    <w:nsid w:val="4F38F265"/>
    <w:multiLevelType w:val="hybridMultilevel"/>
    <w:lvl w:ilvl="0">
      <w:lvlJc w:val="left"/>
      <w:lvlText w:val="(%1)"/>
      <w:numFmt w:val="lowerLetter"/>
      <w:start w:val="4"/>
    </w:lvl>
  </w:abstractNum>
  <w:abstractNum w:abstractNumId="130">
    <w:nsid w:val="4C502870"/>
    <w:multiLevelType w:val="hybridMultilevel"/>
    <w:lvl w:ilvl="0">
      <w:lvlJc w:val="left"/>
      <w:lvlText w:val="(%1)"/>
      <w:numFmt w:val="lowerLetter"/>
      <w:start w:val="2"/>
    </w:lvl>
  </w:abstractNum>
  <w:abstractNum w:abstractNumId="131">
    <w:nsid w:val="1DE8725A"/>
    <w:multiLevelType w:val="hybridMultilevel"/>
    <w:lvl w:ilvl="0">
      <w:lvlJc w:val="left"/>
      <w:lvlText w:val="(%1)"/>
      <w:numFmt w:val="lowerLetter"/>
      <w:start w:val="3"/>
    </w:lvl>
    <w:lvl w:ilvl="1">
      <w:lvlJc w:val="left"/>
      <w:lvlText w:val="(%2)"/>
      <w:numFmt w:val="lowerRoman"/>
      <w:start w:val="1"/>
    </w:lvl>
  </w:abstractNum>
  <w:abstractNum w:abstractNumId="132">
    <w:nsid w:val="6A37288A"/>
    <w:multiLevelType w:val="hybridMultilevel"/>
    <w:lvl w:ilvl="0">
      <w:lvlJc w:val="left"/>
      <w:lvlText w:val="%1"/>
      <w:numFmt w:val="lowerLetter"/>
      <w:start w:val="1"/>
    </w:lvl>
    <w:lvl w:ilvl="1">
      <w:lvlJc w:val="left"/>
      <w:lvlText w:val="(%2)"/>
      <w:numFmt w:val="lowerRoman"/>
      <w:start w:val="3"/>
    </w:lvl>
  </w:abstractNum>
  <w:abstractNum w:abstractNumId="133">
    <w:nsid w:val="8F8B73F"/>
    <w:multiLevelType w:val="hybridMultilevel"/>
    <w:lvl w:ilvl="0">
      <w:lvlJc w:val="left"/>
      <w:lvlText w:val="(%1)"/>
      <w:numFmt w:val="lowerLetter"/>
      <w:start w:val="25"/>
    </w:lvl>
    <w:lvl w:ilvl="1">
      <w:lvlJc w:val="left"/>
      <w:lvlText w:val="%2"/>
      <w:numFmt w:val="lowerRoman"/>
      <w:start w:val="1"/>
    </w:lvl>
  </w:abstractNum>
  <w:abstractNum w:abstractNumId="134">
    <w:nsid w:val="CA6B462"/>
    <w:multiLevelType w:val="hybridMultilevel"/>
    <w:lvl w:ilvl="0">
      <w:lvlJc w:val="left"/>
      <w:lvlText w:val="(%1)"/>
      <w:numFmt w:val="lowerRoman"/>
      <w:start w:val="6"/>
    </w:lvl>
  </w:abstractNum>
  <w:abstractNum w:abstractNumId="135">
    <w:nsid w:val="763CB680"/>
    <w:multiLevelType w:val="hybridMultilevel"/>
    <w:lvl w:ilvl="0">
      <w:lvlJc w:val="left"/>
      <w:lvlText w:val="(%1)"/>
      <w:numFmt w:val="lowerLetter"/>
      <w:start w:val="1"/>
    </w:lvl>
    <w:lvl w:ilvl="1">
      <w:lvlJc w:val="left"/>
      <w:lvlText w:val="(%2)"/>
      <w:numFmt w:val="lowerLetter"/>
      <w:start w:val="5"/>
    </w:lvl>
  </w:abstractNum>
  <w:abstractNum w:abstractNumId="136">
    <w:nsid w:val="15B71329"/>
    <w:multiLevelType w:val="hybridMultilevel"/>
    <w:lvl w:ilvl="0">
      <w:lvlJc w:val="left"/>
      <w:lvlText w:val="(%1)"/>
      <w:numFmt w:val="lowerRoman"/>
      <w:start w:val="1"/>
    </w:lvl>
    <w:lvl w:ilvl="1">
      <w:lvlJc w:val="left"/>
      <w:lvlText w:val="(%2)"/>
      <w:numFmt w:val="upperLetter"/>
      <w:start w:val="1"/>
    </w:lvl>
  </w:abstractNum>
  <w:abstractNum w:abstractNumId="137">
    <w:nsid w:val="3DA97044"/>
    <w:multiLevelType w:val="hybridMultilevel"/>
    <w:lvl w:ilvl="0">
      <w:lvlJc w:val="left"/>
      <w:lvlText w:val="(%1)"/>
      <w:numFmt w:val="upperLetter"/>
      <w:start w:val="1"/>
    </w:lvl>
  </w:abstractNum>
  <w:abstractNum w:abstractNumId="138">
    <w:nsid w:val="1CDCE2D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139">
    <w:nsid w:val="69D3947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0">
    <w:nsid w:val="2539DFA5"/>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41">
    <w:nsid w:val="2DB88089"/>
    <w:multiLevelType w:val="hybridMultilevel"/>
    <w:lvl w:ilvl="0">
      <w:lvlJc w:val="left"/>
      <w:lvlText w:val="(%1)"/>
      <w:numFmt w:val="lowerLetter"/>
      <w:start w:val="8"/>
    </w:lvl>
  </w:abstractNum>
  <w:abstractNum w:abstractNumId="142">
    <w:nsid w:val="706B674E"/>
    <w:multiLevelType w:val="hybridMultilevel"/>
    <w:lvl w:ilvl="0">
      <w:lvlJc w:val="left"/>
      <w:lvlText w:val="(%1)"/>
      <w:numFmt w:val="lowerLetter"/>
      <w:start w:val="2"/>
    </w:lvl>
  </w:abstractNum>
  <w:abstractNum w:abstractNumId="143">
    <w:nsid w:val="2C106A57"/>
    <w:multiLevelType w:val="hybridMultilevel"/>
    <w:lvl w:ilvl="0">
      <w:lvlJc w:val="left"/>
      <w:lvlText w:val="(%1)"/>
      <w:numFmt w:val="lowerLetter"/>
      <w:start w:val="2"/>
    </w:lvl>
  </w:abstractNum>
  <w:abstractNum w:abstractNumId="144">
    <w:nsid w:val="684EED59"/>
    <w:multiLevelType w:val="hybridMultilevel"/>
    <w:lvl w:ilvl="0">
      <w:lvlJc w:val="left"/>
      <w:lvlText w:val="(%1)"/>
      <w:numFmt w:val="upperLetter"/>
      <w:start w:val="2"/>
    </w:lvl>
    <w:lvl w:ilvl="1">
      <w:lvlJc w:val="left"/>
      <w:lvlText w:val="(%2)"/>
      <w:numFmt w:val="lowerLetter"/>
      <w:start w:val="3"/>
    </w:lvl>
  </w:abstractNum>
  <w:abstractNum w:abstractNumId="145">
    <w:nsid w:val="545EE5D3"/>
    <w:multiLevelType w:val="hybridMultilevel"/>
    <w:lvl w:ilvl="0">
      <w:lvlJc w:val="left"/>
      <w:lvlText w:val="(%1)"/>
      <w:numFmt w:val="lowerLetter"/>
      <w:start w:val="5"/>
    </w:lvl>
  </w:abstractNum>
  <w:abstractNum w:abstractNumId="146">
    <w:nsid w:val="4A66051"/>
    <w:multiLevelType w:val="hybridMultilevel"/>
    <w:lvl w:ilvl="0">
      <w:lvlJc w:val="left"/>
      <w:lvlText w:val="(%1)"/>
      <w:numFmt w:val="lowerRoman"/>
      <w:start w:val="1"/>
    </w:lvl>
  </w:abstractNum>
  <w:abstractNum w:abstractNumId="147">
    <w:nsid w:val="20F4BDAD"/>
    <w:multiLevelType w:val="hybridMultilevel"/>
    <w:lvl w:ilvl="0">
      <w:lvlJc w:val="left"/>
      <w:lvlText w:val="%1"/>
      <w:numFmt w:val="lowerLetter"/>
      <w:start w:val="1"/>
    </w:lvl>
    <w:lvl w:ilvl="1">
      <w:lvlJc w:val="left"/>
      <w:lvlText w:val="(%2)"/>
      <w:numFmt w:val="lowerRoman"/>
      <w:start w:val="3"/>
    </w:lvl>
  </w:abstractNum>
  <w:abstractNum w:abstractNumId="148">
    <w:nsid w:val="639DEFAC"/>
    <w:multiLevelType w:val="hybridMultilevel"/>
    <w:lvl w:ilvl="0">
      <w:lvlJc w:val="left"/>
      <w:lvlText w:val="(%1)"/>
      <w:numFmt w:val="lowerLetter"/>
      <w:start w:val="2"/>
    </w:lvl>
    <w:lvl w:ilvl="1">
      <w:lvlJc w:val="left"/>
      <w:lvlText w:val="%2"/>
      <w:numFmt w:val="lowerRoman"/>
      <w:start w:val="1"/>
    </w:lvl>
  </w:abstractNum>
  <w:abstractNum w:abstractNumId="149">
    <w:nsid w:val="501F9786"/>
    <w:multiLevelType w:val="hybridMultilevel"/>
    <w:lvl w:ilvl="0">
      <w:lvlJc w:val="left"/>
      <w:lvlText w:val="(%1)"/>
      <w:numFmt w:val="decimal"/>
      <w:start w:val="30"/>
    </w:lvl>
    <w:lvl w:ilvl="1">
      <w:lvlJc w:val="left"/>
      <w:lvlText w:val="(%2)"/>
      <w:numFmt w:val="lowerLetter"/>
      <w:start w:val="2"/>
    </w:lvl>
  </w:abstractNum>
  <w:abstractNum w:abstractNumId="150">
    <w:nsid w:val="6B057295"/>
    <w:multiLevelType w:val="hybridMultilevel"/>
    <w:lvl w:ilvl="0">
      <w:lvlJc w:val="left"/>
      <w:lvlText w:val="(%1)"/>
      <w:numFmt w:val="lowerLetter"/>
      <w:start w:val="4"/>
    </w:lvl>
    <w:lvl w:ilvl="1">
      <w:lvlJc w:val="left"/>
      <w:lvlText w:val="(%2)"/>
      <w:numFmt w:val="upperLetter"/>
      <w:start w:val="1"/>
    </w:lvl>
    <w:lvl w:ilvl="2">
      <w:lvlJc w:val="left"/>
      <w:lvlText w:val="(%3)"/>
      <w:numFmt w:val="upperLetter"/>
      <w:start w:val="9"/>
    </w:lvl>
  </w:abstractNum>
  <w:abstractNum w:abstractNumId="151">
    <w:nsid w:val="2771AC80"/>
    <w:multiLevelType w:val="hybridMultilevel"/>
    <w:lvl w:ilvl="0">
      <w:lvlJc w:val="left"/>
      <w:lvlText w:val="(%1)"/>
      <w:numFmt w:val="upperLetter"/>
      <w:start w:val="35"/>
    </w:lvl>
  </w:abstractNum>
  <w:abstractNum w:abstractNumId="152">
    <w:nsid w:val="1C4A08EC"/>
    <w:multiLevelType w:val="hybridMultilevel"/>
    <w:lvl w:ilvl="0">
      <w:lvlJc w:val="left"/>
      <w:lvlText w:val="(%1)"/>
      <w:numFmt w:val="upperLetter"/>
      <w:start w:val="61"/>
    </w:lvl>
  </w:abstractNum>
  <w:abstractNum w:abstractNumId="153">
    <w:nsid w:val="1958BD17"/>
    <w:multiLevelType w:val="hybridMultilevel"/>
    <w:lvl w:ilvl="0">
      <w:lvlJc w:val="left"/>
      <w:lvlText w:val="(%1)"/>
      <w:numFmt w:val="upperLetter"/>
      <w:start w:val="3"/>
    </w:lvl>
  </w:abstractNum>
  <w:abstractNum w:abstractNumId="154">
    <w:nsid w:val="4E647FE4"/>
    <w:multiLevelType w:val="hybridMultilevel"/>
    <w:lvl w:ilvl="0">
      <w:lvlJc w:val="left"/>
      <w:lvlText w:val="(%1)"/>
      <w:numFmt w:val="lowerLetter"/>
      <w:start w:val="5"/>
    </w:lvl>
  </w:abstractNum>
  <w:abstractNum w:abstractNumId="155">
    <w:nsid w:val="E0BB885"/>
    <w:multiLevelType w:val="hybridMultilevel"/>
    <w:lvl w:ilvl="0">
      <w:lvlJc w:val="left"/>
      <w:lvlText w:val="(%1)"/>
      <w:numFmt w:val="lowerLetter"/>
      <w:start w:val="2"/>
    </w:lvl>
  </w:abstractNum>
  <w:abstractNum w:abstractNumId="156">
    <w:nsid w:val="565976F1"/>
    <w:multiLevelType w:val="hybridMultilevel"/>
    <w:lvl w:ilvl="0">
      <w:lvlJc w:val="left"/>
      <w:lvlText w:val="(%1)"/>
      <w:numFmt w:val="lowerLetter"/>
      <w:start w:val="4"/>
    </w:lvl>
  </w:abstractNum>
  <w:abstractNum w:abstractNumId="157">
    <w:nsid w:val="64212B8C"/>
    <w:multiLevelType w:val="hybridMultilevel"/>
    <w:lvl w:ilvl="0">
      <w:lvlJc w:val="left"/>
      <w:lvlText w:val="(%1)"/>
      <w:numFmt w:val="lowerLetter"/>
      <w:start w:val="1"/>
    </w:lvl>
  </w:abstractNum>
  <w:abstractNum w:abstractNumId="158">
    <w:nsid w:val="5C17530C"/>
    <w:multiLevelType w:val="hybridMultilevel"/>
    <w:lvl w:ilvl="0">
      <w:lvlJc w:val="left"/>
      <w:lvlText w:val="(%1)"/>
      <w:numFmt w:val="lowerLetter"/>
      <w:start w:val="2"/>
    </w:lvl>
    <w:lvl w:ilvl="1">
      <w:lvlJc w:val="left"/>
      <w:lvlText w:val="(%2)"/>
      <w:numFmt w:val="lowerLetter"/>
      <w:start w:val="9"/>
    </w:lvl>
  </w:abstractNum>
  <w:abstractNum w:abstractNumId="159">
    <w:nsid w:val="19A52566"/>
    <w:multiLevelType w:val="hybridMultilevel"/>
    <w:lvl w:ilvl="0">
      <w:lvlJc w:val="left"/>
      <w:lvlText w:val="%1"/>
      <w:numFmt w:val="lowerLetter"/>
      <w:start w:val="1"/>
    </w:lvl>
    <w:lvl w:ilvl="1">
      <w:lvlJc w:val="left"/>
      <w:lvlText w:val="(%2)"/>
      <w:numFmt w:val="lowerLetter"/>
      <w:start w:val="35"/>
    </w:lvl>
  </w:abstractNum>
  <w:abstractNum w:abstractNumId="160">
    <w:nsid w:val="335A1DF1"/>
    <w:multiLevelType w:val="hybridMultilevel"/>
    <w:lvl w:ilvl="0">
      <w:lvlJc w:val="left"/>
      <w:lvlText w:val="(%1)"/>
      <w:numFmt w:val="lowerLetter"/>
      <w:start w:val="4"/>
    </w:lvl>
    <w:lvl w:ilvl="1">
      <w:lvlJc w:val="left"/>
      <w:lvlText w:val="%2"/>
      <w:numFmt w:val="lowerLetter"/>
      <w:start w:val="1"/>
    </w:lvl>
  </w:abstractNum>
  <w:abstractNum w:abstractNumId="161">
    <w:nsid w:val="28677B7C"/>
    <w:multiLevelType w:val="hybridMultilevel"/>
    <w:lvl w:ilvl="0">
      <w:lvlJc w:val="left"/>
      <w:lvlText w:val="(%1)"/>
      <w:numFmt w:val="lowerLetter"/>
      <w:start w:val="2"/>
    </w:lvl>
  </w:abstractNum>
  <w:abstractNum w:abstractNumId="162">
    <w:nsid w:val="378D97C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3">
    <w:nsid w:val="1D9146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64">
    <w:nsid w:val="316032B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65">
    <w:nsid w:val="44344C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6">
    <w:nsid w:val="13CDFCFC"/>
    <w:multiLevelType w:val="hybridMultilevel"/>
    <w:lvl w:ilvl="0">
      <w:lvlJc w:val="left"/>
      <w:lvlText w:val="(%1)"/>
      <w:numFmt w:val="lowerLetter"/>
      <w:start w:val="4"/>
    </w:lvl>
  </w:abstractNum>
  <w:abstractNum w:abstractNumId="167">
    <w:nsid w:val="471745E4"/>
    <w:multiLevelType w:val="hybridMultilevel"/>
    <w:lvl w:ilvl="0">
      <w:lvlJc w:val="left"/>
      <w:lvlText w:val="(%1)"/>
      <w:numFmt w:val="lowerRoman"/>
      <w:start w:val="1"/>
    </w:lvl>
  </w:abstractNum>
  <w:abstractNum w:abstractNumId="168">
    <w:nsid w:val="1DDBC66"/>
    <w:multiLevelType w:val="hybridMultilevel"/>
    <w:lvl w:ilvl="0">
      <w:lvlJc w:val="left"/>
      <w:lvlText w:val="(%1)"/>
      <w:numFmt w:val="lowerRoman"/>
      <w:start w:val="3"/>
    </w:lvl>
  </w:abstractNum>
  <w:abstractNum w:abstractNumId="169">
    <w:nsid w:val="30AADFDA"/>
    <w:multiLevelType w:val="hybridMultilevel"/>
    <w:lvl w:ilvl="0">
      <w:lvlJc w:val="left"/>
      <w:lvlText w:val="(%1)"/>
      <w:numFmt w:val="lowerLetter"/>
      <w:start w:val="2"/>
    </w:lvl>
  </w:abstractNum>
  <w:abstractNum w:abstractNumId="170">
    <w:nsid w:val="30EADA61"/>
    <w:multiLevelType w:val="hybridMultilevel"/>
    <w:lvl w:ilvl="0">
      <w:lvlJc w:val="left"/>
      <w:lvlText w:val="(%1)"/>
      <w:numFmt w:val="lowerLetter"/>
      <w:start w:val="1"/>
    </w:lvl>
  </w:abstractNum>
  <w:abstractNum w:abstractNumId="171">
    <w:nsid w:val="27179C0B"/>
    <w:multiLevelType w:val="hybridMultilevel"/>
    <w:lvl w:ilvl="0">
      <w:lvlJc w:val="left"/>
      <w:lvlText w:val="(%1)"/>
      <w:numFmt w:val="lowerLetter"/>
      <w:start w:val="5"/>
    </w:lvl>
  </w:abstractNum>
  <w:abstractNum w:abstractNumId="172">
    <w:nsid w:val="5E636063"/>
    <w:multiLevelType w:val="hybridMultilevel"/>
    <w:lvl w:ilvl="0">
      <w:lvlJc w:val="left"/>
      <w:lvlText w:val="(%1)"/>
      <w:numFmt w:val="lowerLetter"/>
      <w:start w:val="2"/>
    </w:lvl>
  </w:abstractNum>
  <w:abstractNum w:abstractNumId="173">
    <w:nsid w:val="215641AF"/>
    <w:multiLevelType w:val="hybridMultilevel"/>
    <w:lvl w:ilvl="0">
      <w:lvlJc w:val="left"/>
      <w:lvlText w:val="(%1)"/>
      <w:numFmt w:val="lowerLetter"/>
      <w:start w:val="2"/>
    </w:lvl>
  </w:abstractNum>
  <w:abstractNum w:abstractNumId="174">
    <w:nsid w:val="53280662"/>
    <w:multiLevelType w:val="hybridMultilevel"/>
    <w:lvl w:ilvl="0">
      <w:lvlJc w:val="left"/>
      <w:lvlText w:val="(%1)"/>
      <w:numFmt w:val="lowerLetter"/>
      <w:start w:val="2"/>
    </w:lvl>
  </w:abstractNum>
  <w:abstractNum w:abstractNumId="175">
    <w:nsid w:val="46B24DBC"/>
    <w:multiLevelType w:val="hybridMultilevel"/>
    <w:lvl w:ilvl="0">
      <w:lvlJc w:val="left"/>
      <w:lvlText w:val="(%1)"/>
      <w:numFmt w:val="lowerLetter"/>
      <w:start w:val="2"/>
    </w:lvl>
  </w:abstractNum>
  <w:abstractNum w:abstractNumId="176">
    <w:nsid w:val="75B52783"/>
    <w:multiLevelType w:val="hybridMultilevel"/>
    <w:lvl w:ilvl="0">
      <w:lvlJc w:val="left"/>
      <w:lvlText w:val="(%1)"/>
      <w:numFmt w:val="lowerLetter"/>
      <w:start w:val="2"/>
    </w:lvl>
  </w:abstractNum>
  <w:abstractNum w:abstractNumId="177">
    <w:nsid w:val="57CE66B4"/>
    <w:multiLevelType w:val="hybridMultilevel"/>
    <w:lvl w:ilvl="0">
      <w:lvlJc w:val="left"/>
      <w:lvlText w:val="(%1)"/>
      <w:numFmt w:val="lowerRoman"/>
      <w:start w:val="1"/>
    </w:lvl>
  </w:abstractNum>
  <w:abstractNum w:abstractNumId="178">
    <w:nsid w:val="67A70B69"/>
    <w:multiLevelType w:val="hybridMultilevel"/>
    <w:lvl w:ilvl="0">
      <w:lvlJc w:val="left"/>
      <w:lvlText w:val="(%1)"/>
      <w:numFmt w:val="lowerLetter"/>
      <w:start w:val="1"/>
    </w:lvl>
  </w:abstractNum>
  <w:abstractNum w:abstractNumId="179">
    <w:nsid w:val="5953172F"/>
    <w:multiLevelType w:val="hybridMultilevel"/>
    <w:lvl w:ilvl="0">
      <w:lvlJc w:val="left"/>
      <w:lvlText w:val="(%1)"/>
      <w:numFmt w:val="lowerLetter"/>
      <w:start w:val="3"/>
    </w:lvl>
  </w:abstractNum>
  <w:abstractNum w:abstractNumId="180">
    <w:nsid w:val="27EDFE3A"/>
    <w:multiLevelType w:val="hybridMultilevel"/>
    <w:lvl w:ilvl="0">
      <w:lvlJc w:val="left"/>
      <w:lvlText w:val="(%1)"/>
      <w:numFmt w:val="lowerLetter"/>
      <w:start w:val="1"/>
    </w:lvl>
  </w:abstractNum>
  <w:abstractNum w:abstractNumId="181">
    <w:nsid w:val="52AC7DFF"/>
    <w:multiLevelType w:val="hybridMultilevel"/>
    <w:lvl w:ilvl="0">
      <w:lvlJc w:val="left"/>
      <w:lvlText w:val="(%1)"/>
      <w:numFmt w:val="lowerRoman"/>
      <w:start w:val="10"/>
    </w:lvl>
  </w:abstractNum>
  <w:abstractNum w:abstractNumId="182">
    <w:nsid w:val="C4C3AF"/>
    <w:multiLevelType w:val="hybridMultilevel"/>
    <w:lvl w:ilvl="0">
      <w:lvlJc w:val="left"/>
      <w:lvlText w:val="%1"/>
      <w:numFmt w:val="lowerLetter"/>
      <w:start w:val="1"/>
    </w:lvl>
    <w:lvl w:ilvl="1">
      <w:lvlJc w:val="left"/>
      <w:lvlText w:val="(%2)"/>
      <w:numFmt w:val="lowerLetter"/>
      <w:start w:val="2"/>
    </w:lvl>
  </w:abstractNum>
  <w:abstractNum w:abstractNumId="183">
    <w:nsid w:val="44380727"/>
    <w:multiLevelType w:val="hybridMultilevel"/>
    <w:lvl w:ilvl="0">
      <w:lvlJc w:val="left"/>
      <w:lvlText w:val="(%1)"/>
      <w:numFmt w:val="lowerLetter"/>
      <w:start w:val="1"/>
    </w:lvl>
    <w:lvl w:ilvl="1">
      <w:lvlJc w:val="left"/>
      <w:lvlText w:val="%2"/>
      <w:numFmt w:val="lowerLetter"/>
      <w:start w:val="1"/>
    </w:lvl>
  </w:abstractNum>
  <w:abstractNum w:abstractNumId="184">
    <w:nsid w:val="6C053B16"/>
    <w:multiLevelType w:val="hybridMultilevel"/>
    <w:lvl w:ilvl="0">
      <w:lvlJc w:val="left"/>
      <w:lvlText w:val="(%1)"/>
      <w:numFmt w:val="lowerLetter"/>
      <w:start w:val="2"/>
    </w:lvl>
  </w:abstractNum>
  <w:abstractNum w:abstractNumId="185">
    <w:nsid w:val="4F294393"/>
    <w:multiLevelType w:val="hybridMultilevel"/>
    <w:lvl w:ilvl="0">
      <w:lvlJc w:val="left"/>
      <w:lvlText w:val="(%1)"/>
      <w:numFmt w:val="lowerRoman"/>
      <w:start w:val="1"/>
    </w:lvl>
    <w:lvl w:ilvl="1">
      <w:lvlJc w:val="left"/>
      <w:lvlText w:val="(%2)"/>
      <w:numFmt w:val="upperLetter"/>
      <w:start w:val="1"/>
    </w:lvl>
  </w:abstractNum>
  <w:abstractNum w:abstractNumId="186">
    <w:nsid w:val="5243BFAC"/>
    <w:multiLevelType w:val="hybridMultilevel"/>
    <w:lvl w:ilvl="0">
      <w:lvlJc w:val="left"/>
      <w:lvlText w:val="(%1)"/>
      <w:numFmt w:val="lowerLetter"/>
      <w:start w:val="1"/>
    </w:lvl>
  </w:abstractNum>
  <w:abstractNum w:abstractNumId="187">
    <w:nsid w:val="425EB207"/>
    <w:multiLevelType w:val="hybridMultilevel"/>
    <w:lvl w:ilvl="0">
      <w:lvlJc w:val="left"/>
      <w:lvlText w:val="(%1)"/>
      <w:numFmt w:val="lowerLetter"/>
      <w:start w:val="4"/>
    </w:lvl>
  </w:abstractNum>
  <w:abstractNum w:abstractNumId="188">
    <w:nsid w:val="334A6F1F"/>
    <w:multiLevelType w:val="hybridMultilevel"/>
    <w:lvl w:ilvl="0">
      <w:lvlJc w:val="left"/>
      <w:lvlText w:val="(%1)"/>
      <w:numFmt w:val="lowerLetter"/>
      <w:start w:val="11"/>
    </w:lvl>
  </w:abstractNum>
  <w:abstractNum w:abstractNumId="189">
    <w:nsid w:val="2E5B12B8"/>
    <w:multiLevelType w:val="hybridMultilevel"/>
    <w:lvl w:ilvl="0">
      <w:lvlJc w:val="left"/>
      <w:lvlText w:val="(%1)"/>
      <w:numFmt w:val="lowerLetter"/>
      <w:start w:val="19"/>
    </w:lvl>
  </w:abstractNum>
  <w:abstractNum w:abstractNumId="190">
    <w:nsid w:val="5C03D76D"/>
    <w:multiLevelType w:val="hybridMultilevel"/>
    <w:lvl w:ilvl="0">
      <w:lvlJc w:val="left"/>
      <w:lvlText w:val="(%1)"/>
      <w:numFmt w:val="lowerLetter"/>
      <w:start w:val="25"/>
    </w:lvl>
  </w:abstractNum>
  <w:abstractNum w:abstractNumId="191">
    <w:nsid w:val="66A48D11"/>
    <w:multiLevelType w:val="hybridMultilevel"/>
    <w:lvl w:ilvl="0">
      <w:lvlJc w:val="left"/>
      <w:lvlText w:val="(%1)"/>
      <w:numFmt w:val="lowerLetter"/>
      <w:start w:val="27"/>
    </w:lvl>
  </w:abstractNum>
  <w:abstractNum w:abstractNumId="192">
    <w:nsid w:val="56C28E34"/>
    <w:multiLevelType w:val="hybridMultilevel"/>
    <w:lvl w:ilvl="0">
      <w:lvlJc w:val="left"/>
      <w:lvlText w:val="(%1)"/>
      <w:numFmt w:val="lowerLetter"/>
      <w:start w:val="32"/>
    </w:lvl>
  </w:abstractNum>
  <w:abstractNum w:abstractNumId="193">
    <w:nsid w:val="13916F2D"/>
    <w:multiLevelType w:val="hybridMultilevel"/>
    <w:lvl w:ilvl="0">
      <w:lvlJc w:val="left"/>
      <w:lvlText w:val="(%1)"/>
      <w:numFmt w:val="lowerLetter"/>
      <w:start w:val="1"/>
    </w:lvl>
  </w:abstractNum>
  <w:abstractNum w:abstractNumId="194">
    <w:nsid w:val="435D38D"/>
    <w:multiLevelType w:val="hybridMultilevel"/>
    <w:lvl w:ilvl="0">
      <w:lvlJc w:val="left"/>
      <w:lvlText w:val="(%1)"/>
      <w:numFmt w:val="lowerLetter"/>
      <w:start w:val="4"/>
    </w:lvl>
  </w:abstractNum>
  <w:abstractNum w:abstractNumId="195">
    <w:nsid w:val="822C0EF"/>
    <w:multiLevelType w:val="hybridMultilevel"/>
    <w:lvl w:ilvl="0">
      <w:lvlJc w:val="left"/>
      <w:lvlText w:val="(%1)"/>
      <w:numFmt w:val="lowerLetter"/>
      <w:start w:val="10"/>
    </w:lvl>
  </w:abstractNum>
  <w:abstractNum w:abstractNumId="196">
    <w:nsid w:val="57C5BB4F"/>
    <w:multiLevelType w:val="hybridMultilevel"/>
    <w:lvl w:ilvl="0">
      <w:lvlJc w:val="left"/>
      <w:lvlText w:val="(%1)"/>
      <w:numFmt w:val="lowerLetter"/>
      <w:start w:val="20"/>
    </w:lvl>
  </w:abstractNum>
  <w:abstractNum w:abstractNumId="197">
    <w:nsid w:val="1803D089"/>
    <w:multiLevelType w:val="hybridMultilevel"/>
    <w:lvl w:ilvl="0">
      <w:lvlJc w:val="left"/>
      <w:lvlText w:val="(%1)"/>
      <w:numFmt w:val="lowerLetter"/>
      <w:start w:val="27"/>
    </w:lvl>
  </w:abstractNum>
  <w:abstractNum w:abstractNumId="198">
    <w:nsid w:val="4F3A06D4"/>
    <w:multiLevelType w:val="hybridMultilevel"/>
    <w:lvl w:ilvl="0">
      <w:lvlJc w:val="left"/>
      <w:lvlText w:val="(%1)"/>
      <w:numFmt w:val="lowerLetter"/>
      <w:start w:val="1"/>
    </w:lvl>
  </w:abstractNum>
  <w:abstractNum w:abstractNumId="199">
    <w:nsid w:val="59A377B6"/>
    <w:multiLevelType w:val="hybridMultilevel"/>
    <w:lvl w:ilvl="0">
      <w:lvlJc w:val="left"/>
      <w:lvlText w:val="%1"/>
      <w:numFmt w:val="upperLetter"/>
      <w:start w:val="1"/>
    </w:lvl>
    <w:lvl w:ilvl="1">
      <w:lvlJc w:val="left"/>
      <w:lvlText w:val="(%2)"/>
      <w:numFmt w:val="lowerLetter"/>
      <w:start w:val="4"/>
    </w:lvl>
  </w:abstractNum>
  <w:abstractNum w:abstractNumId="200">
    <w:nsid w:val="48AEB063"/>
    <w:multiLevelType w:val="hybridMultilevel"/>
    <w:lvl w:ilvl="0">
      <w:lvlJc w:val="left"/>
      <w:lvlText w:val="(%1)"/>
      <w:numFmt w:val="upperLetter"/>
      <w:start w:val="2"/>
    </w:lvl>
    <w:lvl w:ilvl="1">
      <w:lvlJc w:val="left"/>
      <w:lvlText w:val="(%2)"/>
      <w:numFmt w:val="lowerLetter"/>
      <w:start w:val="6"/>
    </w:lvl>
  </w:abstractNum>
  <w:abstractNum w:abstractNumId="201">
    <w:nsid w:val="24E135"/>
    <w:multiLevelType w:val="hybridMultilevel"/>
    <w:lvl w:ilvl="0">
      <w:lvlJc w:val="left"/>
      <w:lvlText w:val="(%1)"/>
      <w:numFmt w:val="lowerLetter"/>
      <w:start w:val="8"/>
    </w:lvl>
  </w:abstractNum>
  <w:abstractNum w:abstractNumId="202">
    <w:nsid w:val="BB13C1"/>
    <w:multiLevelType w:val="hybridMultilevel"/>
    <w:lvl w:ilvl="0">
      <w:lvlJc w:val="left"/>
      <w:lvlText w:val="(%1)"/>
      <w:numFmt w:val="lowerLetter"/>
      <w:start w:val="16"/>
    </w:lvl>
  </w:abstractNum>
  <w:abstractNum w:abstractNumId="203">
    <w:nsid w:val="271210C7"/>
    <w:multiLevelType w:val="hybridMultilevel"/>
    <w:lvl w:ilvl="0">
      <w:lvlJc w:val="left"/>
      <w:lvlText w:val="(%1)"/>
      <w:numFmt w:val="lowerLetter"/>
      <w:start w:val="35"/>
    </w:lvl>
    <w:lvl w:ilvl="1">
      <w:lvlJc w:val="left"/>
      <w:lvlText w:val="(%2)"/>
      <w:numFmt w:val="lowerLetter"/>
      <w:start w:val="18"/>
    </w:lvl>
  </w:abstractNum>
  <w:abstractNum w:abstractNumId="204">
    <w:nsid w:val="217B22E4"/>
    <w:multiLevelType w:val="hybridMultilevel"/>
    <w:lvl w:ilvl="0">
      <w:lvlJc w:val="left"/>
      <w:lvlText w:val="(%1)"/>
      <w:numFmt w:val="decimal"/>
      <w:start w:val="91"/>
    </w:lvl>
    <w:lvl w:ilvl="1">
      <w:lvlJc w:val="left"/>
      <w:lvlText w:val="(%2)"/>
      <w:numFmt w:val="lowerLetter"/>
      <w:start w:val="24"/>
    </w:lvl>
  </w:abstractNum>
  <w:abstractNum w:abstractNumId="205">
    <w:nsid w:val="53E31A24"/>
    <w:multiLevelType w:val="hybridMultilevel"/>
    <w:lvl w:ilvl="0">
      <w:lvlJc w:val="left"/>
      <w:lvlText w:val="(%1)"/>
      <w:numFmt w:val="lowerLetter"/>
      <w:start w:val="27"/>
    </w:lvl>
  </w:abstractNum>
  <w:abstractNum w:abstractNumId="206">
    <w:nsid w:val="6DC45E83"/>
    <w:multiLevelType w:val="hybridMultilevel"/>
    <w:lvl w:ilvl="0">
      <w:lvlJc w:val="left"/>
      <w:lvlText w:val="(%1)"/>
      <w:numFmt w:val="lowerLetter"/>
      <w:start w:val="1"/>
    </w:lvl>
  </w:abstractNum>
  <w:abstractNum w:abstractNumId="207">
    <w:nsid w:val="17304A67"/>
    <w:multiLevelType w:val="hybridMultilevel"/>
    <w:lvl w:ilvl="0">
      <w:lvlJc w:val="left"/>
      <w:lvlText w:val="(%1)"/>
      <w:numFmt w:val="lowerLetter"/>
      <w:start w:val="3"/>
    </w:lvl>
  </w:abstractNum>
  <w:abstractNum w:abstractNumId="208">
    <w:nsid w:val="2BB180D8"/>
    <w:multiLevelType w:val="hybridMultilevel"/>
    <w:lvl w:ilvl="0">
      <w:lvlJc w:val="left"/>
      <w:lvlText w:val="(%1)"/>
      <w:numFmt w:val="upperLetter"/>
      <w:start w:val="35"/>
    </w:lvl>
  </w:abstractNum>
  <w:abstractNum w:abstractNumId="209">
    <w:nsid w:val="556B69ED"/>
    <w:multiLevelType w:val="hybridMultilevel"/>
    <w:lvl w:ilvl="0">
      <w:lvlJc w:val="left"/>
      <w:lvlText w:val="(%1)"/>
      <w:numFmt w:val="lowerLetter"/>
      <w:start w:val="5"/>
    </w:lvl>
  </w:abstractNum>
  <w:abstractNum w:abstractNumId="210">
    <w:nsid w:val="70836196"/>
    <w:multiLevelType w:val="hybridMultilevel"/>
    <w:lvl w:ilvl="0">
      <w:lvlJc w:val="left"/>
      <w:lvlText w:val="%1"/>
      <w:numFmt w:val="lowerLetter"/>
      <w:start w:val="1"/>
    </w:lvl>
    <w:lvl w:ilvl="1">
      <w:lvlJc w:val="left"/>
      <w:lvlText w:val="(%2)"/>
      <w:numFmt w:val="lowerLetter"/>
      <w:start w:val="1"/>
    </w:lvl>
  </w:abstractNum>
  <w:abstractNum w:abstractNumId="211">
    <w:nsid w:val="539F7F12"/>
    <w:multiLevelType w:val="hybridMultilevel"/>
    <w:lvl w:ilvl="0">
      <w:lvlJc w:val="left"/>
      <w:lvlText w:val="(%1)"/>
      <w:numFmt w:val="lowerLetter"/>
      <w:start w:val="61"/>
    </w:lvl>
    <w:lvl w:ilvl="1">
      <w:lvlJc w:val="left"/>
      <w:lvlText w:val="(%2)"/>
      <w:numFmt w:val="lowerLetter"/>
      <w:start w:val="2"/>
    </w:lvl>
  </w:abstractNum>
  <w:abstractNum w:abstractNumId="212">
    <w:nsid w:val="2817E7EC"/>
    <w:multiLevelType w:val="hybridMultilevel"/>
    <w:lvl w:ilvl="0">
      <w:lvlJc w:val="left"/>
      <w:lvlText w:val="(%1)"/>
      <w:numFmt w:val="lowerLetter"/>
      <w:start w:val="4"/>
    </w:lvl>
    <w:lvl w:ilvl="1">
      <w:lvlJc w:val="left"/>
      <w:lvlText w:val="(%2)"/>
      <w:numFmt w:val="upperLetter"/>
      <w:start w:val="1"/>
    </w:lvl>
  </w:abstractNum>
  <w:abstractNum w:abstractNumId="213">
    <w:nsid w:val="7148254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2"/>
    </w:lvl>
  </w:abstractNum>
  <w:abstractNum w:abstractNumId="214">
    <w:nsid w:val="17D78639"/>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215">
    <w:nsid w:val="141D2302"/>
    <w:multiLevelType w:val="hybridMultilevel"/>
    <w:lvl w:ilvl="0">
      <w:lvlJc w:val="left"/>
      <w:lvlText w:val="(%1)"/>
      <w:numFmt w:val="lowerLetter"/>
      <w:start w:val="17"/>
    </w:lvl>
  </w:abstractNum>
  <w:abstractNum w:abstractNumId="216">
    <w:nsid w:val="407168D8"/>
    <w:multiLevelType w:val="hybridMultilevel"/>
    <w:lvl w:ilvl="0">
      <w:lvlJc w:val="left"/>
      <w:lvlText w:val="(%1)"/>
      <w:numFmt w:val="lowerLetter"/>
      <w:start w:val="1"/>
    </w:lvl>
  </w:abstractNum>
  <w:abstractNum w:abstractNumId="217">
    <w:nsid w:val="6A1B45E5"/>
    <w:multiLevelType w:val="hybridMultilevel"/>
    <w:lvl w:ilvl="0">
      <w:lvlJc w:val="left"/>
      <w:lvlText w:val="(%1)"/>
      <w:numFmt w:val="lowerLetter"/>
      <w:start w:val="2"/>
    </w:lvl>
    <w:lvl w:ilvl="1">
      <w:lvlJc w:val="left"/>
      <w:lvlText w:val="(%2)"/>
      <w:numFmt w:val="lowerLetter"/>
      <w:start w:val="9"/>
    </w:lvl>
  </w:abstractNum>
  <w:abstractNum w:abstractNumId="218">
    <w:nsid w:val="567BD50A"/>
    <w:multiLevelType w:val="hybridMultilevel"/>
    <w:lvl w:ilvl="0">
      <w:lvlJc w:val="left"/>
      <w:lvlText w:val="(%1)"/>
      <w:numFmt w:val="lowerRoman"/>
      <w:start w:val="2"/>
    </w:lvl>
  </w:abstractNum>
  <w:abstractNum w:abstractNumId="219">
    <w:nsid w:val="73BBD7F8"/>
    <w:multiLevelType w:val="hybridMultilevel"/>
    <w:lvl w:ilvl="0">
      <w:lvlJc w:val="left"/>
      <w:lvlText w:val="%1"/>
      <w:numFmt w:val="lowerLetter"/>
      <w:start w:val="1"/>
    </w:lvl>
    <w:lvl w:ilvl="1">
      <w:lvlJc w:val="left"/>
      <w:lvlText w:val="(%2)"/>
      <w:numFmt w:val="lowerLetter"/>
      <w:start w:val="61"/>
    </w:lvl>
  </w:abstractNum>
  <w:abstractNum w:abstractNumId="220">
    <w:nsid w:val="1876589D"/>
    <w:multiLevelType w:val="hybridMultilevel"/>
    <w:lvl w:ilvl="0">
      <w:lvlJc w:val="left"/>
      <w:lvlText w:val="(%1)"/>
      <w:numFmt w:val="lowerLetter"/>
      <w:start w:val="8"/>
    </w:lvl>
    <w:lvl w:ilvl="1">
      <w:lvlJc w:val="left"/>
      <w:lvlText w:val="(%2)"/>
      <w:numFmt w:val="lowerLetter"/>
      <w:start w:val="9"/>
    </w:lvl>
  </w:abstractNum>
  <w:abstractNum w:abstractNumId="221">
    <w:nsid w:val="327FAC77"/>
    <w:multiLevelType w:val="hybridMultilevel"/>
    <w:lvl w:ilvl="0">
      <w:lvlJc w:val="left"/>
      <w:lvlText w:val="(%1)"/>
      <w:numFmt w:val="lowerRoman"/>
      <w:start w:val="2"/>
    </w:lvl>
  </w:abstractNum>
  <w:abstractNum w:abstractNumId="222">
    <w:nsid w:val="5A606509"/>
    <w:multiLevelType w:val="hybridMultilevel"/>
    <w:lvl w:ilvl="0">
      <w:lvlJc w:val="left"/>
      <w:lvlText w:val="(%1)"/>
      <w:numFmt w:val="lowerRoman"/>
      <w:start w:val="4"/>
    </w:lvl>
  </w:abstractNum>
  <w:abstractNum w:abstractNumId="223">
    <w:nsid w:val="6F38E6D1"/>
    <w:multiLevelType w:val="hybridMultilevel"/>
    <w:lvl w:ilvl="0">
      <w:lvlJc w:val="left"/>
      <w:lvlText w:val="%1"/>
      <w:numFmt w:val="lowerLetter"/>
      <w:start w:val="1"/>
    </w:lvl>
    <w:lvl w:ilvl="1">
      <w:lvlJc w:val="left"/>
      <w:lvlText w:val="(%2)"/>
      <w:numFmt w:val="lowerRoman"/>
      <w:start w:val="8"/>
    </w:lvl>
  </w:abstractNum>
  <w:abstractNum w:abstractNumId="224">
    <w:nsid w:val="46111BA5"/>
    <w:multiLevelType w:val="hybridMultilevel"/>
    <w:lvl w:ilvl="0">
      <w:lvlJc w:val="left"/>
      <w:lvlText w:val="(%1)"/>
      <w:numFmt w:val="lowerLetter"/>
      <w:start w:val="10"/>
    </w:lvl>
    <w:lvl w:ilvl="1">
      <w:lvlJc w:val="left"/>
      <w:lvlText w:val="%2"/>
      <w:numFmt w:val="lowerRoman"/>
      <w:start w:val="1"/>
    </w:lvl>
  </w:abstractNum>
  <w:abstractNum w:abstractNumId="225">
    <w:nsid w:val="5E963896"/>
    <w:multiLevelType w:val="hybridMultilevel"/>
    <w:lvl w:ilvl="0">
      <w:lvlJc w:val="left"/>
      <w:lvlText w:val="(%1)"/>
      <w:numFmt w:val="lowerLetter"/>
      <w:start w:val="16"/>
    </w:lvl>
  </w:abstractNum>
  <w:abstractNum w:abstractNumId="226">
    <w:nsid w:val="775BA7C1"/>
    <w:multiLevelType w:val="hybridMultilevel"/>
    <w:lvl w:ilvl="0">
      <w:lvlJc w:val="left"/>
      <w:lvlText w:val="(%1)"/>
      <w:numFmt w:val="lowerRoman"/>
      <w:start w:val="2"/>
    </w:lvl>
  </w:abstractNum>
  <w:abstractNum w:abstractNumId="227">
    <w:nsid w:val="1DD6D6F4"/>
    <w:multiLevelType w:val="hybridMultilevel"/>
    <w:lvl w:ilvl="0">
      <w:lvlJc w:val="left"/>
      <w:lvlText w:val=";"/>
      <w:numFmt w:val="bullet"/>
      <w:start w:val="1"/>
    </w:lvl>
  </w:abstractNum>
  <w:abstractNum w:abstractNumId="228">
    <w:nsid w:val="769A091F"/>
    <w:multiLevelType w:val="hybridMultilevel"/>
    <w:lvl w:ilvl="0">
      <w:lvlJc w:val="left"/>
      <w:lvlText w:val="(%1)"/>
      <w:numFmt w:val="lowerLetter"/>
      <w:start w:val="2"/>
    </w:lvl>
  </w:abstractNum>
  <w:abstractNum w:abstractNumId="229">
    <w:nsid w:val="4695AE95"/>
    <w:multiLevelType w:val="hybridMultilevel"/>
    <w:lvl w:ilvl="0">
      <w:lvlJc w:val="left"/>
      <w:lvlText w:val="(%1)"/>
      <w:numFmt w:val="lowerLetter"/>
      <w:start w:val="1"/>
    </w:lvl>
  </w:abstractNum>
  <w:abstractNum w:abstractNumId="230">
    <w:nsid w:val="777A4EAA"/>
    <w:multiLevelType w:val="hybridMultilevel"/>
    <w:lvl w:ilvl="0">
      <w:lvlJc w:val="left"/>
      <w:lvlText w:val="(%1)"/>
      <w:numFmt w:val="lowerLetter"/>
      <w:start w:val="4"/>
    </w:lvl>
  </w:abstractNum>
  <w:abstractNum w:abstractNumId="231">
    <w:nsid w:val="3F48B982"/>
    <w:multiLevelType w:val="hybridMultilevel"/>
    <w:lvl w:ilvl="0">
      <w:lvlJc w:val="left"/>
      <w:lvlText w:val="(%1)"/>
      <w:numFmt w:val="lowerLetter"/>
      <w:start w:val="8"/>
    </w:lvl>
  </w:abstractNum>
  <w:abstractNum w:abstractNumId="232">
    <w:nsid w:val="46BA8FCA"/>
    <w:multiLevelType w:val="hybridMultilevel"/>
    <w:lvl w:ilvl="0">
      <w:lvlJc w:val="left"/>
      <w:lvlText w:val="(%1)"/>
      <w:numFmt w:val="lowerRoman"/>
      <w:start w:val="1"/>
    </w:lvl>
  </w:abstractNum>
  <w:abstractNum w:abstractNumId="233">
    <w:nsid w:val="7835626C"/>
    <w:multiLevelType w:val="hybridMultilevel"/>
    <w:lvl w:ilvl="0">
      <w:lvlJc w:val="left"/>
      <w:lvlText w:val="(%1)"/>
      <w:numFmt w:val="lowerLetter"/>
      <w:start w:val="2"/>
    </w:lvl>
  </w:abstractNum>
  <w:abstractNum w:abstractNumId="234">
    <w:nsid w:val="665ACA49"/>
    <w:multiLevelType w:val="hybridMultilevel"/>
    <w:lvl w:ilvl="0">
      <w:lvlJc w:val="left"/>
      <w:lvlText w:val="(%1)"/>
      <w:numFmt w:val="lowerLetter"/>
      <w:start w:val="2"/>
    </w:lvl>
  </w:abstractNum>
  <w:abstractNum w:abstractNumId="235">
    <w:nsid w:val="6835B2AE"/>
    <w:multiLevelType w:val="hybridMultilevel"/>
    <w:lvl w:ilvl="0">
      <w:lvlJc w:val="left"/>
      <w:lvlText w:val="(%1)"/>
      <w:numFmt w:val="lowerLetter"/>
      <w:start w:val="4"/>
    </w:lvl>
  </w:abstractNum>
  <w:abstractNum w:abstractNumId="236">
    <w:nsid w:val="4C187C90"/>
    <w:multiLevelType w:val="hybridMultilevel"/>
    <w:lvl w:ilvl="0">
      <w:lvlJc w:val="left"/>
      <w:lvlText w:val="(%1)"/>
      <w:numFmt w:val="lowerLetter"/>
      <w:start w:val="1"/>
    </w:lvl>
  </w:abstractNum>
  <w:abstractNum w:abstractNumId="237">
    <w:nsid w:val="541F28CD"/>
    <w:multiLevelType w:val="hybridMultilevel"/>
    <w:lvl w:ilvl="0">
      <w:lvlJc w:val="left"/>
      <w:lvlText w:val="(%1)"/>
      <w:numFmt w:val="lowerLetter"/>
      <w:start w:val="1"/>
    </w:lvl>
  </w:abstractNum>
  <w:abstractNum w:abstractNumId="238">
    <w:nsid w:val="7F65FD16"/>
    <w:multiLevelType w:val="hybridMultilevel"/>
    <w:lvl w:ilvl="0">
      <w:lvlJc w:val="left"/>
      <w:lvlText w:val="(%1)"/>
      <w:numFmt w:val="lowerLetter"/>
      <w:start w:val="2"/>
    </w:lvl>
  </w:abstractNum>
  <w:abstractNum w:abstractNumId="239">
    <w:nsid w:val="77C9FD68"/>
    <w:multiLevelType w:val="hybridMultilevel"/>
    <w:lvl w:ilvl="0">
      <w:lvlJc w:val="left"/>
      <w:lvlText w:val="(%1)"/>
      <w:numFmt w:val="lowerLetter"/>
      <w:start w:val="4"/>
    </w:lvl>
  </w:abstractNum>
  <w:abstractNum w:abstractNumId="240">
    <w:nsid w:val="298A92BA"/>
    <w:multiLevelType w:val="hybridMultilevel"/>
    <w:lvl w:ilvl="0">
      <w:lvlJc w:val="left"/>
      <w:lvlText w:val="(%1)"/>
      <w:numFmt w:val="lowerLetter"/>
      <w:start w:val="2"/>
    </w:lvl>
  </w:abstractNum>
  <w:abstractNum w:abstractNumId="241">
    <w:nsid w:val="6FE95EAC"/>
    <w:multiLevelType w:val="hybridMultilevel"/>
    <w:lvl w:ilvl="0">
      <w:lvlJc w:val="left"/>
      <w:lvlText w:val="(%1)"/>
      <w:numFmt w:val="lowerLetter"/>
      <w:start w:val="1"/>
    </w:lvl>
    <w:lvl w:ilvl="1">
      <w:lvlJc w:val="left"/>
      <w:lvlText w:val="(%2)"/>
      <w:numFmt w:val="lowerLetter"/>
      <w:start w:val="9"/>
    </w:lvl>
  </w:abstractNum>
  <w:abstractNum w:abstractNumId="242">
    <w:nsid w:val="4B697C7A"/>
    <w:multiLevelType w:val="hybridMultilevel"/>
    <w:lvl w:ilvl="0">
      <w:lvlJc w:val="left"/>
      <w:lvlText w:val="%1"/>
      <w:numFmt w:val="lowerLetter"/>
      <w:start w:val="1"/>
    </w:lvl>
    <w:lvl w:ilvl="1">
      <w:lvlJc w:val="left"/>
      <w:lvlText w:val="(%2)"/>
      <w:numFmt w:val="lowerRoman"/>
      <w:start w:val="2"/>
    </w:lvl>
  </w:abstractNum>
  <w:abstractNum w:abstractNumId="243">
    <w:nsid w:val="51A27AA6"/>
    <w:multiLevelType w:val="hybridMultilevel"/>
    <w:lvl w:ilvl="0">
      <w:lvlJc w:val="left"/>
      <w:lvlText w:val="(%1)"/>
      <w:numFmt w:val="lowerLetter"/>
      <w:start w:val="2"/>
    </w:lvl>
    <w:lvl w:ilvl="1">
      <w:lvlJc w:val="left"/>
      <w:lvlText w:val="%2"/>
      <w:numFmt w:val="lowerRoman"/>
      <w:start w:val="1"/>
    </w:lvl>
  </w:abstractNum>
  <w:abstractNum w:abstractNumId="244">
    <w:nsid w:val="613183F2"/>
    <w:multiLevelType w:val="hybridMultilevel"/>
    <w:lvl w:ilvl="0">
      <w:lvlJc w:val="left"/>
      <w:lvlText w:val="(%1)"/>
      <w:numFmt w:val="lowerLetter"/>
      <w:start w:val="1"/>
    </w:lvl>
  </w:abstractNum>
  <w:abstractNum w:abstractNumId="245">
    <w:nsid w:val="634102B4"/>
    <w:multiLevelType w:val="hybridMultilevel"/>
    <w:lvl w:ilvl="0">
      <w:lvlJc w:val="left"/>
      <w:lvlText w:val="(%1)"/>
      <w:numFmt w:val="lowerLetter"/>
      <w:start w:val="2"/>
    </w:lvl>
    <w:lvl w:ilvl="1">
      <w:lvlJc w:val="left"/>
      <w:lvlText w:val="(%2)"/>
      <w:numFmt w:val="upperLetter"/>
      <w:start w:val="1"/>
    </w:lvl>
  </w:abstractNum>
  <w:abstractNum w:abstractNumId="246">
    <w:nsid w:val="65BF9DA8"/>
    <w:multiLevelType w:val="hybridMultilevel"/>
    <w:lvl w:ilvl="0">
      <w:lvlJc w:val="left"/>
      <w:lvlText w:val="(%1)"/>
      <w:numFmt w:val="lowerLetter"/>
      <w:start w:val="3"/>
    </w:lvl>
  </w:abstractNum>
  <w:abstractNum w:abstractNumId="247">
    <w:nsid w:val="21A2ECCA"/>
    <w:multiLevelType w:val="hybridMultilevel"/>
    <w:lvl w:ilvl="0">
      <w:lvlJc w:val="left"/>
      <w:lvlText w:val="(%1)"/>
      <w:numFmt w:val="lowerLetter"/>
      <w:start w:val="5"/>
    </w:lvl>
  </w:abstractNum>
  <w:abstractNum w:abstractNumId="248">
    <w:nsid w:val="4D5C4899"/>
    <w:multiLevelType w:val="hybridMultilevel"/>
    <w:lvl w:ilvl="0">
      <w:lvlJc w:val="left"/>
      <w:lvlText w:val="(%1)"/>
      <w:numFmt w:val="lowerLetter"/>
      <w:start w:val="1"/>
    </w:lvl>
  </w:abstractNum>
  <w:abstractNum w:abstractNumId="249">
    <w:nsid w:val="3C3B72B2"/>
    <w:multiLevelType w:val="hybridMultilevel"/>
    <w:lvl w:ilvl="0">
      <w:lvlJc w:val="left"/>
      <w:lvlText w:val="(%1)"/>
      <w:numFmt w:val="lowerLetter"/>
      <w:start w:val="7"/>
    </w:lvl>
  </w:abstractNum>
  <w:abstractNum w:abstractNumId="250">
    <w:nsid w:val="155EC4C2"/>
    <w:multiLevelType w:val="hybridMultilevel"/>
    <w:lvl w:ilvl="0">
      <w:lvlJc w:val="left"/>
      <w:lvlText w:val="(%1)"/>
      <w:numFmt w:val="lowerRoman"/>
      <w:start w:val="1"/>
    </w:lvl>
  </w:abstractNum>
  <w:abstractNum w:abstractNumId="251">
    <w:nsid w:val="65D2A137"/>
    <w:multiLevelType w:val="hybridMultilevel"/>
    <w:lvl w:ilvl="0">
      <w:lvlJc w:val="left"/>
      <w:lvlText w:val="(%1)"/>
      <w:numFmt w:val="lowerRoman"/>
      <w:start w:val="2"/>
    </w:lvl>
  </w:abstractNum>
  <w:abstractNum w:abstractNumId="252">
    <w:nsid w:val="6EBB1F2A"/>
    <w:multiLevelType w:val="hybridMultilevel"/>
    <w:lvl w:ilvl="0">
      <w:lvlJc w:val="left"/>
      <w:lvlText w:val="(%1)"/>
      <w:numFmt w:val="lowerLetter"/>
      <w:start w:val="2"/>
    </w:lvl>
  </w:abstractNum>
  <w:abstractNum w:abstractNumId="253">
    <w:nsid w:val="6FBF29CB"/>
    <w:multiLevelType w:val="hybridMultilevel"/>
    <w:lvl w:ilvl="0">
      <w:lvlJc w:val="left"/>
      <w:lvlText w:val="(%1)"/>
      <w:numFmt w:val="lowerRoman"/>
      <w:start w:val="1"/>
    </w:lvl>
  </w:abstractNum>
  <w:abstractNum w:abstractNumId="254">
    <w:nsid w:val="550B8808"/>
    <w:multiLevelType w:val="hybridMultilevel"/>
    <w:lvl w:ilvl="0">
      <w:lvlJc w:val="left"/>
      <w:lvlText w:val="(%1)"/>
      <w:numFmt w:val="lowerLetter"/>
      <w:start w:val="2"/>
    </w:lvl>
    <w:lvl w:ilvl="1">
      <w:lvlJc w:val="left"/>
      <w:lvlText w:val="(%2)"/>
      <w:numFmt w:val="upperLetter"/>
      <w:start w:val="1"/>
    </w:lvl>
  </w:abstractNum>
  <w:abstractNum w:abstractNumId="255">
    <w:nsid w:val="34CC3ACF"/>
    <w:multiLevelType w:val="hybridMultilevel"/>
    <w:lvl w:ilvl="0">
      <w:lvlJc w:val="left"/>
      <w:lvlText w:val="%1"/>
      <w:numFmt w:val="lowerRoman"/>
      <w:start w:val="1"/>
    </w:lvl>
    <w:lvl w:ilvl="1">
      <w:lvlJc w:val="left"/>
      <w:lvlText w:val="(%2)"/>
      <w:numFmt w:val="upperLetter"/>
      <w:start w:val="2"/>
    </w:lvl>
  </w:abstractNum>
  <w:abstractNum w:abstractNumId="256">
    <w:nsid w:val="4E556261"/>
    <w:multiLevelType w:val="hybridMultilevel"/>
    <w:lvl w:ilvl="0">
      <w:lvlJc w:val="left"/>
      <w:lvlText w:val="(%1)"/>
      <w:numFmt w:val="lowerRoman"/>
      <w:start w:val="2"/>
    </w:lvl>
    <w:lvl w:ilvl="1">
      <w:lvlJc w:val="left"/>
      <w:lvlText w:val="(%2)"/>
      <w:numFmt w:val="upperLetter"/>
      <w:start w:val="1"/>
    </w:lvl>
  </w:abstractNum>
  <w:abstractNum w:abstractNumId="257">
    <w:nsid w:val="4C672FC9"/>
    <w:multiLevelType w:val="hybridMultilevel"/>
    <w:lvl w:ilvl="0">
      <w:lvlJc w:val="left"/>
      <w:lvlText w:val="(%1)"/>
      <w:numFmt w:val="upperLetter"/>
      <w:start w:val="3"/>
    </w:lvl>
  </w:abstractNum>
  <w:abstractNum w:abstractNumId="258">
    <w:nsid w:val="52A311C3"/>
    <w:multiLevelType w:val="hybridMultilevel"/>
    <w:lvl w:ilvl="0">
      <w:lvlJc w:val="left"/>
      <w:lvlText w:val="(%1)"/>
      <w:numFmt w:val="lowerLetter"/>
      <w:start w:val="3"/>
    </w:lvl>
  </w:abstractNum>
  <w:abstractNum w:abstractNumId="259">
    <w:nsid w:val="44EF6B80"/>
    <w:multiLevelType w:val="hybridMultilevel"/>
    <w:lvl w:ilvl="0">
      <w:lvlJc w:val="left"/>
      <w:lvlText w:val="(%1)"/>
      <w:numFmt w:val="lowerLetter"/>
      <w:start w:val="4"/>
    </w:lvl>
  </w:abstractNum>
  <w:abstractNum w:abstractNumId="260">
    <w:nsid w:val="12FCDE5E"/>
    <w:multiLevelType w:val="hybridMultilevel"/>
    <w:lvl w:ilvl="0">
      <w:lvlJc w:val="left"/>
      <w:lvlText w:val="%1"/>
      <w:numFmt w:val="lowerRoman"/>
      <w:start w:val="1"/>
    </w:lvl>
    <w:lvl w:ilvl="1">
      <w:lvlJc w:val="left"/>
      <w:lvlText w:val="(%2)"/>
      <w:numFmt w:val="lowerLetter"/>
      <w:start w:val="6"/>
    </w:lvl>
  </w:abstractNum>
  <w:abstractNum w:abstractNumId="261">
    <w:nsid w:val="4A1D606E"/>
    <w:multiLevelType w:val="hybridMultilevel"/>
    <w:lvl w:ilvl="0">
      <w:lvlJc w:val="left"/>
      <w:lvlText w:val="(%1)"/>
      <w:numFmt w:val="lowerRoman"/>
      <w:start w:val="4"/>
    </w:lvl>
    <w:lvl w:ilvl="1">
      <w:lvlJc w:val="left"/>
      <w:lvlText w:val="%2"/>
      <w:numFmt w:val="lowerLetter"/>
      <w:start w:val="1"/>
    </w:lvl>
  </w:abstractNum>
  <w:abstractNum w:abstractNumId="262">
    <w:nsid w:val="4382503"/>
    <w:multiLevelType w:val="hybridMultilevel"/>
    <w:lvl w:ilvl="0">
      <w:lvlJc w:val="left"/>
      <w:lvlText w:val="(%1)"/>
      <w:numFmt w:val="lowerLetter"/>
      <w:start w:val="7"/>
    </w:lvl>
  </w:abstractNum>
  <w:abstractNum w:abstractNumId="263">
    <w:nsid w:val="59B76E28"/>
    <w:multiLevelType w:val="hybridMultilevel"/>
    <w:lvl w:ilvl="0">
      <w:lvlJc w:val="left"/>
      <w:lvlText w:val="(%1)"/>
      <w:numFmt w:val="lowerLetter"/>
      <w:start w:val="11"/>
    </w:lvl>
    <w:lvl w:ilvl="1">
      <w:lvlJc w:val="left"/>
      <w:lvlText w:val="(%2)"/>
      <w:numFmt w:val="lowerRoman"/>
      <w:start w:val="1"/>
    </w:lvl>
  </w:abstractNum>
  <w:abstractNum w:abstractNumId="264">
    <w:nsid w:val="4252C2DA"/>
    <w:multiLevelType w:val="hybridMultilevel"/>
    <w:lvl w:ilvl="0">
      <w:lvlJc w:val="left"/>
      <w:lvlText w:val="(%1)"/>
      <w:numFmt w:val="lowerRoman"/>
      <w:start w:val="3"/>
    </w:lvl>
  </w:abstractNum>
  <w:abstractNum w:abstractNumId="265">
    <w:nsid w:val="6A92EF4C"/>
    <w:multiLevelType w:val="hybridMultilevel"/>
    <w:lvl w:ilvl="0">
      <w:lvlJc w:val="left"/>
      <w:lvlText w:val="(%1)"/>
      <w:numFmt w:val="lowerLetter"/>
      <w:start w:val="13"/>
    </w:lvl>
    <w:lvl w:ilvl="1">
      <w:lvlJc w:val="left"/>
      <w:lvlText w:val="(%2)"/>
      <w:numFmt w:val="lowerLetter"/>
      <w:start w:val="9"/>
    </w:lvl>
  </w:abstractNum>
  <w:abstractNum w:abstractNumId="266">
    <w:nsid w:val="41ED20D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67">
    <w:nsid w:val="E6B3F6A"/>
    <w:multiLevelType w:val="hybridMultilevel"/>
    <w:lvl w:ilvl="0">
      <w:lvlJc w:val="left"/>
      <w:lvlText w:val="(%1)"/>
      <w:numFmt w:val="lowerLetter"/>
      <w:start w:val="14"/>
    </w:lvl>
    <w:lvl w:ilvl="1">
      <w:lvlJc w:val="left"/>
      <w:lvlText w:val="%2"/>
      <w:numFmt w:val="lowerLetter"/>
      <w:start w:val="1"/>
    </w:lvl>
    <w:lvl w:ilvl="2">
      <w:lvlJc w:val="left"/>
      <w:lvlText w:val="(%3)"/>
      <w:numFmt w:val="upperLetter"/>
      <w:start w:val="1"/>
    </w:lvl>
  </w:abstractNum>
  <w:abstractNum w:abstractNumId="268">
    <w:nsid w:val="3EB21819"/>
    <w:multiLevelType w:val="hybridMultilevel"/>
    <w:lvl w:ilvl="0">
      <w:lvlJc w:val="left"/>
      <w:lvlText w:val="(%1)"/>
      <w:numFmt w:val="lowerLetter"/>
      <w:start w:val="16"/>
    </w:lvl>
    <w:lvl w:ilvl="1">
      <w:lvlJc w:val="left"/>
      <w:lvlText w:val="(%2)"/>
      <w:numFmt w:val="lowerRoman"/>
      <w:start w:val="1"/>
    </w:lvl>
  </w:abstractNum>
  <w:abstractNum w:abstractNumId="269">
    <w:nsid w:val="41531DED"/>
    <w:multiLevelType w:val="hybridMultilevel"/>
    <w:lvl w:ilvl="0">
      <w:lvlJc w:val="left"/>
      <w:lvlText w:val="(%1)"/>
      <w:numFmt w:val="lowerLetter"/>
      <w:start w:val="2"/>
    </w:lvl>
  </w:abstractNum>
  <w:abstractNum w:abstractNumId="270">
    <w:nsid w:val="6353CD2"/>
    <w:multiLevelType w:val="hybridMultilevel"/>
    <w:lvl w:ilvl="0">
      <w:lvlJc w:val="left"/>
      <w:lvlText w:val="(%1)"/>
      <w:numFmt w:val="lowerLetter"/>
      <w:start w:val="2"/>
    </w:lvl>
  </w:abstractNum>
  <w:abstractNum w:abstractNumId="271">
    <w:nsid w:val="683CAAD3"/>
    <w:multiLevelType w:val="hybridMultilevel"/>
    <w:lvl w:ilvl="0">
      <w:lvlJc w:val="left"/>
      <w:lvlText w:val="(%1)"/>
      <w:numFmt w:val="lowerLetter"/>
      <w:start w:val="1"/>
    </w:lvl>
    <w:lvl w:ilvl="1">
      <w:lvlJc w:val="left"/>
      <w:lvlText w:val="(%2)"/>
      <w:numFmt w:val="lowerRoman"/>
      <w:start w:val="1"/>
    </w:lvl>
  </w:abstractNum>
  <w:abstractNum w:abstractNumId="272">
    <w:nsid w:val="313C7C99"/>
    <w:multiLevelType w:val="hybridMultilevel"/>
    <w:lvl w:ilvl="0">
      <w:lvlJc w:val="left"/>
      <w:lvlText w:val="(%1)"/>
      <w:numFmt w:val="lowerLetter"/>
      <w:start w:val="1"/>
    </w:lvl>
  </w:abstractNum>
  <w:abstractNum w:abstractNumId="273">
    <w:nsid w:val="519EB94C"/>
    <w:multiLevelType w:val="hybridMultilevel"/>
    <w:lvl w:ilvl="0">
      <w:lvlJc w:val="left"/>
      <w:lvlText w:val="(%1)"/>
      <w:numFmt w:val="lowerRoman"/>
      <w:start w:val="1"/>
    </w:lvl>
  </w:abstractNum>
  <w:abstractNum w:abstractNumId="274">
    <w:nsid w:val="39DF2579"/>
    <w:multiLevelType w:val="hybridMultilevel"/>
    <w:lvl w:ilvl="0">
      <w:lvlJc w:val="left"/>
      <w:lvlText w:val="%1"/>
      <w:numFmt w:val="lowerLetter"/>
      <w:start w:val="1"/>
    </w:lvl>
    <w:lvl w:ilvl="1">
      <w:lvlJc w:val="left"/>
      <w:lvlText w:val="(%2)"/>
      <w:numFmt w:val="lowerLetter"/>
      <w:start w:val="1"/>
    </w:lvl>
  </w:abstractNum>
  <w:abstractNum w:abstractNumId="275">
    <w:nsid w:val="126E008B"/>
    <w:multiLevelType w:val="hybridMultilevel"/>
    <w:lvl w:ilvl="0">
      <w:lvlJc w:val="left"/>
      <w:lvlText w:val="(%1)"/>
      <w:numFmt w:val="lowerLetter"/>
      <w:start w:val="24"/>
    </w:lvl>
    <w:lvl w:ilvl="1">
      <w:lvlJc w:val="left"/>
      <w:lvlText w:val="%2"/>
      <w:numFmt w:val="lowerLetter"/>
      <w:start w:val="1"/>
    </w:lvl>
  </w:abstractNum>
  <w:abstractNum w:abstractNumId="276">
    <w:nsid w:val="34DFBC00"/>
    <w:multiLevelType w:val="hybridMultilevel"/>
    <w:lvl w:ilvl="0">
      <w:lvlJc w:val="left"/>
      <w:lvlText w:val="(%1)"/>
      <w:numFmt w:val="lowerLetter"/>
      <w:start w:val="2"/>
    </w:lvl>
  </w:abstractNum>
  <w:abstractNum w:abstractNumId="277">
    <w:nsid w:val="1F9EC322"/>
    <w:multiLevelType w:val="hybridMultilevel"/>
    <w:lvl w:ilvl="0">
      <w:lvlJc w:val="left"/>
      <w:lvlText w:val="(%1)"/>
      <w:numFmt w:val="lowerLetter"/>
      <w:start w:val="1"/>
    </w:lvl>
  </w:abstractNum>
  <w:abstractNum w:abstractNumId="278">
    <w:nsid w:val="3410ED56"/>
    <w:multiLevelType w:val="hybridMultilevel"/>
    <w:lvl w:ilvl="0">
      <w:lvlJc w:val="left"/>
      <w:lvlText w:val="(%1)"/>
      <w:numFmt w:val="lowerRoman"/>
      <w:start w:val="1"/>
    </w:lvl>
  </w:abstractNum>
  <w:abstractNum w:abstractNumId="279">
    <w:nsid w:val="23C049A"/>
    <w:multiLevelType w:val="hybridMultilevel"/>
    <w:lvl w:ilvl="0">
      <w:lvlJc w:val="left"/>
      <w:lvlText w:val="%1."/>
      <w:numFmt w:val="decimal"/>
      <w:start w:val="1"/>
    </w:lvl>
    <w:lvl w:ilvl="1">
      <w:lvlJc w:val="left"/>
      <w:lvlText w:val="(%2)"/>
      <w:numFmt w:val="lowerLetter"/>
      <w:start w:val="1"/>
    </w:lvl>
  </w:abstractNum>
  <w:abstractNum w:abstractNumId="280">
    <w:nsid w:val="5BDA35D4"/>
    <w:multiLevelType w:val="hybridMultilevel"/>
    <w:lvl w:ilvl="0">
      <w:lvlJc w:val="left"/>
      <w:lvlText w:val="%1."/>
      <w:numFmt w:val="decimal"/>
      <w:start w:val="1"/>
    </w:lvl>
    <w:lvl w:ilvl="1">
      <w:lvlJc w:val="left"/>
      <w:lvlText w:val="(%2)"/>
      <w:numFmt w:val="lowerLetter"/>
      <w:start w:val="1"/>
    </w:lvl>
  </w:abstractNum>
  <w:abstractNum w:abstractNumId="281">
    <w:nsid w:val="496FB218"/>
    <w:multiLevelType w:val="hybridMultilevel"/>
    <w:lvl w:ilvl="0">
      <w:lvlJc w:val="left"/>
      <w:lvlText w:val="%1."/>
      <w:numFmt w:val="decimal"/>
      <w:start w:val="1"/>
    </w:lvl>
  </w:abstractNum>
  <w:abstractNum w:abstractNumId="282">
    <w:nsid w:val="680EA5D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55" Type="http://schemas.openxmlformats.org/officeDocument/2006/relationships/hyperlink" Target="https://www.sec.gov/Archives/edgar/data/1829864/000119312521191190/d191129dex31.htm" TargetMode="External"/><Relationship Id="rId56" Type="http://schemas.openxmlformats.org/officeDocument/2006/relationships/hyperlink" Target="https://www.sec.gov/Archives/edgar/data/1829864/000119312521191190/d19112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2022-11-08T15:52:38Z</dcterms:created>
  <dcterms:modified xsi:type="dcterms:W3CDTF">2022-11-08T15:52:38Z</dcterms:modified>
</cp:coreProperties>
</file>