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-224790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-608330</wp:posOffset>
            </wp:positionV>
            <wp:extent cx="57150" cy="6216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3926840</wp:posOffset>
            </wp:positionH>
            <wp:positionV relativeFrom="paragraph">
              <wp:posOffset>-608330</wp:posOffset>
            </wp:positionV>
            <wp:extent cx="57150" cy="621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639445</wp:posOffset>
            </wp:positionV>
            <wp:extent cx="6997700" cy="683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683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Maddock Bryce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TASKUS,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1650 INDEPENDENCE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TaskUs,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TASK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700" w:hanging="3"/>
        <w:spacing w:after="0" w:line="24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3"/>
        <w:spacing w:after="0"/>
        <w:tabs>
          <w:tab w:leader="none" w:pos="1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1938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23"/>
        <w:spacing w:after="0"/>
        <w:tabs>
          <w:tab w:leader="none" w:pos="20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4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7" w:space="720"/>
            <w:col w:w="3343"/>
          </w:cols>
          <w:pgMar w:left="460" w:top="214" w:right="359" w:bottom="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2"/>
        </w:trPr>
        <w:tc>
          <w:tcPr>
            <w:tcW w:w="1100" w:type="dxa"/>
            <w:vAlign w:val="bottom"/>
          </w:tcPr>
          <w:p>
            <w:pPr>
              <w:ind w:left="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78132</w:t>
            </w:r>
          </w:p>
        </w:tc>
        <w:tc>
          <w:tcPr>
            <w:tcW w:w="6680" w:type="dxa"/>
            <w:vAlign w:val="bottom"/>
            <w:vMerge w:val="restart"/>
          </w:tcPr>
          <w:p>
            <w:pPr>
              <w:ind w:left="4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BRAUNFELS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80" w:type="dxa"/>
            <w:vAlign w:val="bottom"/>
          </w:tcPr>
          <w:p>
            <w:pPr>
              <w:ind w:left="4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80" w:type="dxa"/>
            <w:vAlign w:val="bottom"/>
          </w:tcPr>
          <w:p>
            <w:pPr>
              <w:ind w:left="45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jc w:val="center"/>
              <w:ind w:righ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3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31,515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1,147,663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5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7,674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10.92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1,139,989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03/07/2026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80,392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1,220,381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03/07/2026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5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30,137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10.92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1,190,244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1,118,321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1,193,789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140,553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gridSpan w:val="11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31,515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03/06/2026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31,515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80,392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03/07/2026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80,392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163,222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309,278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03/09/2026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309,278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309,278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-2317750</wp:posOffset>
            </wp:positionV>
            <wp:extent cx="28575" cy="23228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22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 w:right="480" w:hanging="2"/>
        <w:spacing w:after="0" w:line="243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 of the Issuer. The RSUs will be settled in either Class A common stock of the Issuer or cash (or a combination thereof). These RSUs vest annually over three years as follows: 33% on March 6, 2024; 33% on March 6, 2025; and 34% on March 6, 2026.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in connection with the vesting of restricted stock units to cover tax withholding obligations.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hanging="2"/>
        <w:spacing w:after="0" w:line="243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 of the Issuer. The RSUs will be settled in either Class A common stock of the Issuer or cash (or a combination thereof). These RSUs vest annually over three years as follows: 33% on March 7, 2026; 33% on March 7, 2027; and 34% on March 7, 2028.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of Class A Common Stock held by The Bryce Maddock Family Trust, of which the Reporting Person is the trustee.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of Class A Common Stock held by The Maddock 2015 Irrevocable Trust, of which the Reporting Person is the business trustee.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of Class A Common Stock held by The Maddock 2015 Exempt Irrevocable Trust, of which the Reporting Person is the business trustee.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hanging="2"/>
        <w:spacing w:after="0" w:line="243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 of the Issuer. The RSUs will be settled in either Class A common stock of the Issuer or cash (or a combination thereof). These RSUs vest annually over three years as follows: 33% on March 9, 2027; 33% on March 9, 2028; and 34% on March 9, 2029.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over the securities reported herein as indirectly beneficially owned, except to the extent of his pecuniary interest therein.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Claudia Walsh,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2" w:right="2739" w:hanging="2"/>
        <w:spacing w:after="0" w:line="356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1"/>
      </w:cols>
      <w:pgMar w:left="498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62101" TargetMode="External"/><Relationship Id="rId14" Type="http://schemas.openxmlformats.org/officeDocument/2006/relationships/hyperlink" Target="http://www.sec.gov/cgi-bin/browse-edgar?action=getcompany&amp;CIK=00018298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2026-03-10T17:26:30Z</dcterms:created>
  <dcterms:modified xsi:type="dcterms:W3CDTF">2026-03-10T17:26:30Z</dcterms:modified>
</cp:coreProperties>
</file>