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6076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07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463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Jarrod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Customer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46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11,076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20,873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25,933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46,806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6,315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40,491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11,076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11,076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25,933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25,933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52,652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56,232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56,232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56,232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6, 2024; 33% on March 6, 2025; and 34% on March 6, 2026.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in connection with the vesting of restricted stock units to cover tax withholding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These RSUs vest annually over three years as follows: 33% on March 7, 2026; 33% on March 7, 2027; and 34% on March 7, 2028.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These RSUs vest annually over three years as follows: 33% on March 9, 2027; 33% on March 9, 2028; and 34% on March 9, 2029.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46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Claudia Walsh,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2730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46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4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2094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2026-03-10T17:26:40Z</dcterms:created>
  <dcterms:modified xsi:type="dcterms:W3CDTF">2026-03-10T17:26:40Z</dcterms:modified>
</cp:coreProperties>
</file>