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p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UNITED STATES</w:t>
      </w:r>
    </w:p>
    <w:p>
      <w:pPr>
        <w:pStyle w:val="TextBody"/>
        <w:bidi w:val="0"/>
        <w:spacing w:lineRule="auto" w:line="288" w:before="0" w:after="0"/>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SECURITIES AND EXCHANGE COMMISSION</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WASHINGTON, D.C. 20549</w:t>
      </w:r>
    </w:p>
    <w:p>
      <w:pPr>
        <w:pStyle w:val="TextBody"/>
        <w:bidi w:val="0"/>
        <w:spacing w:lineRule="auto" w:line="288" w:before="6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36"/>
          <w:shd w:fill="FFFFFF" w:val="clear"/>
        </w:rPr>
      </w:pPr>
      <w:r>
        <w:rPr>
          <w:rFonts w:ascii="Times New Roman;serif" w:hAnsi="Times New Roman;serif"/>
          <w:b/>
          <w:color w:val="000000"/>
          <w:sz w:val="36"/>
          <w:shd w:fill="FFFFFF" w:val="clear"/>
        </w:rPr>
        <w:t>FORM 8-K</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CURRENT REPORT</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Pursuant to Section 13 OR 15(d)</w:t>
      </w:r>
    </w:p>
    <w:p>
      <w:pPr>
        <w:pStyle w:val="TextBody"/>
        <w:bidi w:val="0"/>
        <w:spacing w:lineRule="auto" w:line="288" w:before="0" w:after="0"/>
        <w:jc w:val="center"/>
        <w:rPr>
          <w:rFonts w:ascii="Times New Roman;serif" w:hAnsi="Times New Roman;serif"/>
          <w:b/>
          <w:color w:val="000000"/>
          <w:sz w:val="24"/>
          <w:shd w:fill="FFFFFF" w:val="clear"/>
        </w:rPr>
      </w:pPr>
      <w:r>
        <w:rPr>
          <w:rFonts w:ascii="Times New Roman;serif" w:hAnsi="Times New Roman;serif"/>
          <w:b/>
          <w:color w:val="000000"/>
          <w:sz w:val="24"/>
          <w:shd w:fill="FFFFFF" w:val="clear"/>
        </w:rPr>
        <w:t>of The Securities Exchange Act of 1934</w:t>
      </w:r>
    </w:p>
    <w:p>
      <w:pPr>
        <w:pStyle w:val="TextBody"/>
        <w:bidi w:val="0"/>
        <w:spacing w:lineRule="auto" w:line="288" w:before="200" w:after="283"/>
        <w:jc w:val="center"/>
      </w:pPr>
      <w:r>
        <w:rPr>
          <w:rFonts w:ascii="Times New Roman;serif" w:hAnsi="Times New Roman;serif"/>
          <w:b/>
          <w:color w:val="000000"/>
          <w:sz w:val="20"/>
          <w:shd w:fill="FFFFFF" w:val="clear"/>
        </w:rPr>
        <w:t xml:space="preserve">Date of Report (Date of earliest event reported): </w:t>
      </w:r>
      <w:r>
        <w:rPr>
          <w:rFonts w:ascii="Times New Roman;serif" w:hAnsi="Times New Roman;serif"/>
          <w:b/>
          <w:color w:val="000000"/>
          <w:sz w:val="20"/>
        </w:rPr>
        <w:t>November 4, 2026</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p>
      <w:pPr>
        <w:pStyle w:val="TextBody"/>
        <w:bidi w:val="0"/>
        <w:spacing w:lineRule="auto" w:line="288" w:before="200" w:after="283"/>
        <w:jc w:val="center"/>
        <w:rPr>
          <w:rFonts w:ascii="Times New Roman;serif" w:hAnsi="Times New Roman;serif"/>
          <w:b/>
          <w:color w:val="000000"/>
          <w:sz w:val="48"/>
          <w:shd w:fill="FFFFFF" w:val="clear"/>
        </w:rPr>
      </w:pPr>
      <w:r>
        <w:rPr>
          <w:rFonts w:ascii="Times New Roman;serif" w:hAnsi="Times New Roman;serif"/>
          <w:b/>
          <w:color w:val="000000"/>
          <w:sz w:val="48"/>
          <w:shd w:fill="FFFFFF" w:val="clear"/>
        </w:rPr>
        <w:t>TaskUs, Inc.</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(Exact name of registrant as specified in its charter)</w:t>
      </w:r>
    </w:p>
    <w:p>
      <w:pPr>
        <w:pStyle w:val="TextBody"/>
        <w:bidi w:val="0"/>
        <w:spacing w:lineRule="auto" w:line="288" w:before="200" w:after="283"/>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tbl>
      <w:tblPr>
        <w:tblW w:w="4662" w:type="dxa"/>
        <w:jc w:val="left"/>
        <w:tblInd w:w="0" w:type="dxa"/>
        <w:tblLayout w:type="fixed"/>
        <w:tblCellMar>
          <w:top w:w="28" w:type="dxa"/>
          <w:left w:w="28" w:type="dxa"/>
          <w:bottom w:w="28" w:type="dxa"/>
          <w:right w:w="28" w:type="dxa"/>
        </w:tblCellMar>
      </w:tblPr>
      <w:tblGrid>
        <w:gridCol w:w="764"/>
        <w:gridCol w:w="670"/>
        <w:gridCol w:w="680"/>
        <w:gridCol w:w="353"/>
        <w:gridCol w:w="353"/>
        <w:gridCol w:w="358"/>
        <w:gridCol w:w="433"/>
        <w:gridCol w:w="433"/>
        <w:gridCol w:w="618"/>
      </w:tblGrid>
      <w:tr>
        <w:tc>
          <w:tcPr>
            <w:tcW w:w="764" w:type="dxa"/>
            <w:tcBorders/>
            <w:vAlign w:val="center"/>
          </w:tcPr>
          <w:p>
            <w:pPr>
              <w:pStyle w:val="TableContents"/>
              <w:bidi w:val="0"/>
              <w:spacing w:before="0" w:after="283"/>
              <w:jc w:val="left"/>
              <w:rPr>
                <w:sz w:val="4"/>
                <w:szCs w:val="4"/>
              </w:rPr>
            </w:pPr>
            <w:r>
              <w:rPr>
                <w:sz w:val="4"/>
                <w:szCs w:val="4"/>
              </w:rPr>
            </w:r>
          </w:p>
        </w:tc>
        <w:tc>
          <w:tcPr>
            <w:tcW w:w="67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c>
          <w:tcPr>
            <w:tcW w:w="21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001-40482</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83-1586636</w:t>
            </w:r>
          </w:p>
        </w:tc>
      </w:tr>
      <w:tr>
        <w:tc>
          <w:tcPr>
            <w:tcW w:w="211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 xml:space="preserve">(State or other jurisdiction </w:t>
            </w:r>
          </w:p>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1650 Independence Drive, Suite 100</w:t>
      </w:r>
    </w:p>
    <w:p>
      <w:pPr>
        <w:pStyle w:val="TextBody"/>
        <w:bidi w:val="0"/>
        <w:spacing w:lineRule="auto" w:line="288" w:before="0" w:after="0"/>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New Braunfels, Texas 78132</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(Address of principal executive offices) (Zip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(888) 400-8275</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(Registrant’s telephone number, including area code)</w:t>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Not Applicable</w:t>
      </w:r>
    </w:p>
    <w:p>
      <w:pPr>
        <w:pStyle w:val="TextBody"/>
        <w:bidi w:val="0"/>
        <w:spacing w:lineRule="auto" w:line="288" w:before="0" w:after="0"/>
        <w:jc w:val="center"/>
        <w:rPr>
          <w:rFonts w:ascii="Times New Roman;serif" w:hAnsi="Times New Roman;serif"/>
          <w:b/>
          <w:color w:val="000000"/>
          <w:sz w:val="16"/>
          <w:shd w:fill="FFFFFF" w:val="clear"/>
        </w:rPr>
      </w:pPr>
      <w:r>
        <w:rPr>
          <w:rFonts w:ascii="Times New Roman;serif" w:hAnsi="Times New Roman;serif"/>
          <w:b/>
          <w:color w:val="000000"/>
          <w:sz w:val="16"/>
          <w:shd w:fill="FFFFFF" w:val="clear"/>
        </w:rPr>
        <w:t>(Former name or former address, if changed since last report)</w:t>
      </w:r>
    </w:p>
    <w:p>
      <w:pPr>
        <w:pStyle w:val="TextBody"/>
        <w:bidi w:val="0"/>
        <w:spacing w:lineRule="auto" w:line="288" w:before="0" w:after="0"/>
        <w:jc w:val="center"/>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__________________________</w:t>
      </w:r>
    </w:p>
    <w:tbl>
      <w:tblPr>
        <w:tblW w:w="10205" w:type="dxa"/>
        <w:jc w:val="left"/>
        <w:tblInd w:w="0" w:type="dxa"/>
        <w:tblLayout w:type="fixed"/>
        <w:tblCellMar>
          <w:top w:w="28" w:type="dxa"/>
          <w:left w:w="28" w:type="dxa"/>
          <w:bottom w:w="28" w:type="dxa"/>
          <w:right w:w="28" w:type="dxa"/>
        </w:tblCellMar>
      </w:tblPr>
      <w:tblGrid>
        <w:gridCol w:w="1500"/>
        <w:gridCol w:w="1316"/>
        <w:gridCol w:w="1316"/>
        <w:gridCol w:w="2070"/>
        <w:gridCol w:w="1650"/>
        <w:gridCol w:w="2353"/>
      </w:tblGrid>
      <w:tr>
        <w:tc>
          <w:tcPr>
            <w:tcW w:w="1500"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1316" w:type="dxa"/>
            <w:tcBorders/>
            <w:vAlign w:val="center"/>
          </w:tcPr>
          <w:p>
            <w:pPr>
              <w:pStyle w:val="TableContents"/>
              <w:bidi w:val="0"/>
              <w:spacing w:before="0" w:after="283"/>
              <w:jc w:val="left"/>
              <w:rPr>
                <w:sz w:val="4"/>
                <w:szCs w:val="4"/>
              </w:rPr>
            </w:pPr>
            <w:r>
              <w:rPr>
                <w:sz w:val="4"/>
                <w:szCs w:val="4"/>
              </w:rPr>
            </w:r>
          </w:p>
        </w:tc>
        <w:tc>
          <w:tcPr>
            <w:tcW w:w="2070" w:type="dxa"/>
            <w:tcBorders/>
            <w:vAlign w:val="center"/>
          </w:tcPr>
          <w:p>
            <w:pPr>
              <w:pStyle w:val="TableContents"/>
              <w:bidi w:val="0"/>
              <w:spacing w:before="0" w:after="283"/>
              <w:jc w:val="left"/>
              <w:rPr>
                <w:sz w:val="4"/>
                <w:szCs w:val="4"/>
              </w:rPr>
            </w:pPr>
            <w:r>
              <w:rPr>
                <w:sz w:val="4"/>
                <w:szCs w:val="4"/>
              </w:rPr>
            </w:r>
          </w:p>
        </w:tc>
        <w:tc>
          <w:tcPr>
            <w:tcW w:w="1650" w:type="dxa"/>
            <w:tcBorders/>
            <w:vAlign w:val="center"/>
          </w:tcPr>
          <w:p>
            <w:pPr>
              <w:pStyle w:val="TableContents"/>
              <w:bidi w:val="0"/>
              <w:spacing w:before="0" w:after="283"/>
              <w:jc w:val="left"/>
              <w:rPr>
                <w:sz w:val="4"/>
                <w:szCs w:val="4"/>
              </w:rPr>
            </w:pPr>
            <w:r>
              <w:rPr>
                <w:sz w:val="4"/>
                <w:szCs w:val="4"/>
              </w:rPr>
            </w:r>
          </w:p>
        </w:tc>
        <w:tc>
          <w:tcPr>
            <w:tcW w:w="2353" w:type="dxa"/>
            <w:tcBorders/>
            <w:vAlign w:val="center"/>
          </w:tcPr>
          <w:p>
            <w:pPr>
              <w:pStyle w:val="TableContents"/>
              <w:bidi w:val="0"/>
              <w:spacing w:before="0" w:after="283"/>
              <w:jc w:val="left"/>
              <w:rPr>
                <w:sz w:val="4"/>
                <w:szCs w:val="4"/>
              </w:rPr>
            </w:pPr>
            <w:r>
              <w:rPr>
                <w:sz w:val="4"/>
                <w:szCs w:val="4"/>
              </w:rPr>
            </w:r>
          </w:p>
        </w:tc>
      </w:tr>
      <w:tr>
        <w:tc>
          <w:tcPr>
            <w:tcW w:w="10205" w:type="dxa"/>
            <w:gridSpan w:val="6"/>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Check the appropriate box below if the Form 8-K filing is intended to simultaneously satisfy the filing obligation of the registrant under any of the following provisions:</w:t>
            </w:r>
          </w:p>
        </w:tc>
      </w:tr>
      <w:t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c>
          <w:tcPr>
            <w:tcW w:w="41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7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4132"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6073"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Securities registered pursuant to Section 12(b) of the Act:</w:t>
      </w:r>
    </w:p>
    <w:tbl>
      <w:tblPr>
        <w:tblW w:w="8601" w:type="dxa"/>
        <w:jc w:val="left"/>
        <w:tblInd w:w="0" w:type="dxa"/>
        <w:tblLayout w:type="fixed"/>
        <w:tblCellMar>
          <w:top w:w="28" w:type="dxa"/>
          <w:left w:w="28" w:type="dxa"/>
          <w:bottom w:w="28" w:type="dxa"/>
          <w:right w:w="28" w:type="dxa"/>
        </w:tblCellMar>
      </w:tblPr>
      <w:tblGrid>
        <w:gridCol w:w="1567"/>
        <w:gridCol w:w="1374"/>
        <w:gridCol w:w="1393"/>
        <w:gridCol w:w="109"/>
        <w:gridCol w:w="109"/>
        <w:gridCol w:w="109"/>
        <w:gridCol w:w="274"/>
        <w:gridCol w:w="274"/>
        <w:gridCol w:w="276"/>
        <w:gridCol w:w="109"/>
        <w:gridCol w:w="109"/>
        <w:gridCol w:w="109"/>
        <w:gridCol w:w="816"/>
        <w:gridCol w:w="816"/>
        <w:gridCol w:w="1157"/>
      </w:tblGrid>
      <w:tr>
        <w:tc>
          <w:tcPr>
            <w:tcW w:w="1567" w:type="dxa"/>
            <w:tcBorders/>
            <w:vAlign w:val="center"/>
          </w:tcPr>
          <w:p>
            <w:pPr>
              <w:pStyle w:val="TableContents"/>
              <w:bidi w:val="0"/>
              <w:spacing w:before="0" w:after="283"/>
              <w:jc w:val="left"/>
              <w:rPr>
                <w:sz w:val="4"/>
                <w:szCs w:val="4"/>
              </w:rPr>
            </w:pPr>
            <w:r>
              <w:rPr>
                <w:sz w:val="4"/>
                <w:szCs w:val="4"/>
              </w:rPr>
            </w:r>
          </w:p>
        </w:tc>
        <w:tc>
          <w:tcPr>
            <w:tcW w:w="1374" w:type="dxa"/>
            <w:tcBorders/>
            <w:vAlign w:val="center"/>
          </w:tcPr>
          <w:p>
            <w:pPr>
              <w:pStyle w:val="TableContents"/>
              <w:bidi w:val="0"/>
              <w:spacing w:before="0" w:after="283"/>
              <w:jc w:val="left"/>
              <w:rPr>
                <w:sz w:val="4"/>
                <w:szCs w:val="4"/>
              </w:rPr>
            </w:pPr>
            <w:r>
              <w:rPr>
                <w:sz w:val="4"/>
                <w:szCs w:val="4"/>
              </w:rPr>
            </w:r>
          </w:p>
        </w:tc>
        <w:tc>
          <w:tcPr>
            <w:tcW w:w="139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816" w:type="dxa"/>
            <w:tcBorders/>
            <w:vAlign w:val="center"/>
          </w:tcPr>
          <w:p>
            <w:pPr>
              <w:pStyle w:val="TableContents"/>
              <w:bidi w:val="0"/>
              <w:spacing w:before="0" w:after="283"/>
              <w:jc w:val="left"/>
              <w:rPr>
                <w:sz w:val="4"/>
                <w:szCs w:val="4"/>
              </w:rPr>
            </w:pPr>
            <w:r>
              <w:rPr>
                <w:sz w:val="4"/>
                <w:szCs w:val="4"/>
              </w:rPr>
            </w:r>
          </w:p>
        </w:tc>
        <w:tc>
          <w:tcPr>
            <w:tcW w:w="1157" w:type="dxa"/>
            <w:tcBorders/>
            <w:vAlign w:val="center"/>
          </w:tcPr>
          <w:p>
            <w:pPr>
              <w:pStyle w:val="TableContents"/>
              <w:bidi w:val="0"/>
              <w:spacing w:before="0" w:after="283"/>
              <w:jc w:val="left"/>
              <w:rPr>
                <w:sz w:val="4"/>
                <w:szCs w:val="4"/>
              </w:rPr>
            </w:pPr>
            <w:r>
              <w:rPr>
                <w:sz w:val="4"/>
                <w:szCs w:val="4"/>
              </w:rPr>
            </w:r>
          </w:p>
        </w:tc>
      </w:tr>
      <w:tr>
        <w:tc>
          <w:tcPr>
            <w:tcW w:w="433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cMar>
              <w:top w:w="0" w:type="dxa"/>
              <w:left w:w="0" w:type="dxa"/>
              <w:bottom w:w="0" w:type="dxa"/>
              <w:right w:w="0" w:type="dxa"/>
            </w:tcMar>
            <w:vAlign w:val="center"/>
          </w:tcPr>
          <w:p>
            <w:pPr>
              <w:pStyle w:val="TableContents"/>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88" w:before="0" w:after="20"/>
              <w:jc w:val="center"/>
              <w:rPr>
                <w:rFonts w:ascii="Times New Roman;serif" w:hAnsi="Times New Roman;serif"/>
                <w:b/>
                <w:color w:val="000000"/>
                <w:sz w:val="16"/>
              </w:rPr>
            </w:pPr>
            <w:r>
              <w:rPr>
                <w:rFonts w:ascii="Times New Roman;serif" w:hAnsi="Times New Roman;serif"/>
                <w:b/>
                <w:color w:val="000000"/>
                <w:sz w:val="16"/>
              </w:rPr>
              <w:t>on which registered</w:t>
            </w:r>
          </w:p>
        </w:tc>
      </w:tr>
      <w:tr>
        <w:tc>
          <w:tcPr>
            <w:tcW w:w="43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TASK</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8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00" w:after="283"/>
        <w:jc w:val="left"/>
      </w:pPr>
      <w:r>
        <w:rPr>
          <w:rFonts w:ascii="Times New Roman;serif" w:hAnsi="Times New Roman;serif"/>
          <w:b w:val="false"/>
          <w:color w:val="000000"/>
          <w:sz w:val="20"/>
          <w:shd w:fill="FFFFFF" w:val="clear"/>
        </w:rPr>
        <w:t xml:space="preserve">Emerging growth company </w:t>
      </w:r>
      <w:r>
        <w:rPr>
          <w:color w:val="000000"/>
          <w:shd w:fill="FFFFFF" w:val="clear"/>
        </w:rPr>
        <w:t>☑</w:t>
      </w:r>
    </w:p>
    <w:p>
      <w:pPr>
        <w:pStyle w:val="TextBody"/>
        <w:bidi w:val="0"/>
        <w:spacing w:lineRule="auto" w:line="288" w:before="200" w:after="283"/>
        <w:jc w:val="left"/>
      </w:pPr>
      <w:r>
        <w:rPr>
          <w:rFonts w:ascii="Times New Roman;serif" w:hAnsi="Times New Roman;serif"/>
          <w:b w:val="false"/>
          <w:color w:val="000000"/>
          <w:sz w:val="20"/>
          <w:shd w:fill="FFFFFF" w:val="clear"/>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shd w:fill="FFFFFF" w:val="clear"/>
        </w:rPr>
        <w:t>☐</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00" w:after="283"/>
        <w:jc w:val="left"/>
      </w:pPr>
      <w:r>
        <w:rPr>
          <w:rFonts w:ascii="Times New Roman;serif" w:hAnsi="Times New Roman;serif"/>
          <w:b/>
          <w:color w:val="000000"/>
          <w:sz w:val="20"/>
          <w:shd w:fill="FFFFFF" w:val="clear"/>
        </w:rPr>
        <w:t>Item 2.02 Results of Operations and Financial Condition</w:t>
      </w:r>
      <w:r>
        <w:rPr>
          <w:rFonts w:ascii="Times New Roman;serif" w:hAnsi="Times New Roman;serif"/>
          <w:b w:val="false"/>
          <w:color w:val="000000"/>
          <w:sz w:val="20"/>
          <w:shd w:fill="FFFFFF" w:val="clear"/>
        </w:rPr>
        <w:t>.</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On November 4, 2026, TaskUs, Inc. (the “Company”) issued a press release announcing earnings for the third quarter ended September 30, 2026. A copy of the press release is furnished herewith as Exhibit 99.1 and is incorporated by reference herein.</w:t>
      </w:r>
    </w:p>
    <w:p>
      <w:pPr>
        <w:pStyle w:val="TextBody"/>
        <w:bidi w:val="0"/>
        <w:spacing w:lineRule="auto" w:line="288" w:before="20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The information furnished pursuant to this Item 2.02, including Exhibit 99.1, shall not be deemed “filed” for purposes of Section 18 of the Securities Exchange Act of 1934, as amended (the “Exchange Act”) or otherwise subject to the liabilities under that section and shall not be deemed to be incorporated by reference into any filings under the Securities Act of 1933, as amended or the Exchange Act, except as shall be expressly set forth by specific reference in such a filing.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Item 9.01 Financial Statements and Exhibits.</w:t>
      </w:r>
    </w:p>
    <w:p>
      <w:pPr>
        <w:pStyle w:val="TextBody"/>
        <w:bidi w:val="0"/>
        <w:spacing w:lineRule="auto" w:line="288" w:before="200" w:after="283"/>
        <w:jc w:val="left"/>
        <w:rPr>
          <w:rFonts w:ascii="Times New Roman;serif" w:hAnsi="Times New Roman;serif"/>
          <w:b/>
          <w:color w:val="000000"/>
          <w:sz w:val="20"/>
          <w:shd w:fill="FFFFFF" w:val="clear"/>
        </w:rPr>
      </w:pPr>
      <w:r>
        <w:rPr>
          <w:rFonts w:ascii="Times New Roman;serif" w:hAnsi="Times New Roman;serif"/>
          <w:b/>
          <w:color w:val="000000"/>
          <w:sz w:val="20"/>
          <w:shd w:fill="FFFFFF" w:val="clear"/>
        </w:rPr>
        <w:t>(d) Exhibits.</w:t>
      </w:r>
    </w:p>
    <w:tbl>
      <w:tblPr>
        <w:tblW w:w="6297" w:type="dxa"/>
        <w:jc w:val="left"/>
        <w:tblInd w:w="0" w:type="dxa"/>
        <w:tblLayout w:type="fixed"/>
        <w:tblCellMar>
          <w:top w:w="28" w:type="dxa"/>
          <w:left w:w="28" w:type="dxa"/>
          <w:bottom w:w="28" w:type="dxa"/>
          <w:right w:w="28" w:type="dxa"/>
        </w:tblCellMar>
      </w:tblPr>
      <w:tblGrid>
        <w:gridCol w:w="342"/>
        <w:gridCol w:w="301"/>
        <w:gridCol w:w="303"/>
        <w:gridCol w:w="109"/>
        <w:gridCol w:w="109"/>
        <w:gridCol w:w="109"/>
        <w:gridCol w:w="1465"/>
        <w:gridCol w:w="1465"/>
        <w:gridCol w:w="2094"/>
      </w:tblGrid>
      <w:tr>
        <w:tc>
          <w:tcPr>
            <w:tcW w:w="342"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30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1465" w:type="dxa"/>
            <w:tcBorders/>
            <w:vAlign w:val="center"/>
          </w:tcPr>
          <w:p>
            <w:pPr>
              <w:pStyle w:val="TableContents"/>
              <w:bidi w:val="0"/>
              <w:spacing w:before="0" w:after="283"/>
              <w:jc w:val="left"/>
              <w:rPr>
                <w:sz w:val="4"/>
                <w:szCs w:val="4"/>
              </w:rPr>
            </w:pPr>
            <w:r>
              <w:rPr>
                <w:sz w:val="4"/>
                <w:szCs w:val="4"/>
              </w:rPr>
            </w:r>
          </w:p>
        </w:tc>
        <w:tc>
          <w:tcPr>
            <w:tcW w:w="2094" w:type="dxa"/>
            <w:tcBorders/>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88" w:before="0" w:after="0"/>
              <w:jc w:val="left"/>
            </w:pPr>
            <w:hyperlink w:anchor="earningsreleaseex991q32026.htm">
              <w:r>
                <w:rPr>
                  <w:rStyle w:val="InternetLink"/>
                  <w:rFonts w:ascii="Times New Roman;serif" w:hAnsi="Times New Roman;serif"/>
                  <w:b w:val="false"/>
                  <w:color w:val="0000FF"/>
                  <w:sz w:val="20"/>
                  <w:u w:val="single"/>
                </w:rPr>
                <w:t>Press release of TaskUs, Inc., dated November 4, 2026</w:t>
              </w:r>
            </w:hyperlink>
          </w:p>
        </w:tc>
      </w:tr>
      <w:tr>
        <w:tc>
          <w:tcPr>
            <w:tcW w:w="94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94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02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(formatted as Inline XBRL)</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p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before="0" w:after="0"/>
        <w:jc w:val="left"/>
      </w:pPr>
      <w:r/>
    </w:p>
    <w:p>
      <w:pPr>
        <w:pStyle w:val="TextBody"/>
        <w:bidi w:val="0"/>
        <w:spacing w:lineRule="auto" w:line="288" w:before="200" w:after="283"/>
        <w:jc w:val="center"/>
        <w:rPr>
          <w:rFonts w:ascii="Times New Roman;serif" w:hAnsi="Times New Roman;serif"/>
          <w:b/>
          <w:color w:val="000000"/>
          <w:sz w:val="20"/>
          <w:shd w:fill="FFFFFF" w:val="clear"/>
        </w:rPr>
      </w:pPr>
      <w:r>
        <w:rPr>
          <w:rFonts w:ascii="Times New Roman;serif" w:hAnsi="Times New Roman;serif"/>
          <w:b/>
          <w:color w:val="000000"/>
          <w:sz w:val="20"/>
          <w:shd w:fill="FFFFFF" w:val="clear"/>
        </w:rPr>
        <w:t>SIGNATURES</w:t>
      </w:r>
    </w:p>
    <w:p>
      <w:pPr>
        <w:pStyle w:val="TextBody"/>
        <w:bidi w:val="0"/>
        <w:spacing w:lineRule="auto" w:line="288" w:before="240" w:after="283"/>
        <w:jc w:val="left"/>
        <w:rPr>
          <w:rFonts w:ascii="Times New Roman;serif" w:hAnsi="Times New Roman;serif"/>
          <w:b w:val="false"/>
          <w:color w:val="000000"/>
          <w:sz w:val="20"/>
          <w:shd w:fill="FFFFFF" w:val="clear"/>
        </w:rPr>
      </w:pPr>
      <w:r>
        <w:rPr>
          <w:rFonts w:ascii="Times New Roman;serif" w:hAnsi="Times New Roman;serif"/>
          <w:b w:val="false"/>
          <w:color w:val="000000"/>
          <w:sz w:val="20"/>
          <w:shd w:fill="FFFFFF" w:val="clear"/>
        </w:rPr>
        <w:t>Pursuant to the requirements of the Securities Exchange Act of 1934, the registrant has duly caused this report to be signed on its behalf by the undersigned hereunto duly authorized.</w:t>
      </w:r>
    </w:p>
    <w:tbl>
      <w:tblPr>
        <w:tblW w:w="5234" w:type="dxa"/>
        <w:jc w:val="left"/>
        <w:tblInd w:w="0" w:type="dxa"/>
        <w:tblLayout w:type="fixed"/>
        <w:tblCellMar>
          <w:top w:w="28" w:type="dxa"/>
          <w:left w:w="28" w:type="dxa"/>
          <w:bottom w:w="28" w:type="dxa"/>
          <w:right w:w="28" w:type="dxa"/>
        </w:tblCellMar>
      </w:tblPr>
      <w:tblGrid>
        <w:gridCol w:w="759"/>
        <w:gridCol w:w="668"/>
        <w:gridCol w:w="672"/>
        <w:gridCol w:w="210"/>
        <w:gridCol w:w="210"/>
        <w:gridCol w:w="210"/>
        <w:gridCol w:w="731"/>
        <w:gridCol w:w="731"/>
        <w:gridCol w:w="1043"/>
      </w:tblGrid>
      <w:tr>
        <w:tc>
          <w:tcPr>
            <w:tcW w:w="759" w:type="dxa"/>
            <w:tcBorders/>
            <w:vAlign w:val="center"/>
          </w:tcPr>
          <w:p>
            <w:pPr>
              <w:pStyle w:val="TableContents"/>
              <w:bidi w:val="0"/>
              <w:spacing w:before="0" w:after="283"/>
              <w:jc w:val="left"/>
              <w:rPr>
                <w:sz w:val="4"/>
                <w:szCs w:val="4"/>
              </w:rPr>
            </w:pPr>
            <w:r>
              <w:rPr>
                <w:sz w:val="4"/>
                <w:szCs w:val="4"/>
              </w:rPr>
            </w:r>
          </w:p>
        </w:tc>
        <w:tc>
          <w:tcPr>
            <w:tcW w:w="668"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731" w:type="dxa"/>
            <w:tcBorders/>
            <w:vAlign w:val="center"/>
          </w:tcPr>
          <w:p>
            <w:pPr>
              <w:pStyle w:val="TableContents"/>
              <w:bidi w:val="0"/>
              <w:spacing w:before="0" w:after="283"/>
              <w:jc w:val="left"/>
              <w:rPr>
                <w:sz w:val="4"/>
                <w:szCs w:val="4"/>
              </w:rPr>
            </w:pPr>
            <w:r>
              <w:rPr>
                <w:sz w:val="4"/>
                <w:szCs w:val="4"/>
              </w:rPr>
            </w:r>
          </w:p>
        </w:tc>
        <w:tc>
          <w:tcPr>
            <w:tcW w:w="1043" w:type="dxa"/>
            <w:tcBorders/>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5"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TASKUS, INC.</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Rishabh Khemka</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 Rishabh Khemka</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 Chief Financial Officer</w:t>
            </w:r>
          </w:p>
        </w:tc>
      </w:tr>
      <w:tr>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099" w:type="dxa"/>
            <w:gridSpan w:val="3"/>
            <w:tcBorders/>
            <w:shd w:fill="FFFFFF" w:val="clear"/>
            <w:tcMar>
              <w:top w:w="0" w:type="dxa"/>
              <w:left w:w="0" w:type="dxa"/>
              <w:bottom w:w="0" w:type="dxa"/>
              <w:right w:w="0" w:type="dxa"/>
            </w:tcMar>
            <w:vAlign w:val="center"/>
          </w:tcPr>
          <w:p>
            <w:pPr>
              <w:pStyle w:val="TableContents"/>
              <w:bidi w:val="0"/>
              <w:spacing w:lineRule="auto" w:line="288" w:before="200" w:after="283"/>
              <w:jc w:val="left"/>
              <w:rPr>
                <w:rFonts w:ascii="Times New Roman;serif" w:hAnsi="Times New Roman;serif"/>
                <w:b w:val="false"/>
                <w:color w:val="000000"/>
                <w:sz w:val="20"/>
              </w:rPr>
            </w:pPr>
            <w:r>
              <w:rPr>
                <w:rFonts w:ascii="Times New Roman;serif" w:hAnsi="Times New Roman;serif"/>
                <w:b w:val="false"/>
                <w:color w:val="000000"/>
                <w:sz w:val="20"/>
              </w:rPr>
              <w:t>Date: November 4, 2026</w:t>
            </w:r>
          </w:p>
        </w:tc>
        <w:tc>
          <w:tcPr>
            <w:tcW w:w="6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jc w:val="left"/>
      </w:p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right"/>
        <w:rPr>
          <w:rFonts w:ascii="sans-serif" w:hAnsi="sans-serif"/>
          <w:b/>
          <w:color w:val="000000"/>
          <w:sz w:val="20"/>
        </w:rPr>
      </w:pPr>
      <w:r>
        <w:rPr>
          <w:rFonts w:ascii="sans-serif" w:hAnsi="sans-serif"/>
          <w:b/>
          <w:color w:val="000000"/>
          <w:sz w:val="20"/>
        </w:rPr>
        <w:t>Exhibit 99.1</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pPr>
      <w:r>
        <w:rPr>
          <w:rFonts w:ascii="sans-serif" w:hAnsi="sans-serif"/>
          <w:b/>
          <w:color w:val="000000"/>
          <w:sz w:val="36"/>
        </w:rPr>
        <w:t xml:space="preserve">TaskUs Announces Fiscal </w:t>
      </w:r>
      <w:r>
        <w:rPr>
          <w:rFonts w:ascii="sans-serif" w:hAnsi="sans-serif"/>
          <w:b/>
          <w:color w:val="005CCF"/>
          <w:sz w:val="36"/>
        </w:rPr>
        <w:t>Third Quarter 2026 Results</w:t>
      </w:r>
    </w:p>
    <w:p>
      <w:pPr>
        <w:pStyle w:val="TextBody"/>
        <w:bidi w:val="0"/>
        <w:spacing w:lineRule="auto" w:line="288" w:before="200" w:after="283"/>
        <w:ind w:left="0" w:right="0" w:firstLine="540"/>
        <w:jc w:val="both"/>
      </w:pPr>
      <w:r>
        <w:rPr>
          <w:rFonts w:ascii="sans-serif" w:hAnsi="sans-serif"/>
          <w:b/>
          <w:color w:val="FF0074"/>
          <w:sz w:val="20"/>
        </w:rPr>
        <w:t>NEW BRAUNFELS, Texas, November 4, 2026</w:t>
      </w:r>
      <w:r>
        <w:rPr>
          <w:color w:val="000000"/>
        </w:rPr>
        <w:t xml:space="preserve"> — </w:t>
      </w:r>
      <w:r>
        <w:rPr>
          <w:rFonts w:ascii="sans-serif" w:hAnsi="sans-serif"/>
          <w:b w:val="false"/>
          <w:color w:val="000000"/>
          <w:sz w:val="20"/>
        </w:rPr>
        <w:t>TaskUs, Inc. (Nasdaq: TASK), a leading provider of outsourced digital services and next-generation customer experience to the world’s most innovative companies, today announced its results for the third quarter ended September 30, 2026.</w:t>
      </w:r>
    </w:p>
    <w:p>
      <w:pPr>
        <w:pStyle w:val="TextBody"/>
        <w:bidi w:val="0"/>
        <w:spacing w:lineRule="auto" w:line="288" w:before="120" w:after="283"/>
        <w:ind w:left="0" w:right="0" w:hanging="360"/>
        <w:jc w:val="both"/>
      </w:pPr>
      <w:r>
        <w:rPr>
          <w:color w:val="000000"/>
        </w:rPr>
        <w:t>•</w:t>
      </w:r>
      <w:r>
        <w:rPr>
          <w:rFonts w:ascii="sans-serif" w:hAnsi="sans-serif"/>
          <w:b/>
          <w:color w:val="000000"/>
          <w:sz w:val="20"/>
        </w:rPr>
        <w:t xml:space="preserve">Service revenue of $314.7 million, </w:t>
      </w:r>
      <w:r>
        <w:rPr>
          <w:rFonts w:ascii="sans-serif" w:hAnsi="sans-serif"/>
          <w:b w:val="false"/>
          <w:color w:val="000000"/>
          <w:sz w:val="20"/>
        </w:rPr>
        <w:t>5.4% year-over-year growth.</w:t>
      </w:r>
    </w:p>
    <w:p>
      <w:pPr>
        <w:pStyle w:val="TextBody"/>
        <w:bidi w:val="0"/>
        <w:spacing w:lineRule="auto" w:line="288" w:before="60" w:after="283"/>
        <w:ind w:left="0" w:right="0" w:hanging="360"/>
        <w:jc w:val="both"/>
      </w:pPr>
      <w:r>
        <w:rPr>
          <w:color w:val="000000"/>
        </w:rPr>
        <w:t>•</w:t>
      </w:r>
      <w:r>
        <w:rPr>
          <w:rFonts w:ascii="sans-serif" w:hAnsi="sans-serif"/>
          <w:b/>
          <w:color w:val="000000"/>
          <w:sz w:val="20"/>
        </w:rPr>
        <w:t>Net income of $26.2 million</w:t>
      </w:r>
      <w:r>
        <w:rPr>
          <w:rFonts w:ascii="sans-serif" w:hAnsi="sans-serif"/>
          <w:b w:val="false"/>
          <w:color w:val="000000"/>
          <w:sz w:val="20"/>
        </w:rPr>
        <w:t>,</w:t>
      </w:r>
      <w:r>
        <w:rPr>
          <w:color w:val="000000"/>
        </w:rPr>
        <w:t xml:space="preserve"> </w:t>
      </w:r>
      <w:r>
        <w:rPr>
          <w:rFonts w:ascii="sans-serif" w:hAnsi="sans-serif"/>
          <w:b w:val="false"/>
          <w:color w:val="000000"/>
          <w:sz w:val="20"/>
        </w:rPr>
        <w:t>net income margin of 8.3%.</w:t>
      </w:r>
    </w:p>
    <w:p>
      <w:pPr>
        <w:pStyle w:val="TextBody"/>
        <w:bidi w:val="0"/>
        <w:spacing w:lineRule="auto" w:line="288" w:before="60" w:after="283"/>
        <w:ind w:left="0" w:right="0" w:hanging="360"/>
        <w:jc w:val="both"/>
      </w:pPr>
      <w:r>
        <w:rPr>
          <w:color w:val="000000"/>
        </w:rPr>
        <w:t>•</w:t>
      </w:r>
      <w:r>
        <w:rPr>
          <w:rFonts w:ascii="sans-serif" w:hAnsi="sans-serif"/>
          <w:b/>
          <w:color w:val="000000"/>
          <w:sz w:val="20"/>
        </w:rPr>
        <w:t>Adjusted Net Income of $31.3 million</w:t>
      </w:r>
      <w:r>
        <w:rPr>
          <w:rFonts w:ascii="sans-serif" w:hAnsi="sans-serif"/>
          <w:b w:val="false"/>
          <w:color w:val="000000"/>
          <w:sz w:val="20"/>
        </w:rPr>
        <w:t>,</w:t>
      </w:r>
      <w:r>
        <w:rPr>
          <w:color w:val="000000"/>
        </w:rPr>
        <w:t xml:space="preserve"> </w:t>
      </w:r>
      <w:r>
        <w:rPr>
          <w:rFonts w:ascii="sans-serif" w:hAnsi="sans-serif"/>
          <w:b w:val="false"/>
          <w:color w:val="000000"/>
          <w:sz w:val="20"/>
        </w:rPr>
        <w:t>Adjusted Net Income margin of 9.9%.</w:t>
      </w:r>
    </w:p>
    <w:p>
      <w:pPr>
        <w:pStyle w:val="TextBody"/>
        <w:bidi w:val="0"/>
        <w:spacing w:lineRule="auto" w:line="288" w:before="60" w:after="283"/>
        <w:ind w:left="0" w:right="0" w:hanging="360"/>
        <w:jc w:val="both"/>
      </w:pPr>
      <w:r>
        <w:rPr>
          <w:color w:val="000000"/>
        </w:rPr>
        <w:t>•</w:t>
      </w:r>
      <w:r>
        <w:rPr>
          <w:rFonts w:ascii="sans-serif" w:hAnsi="sans-serif"/>
          <w:b/>
          <w:color w:val="000000"/>
          <w:sz w:val="20"/>
        </w:rPr>
        <w:t>Diluted EPS of $0.28</w:t>
      </w:r>
      <w:r>
        <w:rPr>
          <w:rFonts w:ascii="sans-serif" w:hAnsi="sans-serif"/>
          <w:b w:val="false"/>
          <w:color w:val="000000"/>
          <w:sz w:val="20"/>
        </w:rPr>
        <w:t>,</w:t>
      </w:r>
      <w:r>
        <w:rPr>
          <w:color w:val="000000"/>
        </w:rPr>
        <w:t xml:space="preserve"> </w:t>
      </w:r>
      <w:r>
        <w:rPr>
          <w:rFonts w:ascii="sans-serif" w:hAnsi="sans-serif"/>
          <w:b w:val="false"/>
          <w:color w:val="000000"/>
          <w:sz w:val="20"/>
        </w:rPr>
        <w:t>Adjusted EPS of $0.34.</w:t>
      </w:r>
    </w:p>
    <w:p>
      <w:pPr>
        <w:pStyle w:val="TextBody"/>
        <w:bidi w:val="0"/>
        <w:spacing w:lineRule="auto" w:line="288" w:before="60" w:after="283"/>
        <w:ind w:left="0" w:right="0" w:hanging="360"/>
        <w:jc w:val="both"/>
      </w:pPr>
      <w:r>
        <w:rPr>
          <w:color w:val="000000"/>
        </w:rPr>
        <w:t>•</w:t>
      </w:r>
      <w:r>
        <w:rPr>
          <w:rFonts w:ascii="sans-serif" w:hAnsi="sans-serif"/>
          <w:b/>
          <w:color w:val="000000"/>
          <w:sz w:val="20"/>
        </w:rPr>
        <w:t>Adjusted EBITDA of $59.1 million</w:t>
      </w:r>
      <w:r>
        <w:rPr>
          <w:rFonts w:ascii="sans-serif" w:hAnsi="sans-serif"/>
          <w:b w:val="false"/>
          <w:color w:val="000000"/>
          <w:sz w:val="20"/>
        </w:rPr>
        <w:t>, Adjusted EBITDA margin of 18.8%.</w:t>
      </w:r>
    </w:p>
    <w:p>
      <w:pPr>
        <w:pStyle w:val="TextBody"/>
        <w:bidi w:val="0"/>
        <w:spacing w:lineRule="auto" w:line="288" w:before="60" w:after="283"/>
        <w:ind w:left="0" w:right="0" w:hanging="360"/>
        <w:jc w:val="both"/>
      </w:pPr>
      <w:r>
        <w:rPr>
          <w:color w:val="000000"/>
        </w:rPr>
        <w:t>•</w:t>
      </w:r>
      <w:r>
        <w:rPr>
          <w:rFonts w:ascii="sans-serif" w:hAnsi="sans-serif"/>
          <w:b/>
          <w:color w:val="000000"/>
          <w:sz w:val="20"/>
        </w:rPr>
        <w:t>Net cash provided by operating activities of $30.7 million</w:t>
      </w:r>
      <w:r>
        <w:rPr>
          <w:rFonts w:ascii="sans-serif" w:hAnsi="sans-serif"/>
          <w:b w:val="false"/>
          <w:color w:val="000000"/>
          <w:sz w:val="20"/>
        </w:rPr>
        <w:t>, Free Cash Flow of $22.0 million and</w:t>
      </w:r>
      <w:r>
        <w:rPr>
          <w:color w:val="000000"/>
        </w:rPr>
        <w:t xml:space="preserve"> </w:t>
      </w:r>
      <w:r>
        <w:rPr>
          <w:rFonts w:ascii="sans-serif" w:hAnsi="sans-serif"/>
          <w:b w:val="false"/>
          <w:color w:val="000000"/>
          <w:sz w:val="20"/>
        </w:rPr>
        <w:t>37.3% conversion of Adjusted EBITDA to Free Cash Flow. Adjusted Free Cash Flow of $23.0 million and</w:t>
      </w:r>
      <w:r>
        <w:rPr>
          <w:color w:val="000000"/>
        </w:rPr>
        <w:t xml:space="preserve"> </w:t>
      </w:r>
      <w:r>
        <w:rPr>
          <w:rFonts w:ascii="sans-serif" w:hAnsi="sans-serif"/>
          <w:b w:val="false"/>
          <w:color w:val="000000"/>
          <w:sz w:val="20"/>
        </w:rPr>
        <w:t>38.9% conversion of Adjusted EBITDA to Adjusted Free Cash Flow.</w:t>
      </w:r>
    </w:p>
    <w:p>
      <w:pPr>
        <w:pStyle w:val="TextBody"/>
        <w:bidi w:val="0"/>
        <w:spacing w:before="0" w:after="0"/>
        <w:jc w:val="both"/>
      </w:pPr>
      <w:r/>
    </w:p>
    <w:p>
      <w:pPr>
        <w:pStyle w:val="TextBody"/>
        <w:bidi w:val="0"/>
        <w:spacing w:lineRule="auto" w:line="288" w:before="0" w:after="0"/>
        <w:jc w:val="both"/>
        <w:rPr>
          <w:color w:val="000000"/>
        </w:rPr>
      </w:pPr>
      <w:r>
        <w:rPr>
          <w:color w:val="000000"/>
        </w:rPr>
        <w:t>“</w:t>
      </w:r>
      <w:r>
        <w:rPr>
          <w:rFonts w:ascii="sans-serif" w:hAnsi="sans-serif"/>
          <w:b w:val="false"/>
          <w:color w:val="000000"/>
          <w:sz w:val="20"/>
        </w:rPr>
        <w:t>In the third quarter, we delivered $314.7 million in revenue, outperforming the top end of our guidance by $12.7 million and setting a new record for the highest level of quarterly revenue in TaskUs' history," said Co-Founder and CEO Bryce Maddock. "In light of our results, sustained sales momentum, and the continued strength of our service offerings, we are raising our full-year revenue outlook by $20 million at the midpoint. Our third-quarter momentum was fueled by 28% growth in AI Services. We continue to see exceptional performance across our broader client portfolio. When excluding our largest client, year-over-year revenue growth was nearly 20% for the quarter. Our growth strategy is working. As we head into the final quarter of the year, we remain well-positioned to deliver accelerating growth in AI Services, where we support developers of autonomous vehicles, robots, and frontier AI models, and continued resilience in our Digital Customer Experience business, where year-over-year growth rates have accelerated in each quarter of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sans-serif" w:hAnsi="sans-serif"/>
          <w:b/>
          <w:color w:val="005CCF"/>
          <w:sz w:val="28"/>
        </w:rPr>
      </w:pPr>
      <w:r>
        <w:rPr>
          <w:rFonts w:ascii="sans-serif" w:hAnsi="sans-serif"/>
          <w:b/>
          <w:color w:val="005CCF"/>
          <w:sz w:val="28"/>
        </w:rPr>
        <w:t>Third Quarter 2026 Financial and Frontline Highlights</w:t>
      </w:r>
    </w:p>
    <w:tbl>
      <w:tblPr>
        <w:tblW w:w="11686" w:type="dxa"/>
        <w:jc w:val="left"/>
        <w:tblInd w:w="0" w:type="dxa"/>
        <w:tblLayout w:type="fixed"/>
        <w:tblCellMar>
          <w:top w:w="28" w:type="dxa"/>
          <w:left w:w="28" w:type="dxa"/>
          <w:bottom w:w="28" w:type="dxa"/>
          <w:right w:w="28" w:type="dxa"/>
        </w:tblCellMar>
      </w:tblPr>
      <w:tblGrid>
        <w:gridCol w:w="408"/>
        <w:gridCol w:w="358"/>
        <w:gridCol w:w="360"/>
        <w:gridCol w:w="226"/>
        <w:gridCol w:w="946"/>
        <w:gridCol w:w="271"/>
        <w:gridCol w:w="109"/>
        <w:gridCol w:w="109"/>
        <w:gridCol w:w="109"/>
        <w:gridCol w:w="226"/>
        <w:gridCol w:w="946"/>
        <w:gridCol w:w="271"/>
        <w:gridCol w:w="109"/>
        <w:gridCol w:w="109"/>
        <w:gridCol w:w="109"/>
        <w:gridCol w:w="300"/>
        <w:gridCol w:w="301"/>
        <w:gridCol w:w="626"/>
        <w:gridCol w:w="109"/>
        <w:gridCol w:w="109"/>
        <w:gridCol w:w="109"/>
        <w:gridCol w:w="226"/>
        <w:gridCol w:w="946"/>
        <w:gridCol w:w="271"/>
        <w:gridCol w:w="109"/>
        <w:gridCol w:w="109"/>
        <w:gridCol w:w="109"/>
        <w:gridCol w:w="226"/>
        <w:gridCol w:w="946"/>
        <w:gridCol w:w="271"/>
        <w:gridCol w:w="109"/>
        <w:gridCol w:w="109"/>
        <w:gridCol w:w="109"/>
        <w:gridCol w:w="300"/>
        <w:gridCol w:w="301"/>
        <w:gridCol w:w="626"/>
        <w:gridCol w:w="109"/>
        <w:gridCol w:w="109"/>
        <w:gridCol w:w="109"/>
        <w:gridCol w:w="109"/>
        <w:gridCol w:w="109"/>
        <w:gridCol w:w="154"/>
      </w:tblGrid>
      <w:tr>
        <w:tc>
          <w:tcPr>
            <w:tcW w:w="408"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c>
          <w:tcPr>
            <w:tcW w:w="301" w:type="dxa"/>
            <w:tcBorders/>
            <w:vAlign w:val="center"/>
          </w:tcPr>
          <w:p>
            <w:pPr>
              <w:pStyle w:val="TableContents"/>
              <w:bidi w:val="0"/>
              <w:spacing w:before="0" w:after="283"/>
              <w:jc w:val="left"/>
              <w:rPr>
                <w:sz w:val="4"/>
                <w:szCs w:val="4"/>
              </w:rPr>
            </w:pPr>
            <w:r>
              <w:rPr>
                <w:sz w:val="4"/>
                <w:szCs w:val="4"/>
              </w:rPr>
            </w:r>
          </w:p>
        </w:tc>
        <w:tc>
          <w:tcPr>
            <w:tcW w:w="6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vMerge w:val="restart"/>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 in thousands, except per share amounts)</w:t>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months ended</w:t>
              <w:br/>
              <w:t>September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c>
          <w:tcPr>
            <w:tcW w:w="1126" w:type="dxa"/>
            <w:gridSpan w:val="3"/>
            <w:vMerge w:val="continue"/>
            <w:tcBorders/>
            <w:tcMar>
              <w:top w:w="0" w:type="dxa"/>
              <w:left w:w="0" w:type="dxa"/>
              <w:bottom w:w="0" w:type="dxa"/>
              <w:right w:w="0" w:type="dxa"/>
            </w:tcMar>
            <w:vAlign w:val="center"/>
          </w:tcPr>
          <w:p>
            <w:pPr>
              <w:pStyle w:val="Normal"/>
              <w:bidi w:val="0"/>
              <w:jc w:val="left"/>
            </w:p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Change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 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Service revenue</w:t>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88" w:before="0" w:after="283"/>
              <w:jc w:val="right"/>
              <w:rPr>
                <w:rFonts w:ascii="sans-serif" w:hAnsi="sans-serif"/>
                <w:b w:val="false"/>
                <w:color w:val="000000"/>
                <w:sz w:val="18"/>
              </w:rPr>
            </w:pPr>
            <w:r>
              <w:rPr>
                <w:rFonts w:ascii="sans-serif" w:hAnsi="sans-serif"/>
                <w:b w:val="false"/>
                <w:color w:val="000000"/>
                <w:sz w:val="18"/>
              </w:rPr>
              <w:t>314,747 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298,713 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5.4 </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929,868 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870,591 </w:t>
            </w:r>
          </w:p>
        </w:tc>
        <w:tc>
          <w:tcPr>
            <w:tcW w:w="271" w:type="dxa"/>
            <w:tcBorders>
              <w:top w:val="single" w:sz="8" w:space="0" w:color="000000"/>
            </w:tcBorders>
            <w:shd w:fill="DBDBDB"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6.8 </w:t>
            </w:r>
          </w:p>
        </w:tc>
        <w:tc>
          <w:tcPr>
            <w:tcW w:w="626" w:type="dxa"/>
            <w:tcBorders>
              <w:top w:val="single" w:sz="8" w:space="0" w:color="000000"/>
            </w:tcBorders>
            <w:shd w:fill="DBDBDB"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26,215 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(16.4)</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72,516 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72,570 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(0.1)</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Net income margin</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10.5 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7.8 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8.3 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Net Income</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31,275 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38,990 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(19.8)</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94,660 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114,625 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(17.4)</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Net Income margin</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9.9 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13.1 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10.2 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13.2 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 EPS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EPS</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(19.0)</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EBITDA</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59,109 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63,452 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(6.8)</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175,338 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187,676 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Adjusted EBITDA margin</w:t>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18.8 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21.2 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18.9 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21.6 </w:t>
            </w:r>
          </w:p>
        </w:tc>
        <w:tc>
          <w:tcPr>
            <w:tcW w:w="271"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30,679 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54,264 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(43.5)</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120,091 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107,549 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11.7 </w:t>
            </w:r>
          </w:p>
        </w:tc>
        <w:tc>
          <w:tcPr>
            <w:tcW w:w="6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Cash Flow</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22,024 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41,962 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(47.5)</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90,729 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63,796 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42.2 </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Conversion of Adjusted EBITDA to Free Cash Flow</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37.3 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66.1 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51.7 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34.0 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1126" w:type="dxa"/>
            <w:gridSpan w:val="3"/>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Free Cash Flow</w:t>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22,976 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47,987 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(52.1)</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101,626 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DBDBDB"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4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76,943 </w:t>
            </w:r>
          </w:p>
        </w:tc>
        <w:tc>
          <w:tcPr>
            <w:tcW w:w="271" w:type="dxa"/>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DBDBDB"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2"/>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32.1 </w:t>
            </w:r>
          </w:p>
        </w:tc>
        <w:tc>
          <w:tcPr>
            <w:tcW w:w="626" w:type="dxa"/>
            <w:tcBorders/>
            <w:shd w:fill="DBDBDB"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c>
          <w:tcPr>
            <w:tcW w:w="112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8"/>
              </w:rPr>
            </w:pPr>
            <w:r>
              <w:rPr>
                <w:rFonts w:ascii="sans-serif" w:hAnsi="sans-serif"/>
                <w:b w:val="false"/>
                <w:i/>
                <w:color w:val="000000"/>
                <w:sz w:val="18"/>
              </w:rPr>
              <w:t>Conversion of Adjusted EBITDA to Adjusted Free Cash Flow</w:t>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38.9 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75.6 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58.0 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41.0 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i/>
                <w:color w:val="000000"/>
                <w:sz w:val="18"/>
              </w:rPr>
            </w:pPr>
            <w:r>
              <w:rPr>
                <w:rFonts w:ascii="sans-serif" w:hAnsi="sans-serif"/>
                <w:b w:val="false"/>
                <w:i/>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60" w:after="283"/>
        <w:ind w:left="0" w:right="0" w:hanging="360"/>
        <w:jc w:val="both"/>
      </w:pPr>
      <w:r>
        <w:rPr>
          <w:color w:val="000000"/>
        </w:rPr>
        <w:t>•</w:t>
      </w:r>
      <w:r>
        <w:rPr>
          <w:rFonts w:ascii="sans-serif" w:hAnsi="sans-serif"/>
          <w:b w:val="false"/>
          <w:color w:val="000000"/>
          <w:sz w:val="20"/>
        </w:rPr>
        <w:t>At 27.7% year-over-year growth, AI Services eclipsed $250 million in trailing twelve-month revenue and remained TaskUs’ fastest growing service line for the seventh quarter in a row.</w:t>
      </w:r>
    </w:p>
    <w:p>
      <w:pPr>
        <w:pStyle w:val="TextBody"/>
        <w:bidi w:val="0"/>
        <w:spacing w:lineRule="auto" w:line="288" w:before="60" w:after="283"/>
        <w:ind w:left="0" w:right="0" w:hanging="360"/>
        <w:jc w:val="both"/>
      </w:pPr>
      <w:r>
        <w:rPr>
          <w:color w:val="000000"/>
        </w:rPr>
        <w:t>•</w:t>
      </w:r>
      <w:r>
        <w:rPr>
          <w:rFonts w:ascii="sans-serif" w:hAnsi="sans-serif"/>
          <w:b w:val="false"/>
          <w:color w:val="000000"/>
          <w:sz w:val="20"/>
        </w:rPr>
        <w:t>Digital Customer Experience accelerated for the third consecutive quarter to 7.1% growth compared to Q3 2025.</w:t>
      </w:r>
    </w:p>
    <w:p>
      <w:pPr>
        <w:pStyle w:val="TextBody"/>
        <w:bidi w:val="0"/>
        <w:spacing w:lineRule="auto" w:line="288" w:before="60" w:after="283"/>
        <w:ind w:left="0" w:right="0" w:hanging="360"/>
        <w:jc w:val="both"/>
      </w:pPr>
      <w:r>
        <w:rPr>
          <w:color w:val="000000"/>
        </w:rPr>
        <w:t>•</w:t>
      </w:r>
      <w:r>
        <w:rPr>
          <w:rFonts w:ascii="sans-serif" w:hAnsi="sans-serif"/>
          <w:b w:val="false"/>
          <w:color w:val="000000"/>
          <w:sz w:val="20"/>
        </w:rPr>
        <w:t>Recognized as a Leader in the Everest Group’s Trust and Safety Services PEAK Matrix® Assessment for the fourth year in a row during Q3.</w:t>
      </w:r>
    </w:p>
    <w:p>
      <w:pPr>
        <w:pStyle w:val="TextBody"/>
        <w:bidi w:val="0"/>
        <w:spacing w:before="0" w:after="0"/>
        <w:jc w:val="left"/>
      </w:p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60" w:after="283"/>
        <w:ind w:left="0" w:right="0" w:hanging="360"/>
        <w:jc w:val="both"/>
      </w:pPr>
      <w:r>
        <w:rPr>
          <w:color w:val="000000"/>
        </w:rPr>
        <w:t>•</w:t>
      </w:r>
      <w:r>
        <w:rPr>
          <w:rFonts w:ascii="sans-serif" w:hAnsi="sans-serif"/>
          <w:b w:val="false"/>
          <w:color w:val="000000"/>
          <w:sz w:val="20"/>
        </w:rPr>
        <w:t>Maintained liquidity of $189.7 million in cash and $100.0 million of borrowing capacity under our revolving credit facility.</w:t>
      </w:r>
    </w:p>
    <w:p>
      <w:pPr>
        <w:pStyle w:val="TextBody"/>
        <w:bidi w:val="0"/>
        <w:spacing w:lineRule="auto" w:line="288" w:before="60" w:after="283"/>
        <w:ind w:left="0" w:right="0" w:hanging="360"/>
        <w:jc w:val="both"/>
      </w:pPr>
      <w:r>
        <w:rPr>
          <w:color w:val="000000"/>
        </w:rPr>
        <w:t>•</w:t>
      </w:r>
      <w:r>
        <w:rPr>
          <w:rFonts w:ascii="sans-serif" w:hAnsi="sans-serif"/>
          <w:b w:val="false"/>
          <w:color w:val="000000"/>
          <w:sz w:val="20"/>
        </w:rPr>
        <w:t>Approximately 64,700 teammates at the end of the third quarter of 2026.</w:t>
      </w:r>
    </w:p>
    <w:p>
      <w:pPr>
        <w:pStyle w:val="TextBody"/>
        <w:bidi w:val="0"/>
        <w:spacing w:lineRule="auto" w:line="288" w:before="120" w:after="283"/>
        <w:jc w:val="both"/>
        <w:rPr>
          <w:color w:val="000000"/>
        </w:rPr>
      </w:pPr>
      <w:r>
        <w:rPr>
          <w:color w:val="000000"/>
        </w:rPr>
        <w:t>“</w:t>
      </w:r>
      <w:r>
        <w:rPr>
          <w:rFonts w:ascii="sans-serif" w:hAnsi="sans-serif"/>
          <w:b w:val="false"/>
          <w:color w:val="000000"/>
          <w:sz w:val="20"/>
        </w:rPr>
        <w:t>Our exceptional Q3 results again demonstrated the resilience and growing diversification of our business. We delivered another quarter ahead of our guidance on both revenue and Adjusted EBITDA, with year-to-date Adjusted Free Cash Flow of $101.6 million, or 58% of Adjusted EBITDA," said Chief Financial Officer Rishabh Khemka. "As a result, we are increasing our full-year 2026 revenue range to between $1.249 billion and $1.251 billion and expect to earn full-year Adjusted EBITDA margins of approximately 19% at the midpoint of our revenue guidance. Additionally, our strong year-to-date free cash flow gives us the confidence to again increase our full-year Adjusted Free Cash Flow outlook by $5 million to $120 million at the midpoint. By maintaining disciplined cost management across our operations and overhead functions, we remain well-positioned to drive profitability and fund our AI transformation initiatives.”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left"/>
        <w:rPr>
          <w:rFonts w:ascii="sans-serif" w:hAnsi="sans-serif"/>
          <w:b/>
          <w:color w:val="005CCF"/>
          <w:sz w:val="28"/>
        </w:rPr>
      </w:pPr>
      <w:r>
        <w:rPr>
          <w:rFonts w:ascii="sans-serif" w:hAnsi="sans-serif"/>
          <w:b/>
          <w:color w:val="005CCF"/>
          <w:sz w:val="28"/>
        </w:rPr>
        <w:t>Fourth Quarter and Full Year 2026 Outlook</w:t>
      </w: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For the fourth quarter and full year 2026, TaskUs expects its financial results to include:</w:t>
      </w:r>
    </w:p>
    <w:tbl>
      <w:tblPr>
        <w:tblW w:w="7550" w:type="dxa"/>
        <w:jc w:val="center"/>
        <w:tblInd w:w="0" w:type="dxa"/>
        <w:tblLayout w:type="fixed"/>
        <w:tblCellMar>
          <w:top w:w="28" w:type="dxa"/>
          <w:left w:w="28" w:type="dxa"/>
          <w:bottom w:w="28" w:type="dxa"/>
          <w:right w:w="28" w:type="dxa"/>
        </w:tblCellMar>
      </w:tblPr>
      <w:tblGrid>
        <w:gridCol w:w="1382"/>
        <w:gridCol w:w="1216"/>
        <w:gridCol w:w="1227"/>
        <w:gridCol w:w="495"/>
        <w:gridCol w:w="495"/>
        <w:gridCol w:w="496"/>
        <w:gridCol w:w="151"/>
        <w:gridCol w:w="151"/>
        <w:gridCol w:w="151"/>
        <w:gridCol w:w="521"/>
        <w:gridCol w:w="521"/>
        <w:gridCol w:w="744"/>
      </w:tblGrid>
      <w:tr>
        <w:tc>
          <w:tcPr>
            <w:tcW w:w="1382" w:type="dxa"/>
            <w:tcBorders/>
            <w:vAlign w:val="center"/>
          </w:tcPr>
          <w:p>
            <w:pPr>
              <w:pStyle w:val="TableContents"/>
              <w:bidi w:val="0"/>
              <w:spacing w:before="0" w:after="283"/>
              <w:jc w:val="left"/>
              <w:rPr>
                <w:sz w:val="4"/>
                <w:szCs w:val="4"/>
              </w:rPr>
            </w:pPr>
            <w:r>
              <w:rPr>
                <w:sz w:val="4"/>
                <w:szCs w:val="4"/>
              </w:rPr>
            </w:r>
          </w:p>
        </w:tc>
        <w:tc>
          <w:tcPr>
            <w:tcW w:w="1216" w:type="dxa"/>
            <w:tcBorders/>
            <w:vAlign w:val="center"/>
          </w:tcPr>
          <w:p>
            <w:pPr>
              <w:pStyle w:val="TableContents"/>
              <w:bidi w:val="0"/>
              <w:spacing w:before="0" w:after="283"/>
              <w:jc w:val="left"/>
              <w:rPr>
                <w:sz w:val="4"/>
                <w:szCs w:val="4"/>
              </w:rPr>
            </w:pPr>
            <w:r>
              <w:rPr>
                <w:sz w:val="4"/>
                <w:szCs w:val="4"/>
              </w:rPr>
            </w:r>
          </w:p>
        </w:tc>
        <w:tc>
          <w:tcPr>
            <w:tcW w:w="1227"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5" w:type="dxa"/>
            <w:tcBorders/>
            <w:vAlign w:val="center"/>
          </w:tcPr>
          <w:p>
            <w:pPr>
              <w:pStyle w:val="TableContents"/>
              <w:bidi w:val="0"/>
              <w:spacing w:before="0" w:after="283"/>
              <w:jc w:val="left"/>
              <w:rPr>
                <w:sz w:val="4"/>
                <w:szCs w:val="4"/>
              </w:rPr>
            </w:pPr>
            <w:r>
              <w:rPr>
                <w:sz w:val="4"/>
                <w:szCs w:val="4"/>
              </w:rPr>
            </w:r>
          </w:p>
        </w:tc>
        <w:tc>
          <w:tcPr>
            <w:tcW w:w="49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744" w:type="dxa"/>
            <w:tcBorders/>
            <w:vAlign w:val="center"/>
          </w:tcPr>
          <w:p>
            <w:pPr>
              <w:pStyle w:val="TableContents"/>
              <w:bidi w:val="0"/>
              <w:spacing w:before="0" w:after="283"/>
              <w:jc w:val="left"/>
              <w:rPr>
                <w:sz w:val="4"/>
                <w:szCs w:val="4"/>
              </w:rPr>
            </w:pPr>
            <w:r>
              <w:rPr>
                <w:sz w:val="4"/>
                <w:szCs w:val="4"/>
              </w:rPr>
            </w:r>
          </w:p>
        </w:tc>
      </w:tr>
      <w:t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5" w:type="dxa"/>
            <w:gridSpan w:val="9"/>
            <w:tcBorders/>
            <w:shd w:fill="FFFFFF" w:val="clear"/>
            <w:tcMar>
              <w:top w:w="0" w:type="dxa"/>
              <w:left w:w="0" w:type="dxa"/>
              <w:bottom w:w="0" w:type="dxa"/>
              <w:right w:w="0" w:type="dxa"/>
            </w:tcMar>
            <w:vAlign w:val="center"/>
          </w:tcPr>
          <w:p>
            <w:pPr>
              <w:pStyle w:val="TableContents"/>
              <w:bidi w:val="0"/>
              <w:spacing w:lineRule="auto" w:line="240" w:before="0" w:after="0"/>
              <w:jc w:val="center"/>
            </w:pPr>
            <w:r>
              <w:rPr>
                <w:rFonts w:ascii="sans-serif" w:hAnsi="sans-serif"/>
                <w:b/>
                <w:color w:val="000000"/>
                <w:sz w:val="16"/>
              </w:rPr>
              <w:t>2026</w:t>
            </w:r>
            <w:r>
              <w:rPr>
                <w:color w:val="000000"/>
              </w:rPr>
              <w:t xml:space="preserve"> </w:t>
            </w:r>
            <w:r>
              <w:rPr>
                <w:rFonts w:ascii="sans-serif" w:hAnsi="sans-serif"/>
                <w:b/>
                <w:color w:val="000000"/>
                <w:sz w:val="16"/>
              </w:rPr>
              <w:t>Outlook</w:t>
            </w:r>
          </w:p>
        </w:tc>
      </w:tr>
      <w:tr>
        <w:tc>
          <w:tcPr>
            <w:tcW w:w="382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Fourth Quarter</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6"/>
              </w:rPr>
            </w:pPr>
            <w:r>
              <w:rPr>
                <w:rFonts w:ascii="sans-serif" w:hAnsi="sans-serif"/>
                <w:b/>
                <w:color w:val="000000"/>
                <w:sz w:val="16"/>
              </w:rPr>
              <w:t>Full Year</w:t>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sans-serif" w:hAnsi="sans-serif"/>
                <w:b w:val="false"/>
                <w:color w:val="000000"/>
                <w:sz w:val="20"/>
                <w:shd w:fill="FFFFFF" w:val="clear"/>
              </w:rPr>
            </w:pPr>
            <w:r>
              <w:rPr>
                <w:rFonts w:ascii="sans-serif" w:hAnsi="sans-serif"/>
                <w:b w:val="false"/>
                <w:color w:val="000000"/>
                <w:sz w:val="20"/>
                <w:shd w:fill="FFFFFF" w:val="clear"/>
              </w:rPr>
              <w:t>Revenue (in millions)</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$319 to $321</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$1,249 to $1,251</w:t>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ind w:left="0" w:right="0" w:hanging="240"/>
              <w:jc w:val="left"/>
              <w:rPr>
                <w:rFonts w:ascii="sans-serif" w:hAnsi="sans-serif"/>
                <w:b w:val="false"/>
                <w:i/>
                <w:color w:val="000000"/>
                <w:sz w:val="20"/>
                <w:shd w:fill="FFFFFF" w:val="clear"/>
              </w:rPr>
            </w:pPr>
            <w:r>
              <w:rPr>
                <w:rFonts w:ascii="sans-serif" w:hAnsi="sans-serif"/>
                <w:b w:val="false"/>
                <w:i/>
                <w:color w:val="000000"/>
                <w:sz w:val="20"/>
                <w:shd w:fill="FFFFFF" w:val="clear"/>
              </w:rPr>
              <w:t>Revenue growth (YoY) at midpoint</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2.3%</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i/>
                <w:color w:val="000000"/>
                <w:sz w:val="20"/>
              </w:rPr>
            </w:pPr>
            <w:r>
              <w:rPr>
                <w:rFonts w:ascii="sans-serif" w:hAnsi="sans-serif"/>
                <w:b w:val="false"/>
                <w:i/>
                <w:color w:val="000000"/>
                <w:sz w:val="20"/>
              </w:rPr>
              <w:t>5.6%</w:t>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88" w:before="0" w:after="0"/>
              <w:jc w:val="left"/>
            </w:pPr>
            <w:r>
              <w:rPr>
                <w:rFonts w:ascii="sans-serif" w:hAnsi="sans-serif"/>
                <w:b w:val="false"/>
                <w:color w:val="000000"/>
                <w:sz w:val="20"/>
                <w:shd w:fill="FFFFFF" w:val="clear"/>
              </w:rPr>
              <w:t>Adjusted EBITDA Margin</w:t>
            </w:r>
            <w:r>
              <w:rPr>
                <w:rFonts w:ascii="sans-serif" w:hAnsi="sans-serif"/>
                <w:b w:val="false"/>
                <w:color w:val="000000"/>
                <w:sz w:val="13"/>
                <w:shd w:fill="FFFFFF" w:val="clear"/>
              </w:rPr>
              <w:t>1</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~19.5%</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~19.0%</w:t>
            </w:r>
          </w:p>
        </w:tc>
      </w:tr>
      <w:tr>
        <w:tc>
          <w:tcPr>
            <w:tcW w:w="382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20"/>
              </w:rPr>
              <w:t>Adjusted Free Cash Flow</w:t>
            </w:r>
            <w:r>
              <w:rPr>
                <w:color w:val="EE2724"/>
              </w:rPr>
              <w:t xml:space="preserve"> </w:t>
            </w:r>
            <w:r>
              <w:rPr>
                <w:rFonts w:ascii="sans-serif" w:hAnsi="sans-serif"/>
                <w:b w:val="false"/>
                <w:color w:val="000000"/>
                <w:sz w:val="20"/>
              </w:rPr>
              <w:t>(in millions)</w:t>
            </w:r>
            <w:r>
              <w:rPr>
                <w:rFonts w:ascii="sans-serif" w:hAnsi="sans-serif"/>
                <w:b w:val="false"/>
                <w:color w:val="000000"/>
                <w:sz w:val="13"/>
              </w:rPr>
              <w:t>2</w:t>
            </w:r>
          </w:p>
        </w:tc>
        <w:tc>
          <w:tcPr>
            <w:tcW w:w="14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N/A</w:t>
            </w:r>
          </w:p>
        </w:tc>
        <w:tc>
          <w:tcPr>
            <w:tcW w:w="4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86"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sans-serif" w:hAnsi="sans-serif"/>
                <w:b w:val="false"/>
                <w:color w:val="000000"/>
                <w:sz w:val="20"/>
              </w:rPr>
            </w:pPr>
            <w:r>
              <w:rPr>
                <w:rFonts w:ascii="sans-serif" w:hAnsi="sans-serif"/>
                <w:b w:val="false"/>
                <w:color w:val="000000"/>
                <w:sz w:val="20"/>
              </w:rPr>
              <w:t>$115 to $125</w:t>
            </w:r>
          </w:p>
        </w:tc>
      </w:tr>
    </w:tbl>
    <w:p>
      <w:pPr>
        <w:pStyle w:val="TextBody"/>
        <w:bidi w:val="0"/>
        <w:spacing w:lineRule="auto" w:line="288" w:before="200" w:after="283"/>
        <w:ind w:left="0" w:right="0" w:hanging="270"/>
        <w:jc w:val="both"/>
        <w:rPr>
          <w:rFonts w:ascii="sans-serif" w:hAnsi="sans-serif"/>
          <w:b w:val="false"/>
          <w:color w:val="000000"/>
          <w:sz w:val="16"/>
        </w:rPr>
      </w:pPr>
      <w:r>
        <w:rPr>
          <w:rFonts w:ascii="sans-serif" w:hAnsi="sans-serif"/>
          <w:b w:val="false"/>
          <w:color w:val="000000"/>
          <w:sz w:val="16"/>
        </w:rPr>
        <w:t>1.With respect to the non-GAAP Adjusted EBITDA margin outlook provided above, a reconciliation to the closest GAAP financial measure has not been provided as the quantification of certain items included in the calculation of GAAP net income (loss) cannot be calculated or predicted at this time without unreasonable efforts. For example, the non-GAAP adjustment for stock-based compensation expense requires additional inputs such as number of shares granted and market price that are not currently ascertainable, the non-GAAP adjustment for foreign currency gains or losses depends on the timing and magnitude of changes in foreign currency exchange rates and cannot be accurately forecasted. For the same reasons, the Company is unable to address the probable significance of the unavailable information, which could have a potentially unpredictable, and potentially significant, impact on its future GAAP financial results.</w:t>
      </w:r>
    </w:p>
    <w:p>
      <w:pPr>
        <w:pStyle w:val="TextBody"/>
        <w:bidi w:val="0"/>
        <w:spacing w:lineRule="auto" w:line="288" w:before="0" w:after="0"/>
        <w:ind w:left="0" w:right="0" w:hanging="270"/>
        <w:jc w:val="both"/>
        <w:rPr>
          <w:rFonts w:ascii="sans-serif" w:hAnsi="sans-serif"/>
          <w:b w:val="false"/>
          <w:color w:val="000000"/>
          <w:sz w:val="16"/>
        </w:rPr>
      </w:pPr>
      <w:r>
        <w:rPr>
          <w:rFonts w:ascii="sans-serif" w:hAnsi="sans-serif"/>
          <w:b w:val="false"/>
          <w:color w:val="000000"/>
          <w:sz w:val="16"/>
        </w:rPr>
        <w:t>2.Adjusted Free Cash Flow is calculated as net cash provided by operating activities in the period minus cash used for purchase of property and equipment in the period, excluding certain non-recurring adjustments. At the midpoint of our guidance, net cash provided by operating activities for the full year 2026 is expected to be approximately $165 million and purchase of property and equipment is expected to be approximately $45 million. Our Adjusted Free Cash Flow guidance and expected net cash provided by operating activities excludes the impact of certain payments, including transaction costs, liability stock-based compensation awards and operational efficiency costs, due to the unpredictability of the costs and timing of payments.</w:t>
      </w:r>
    </w:p>
    <w:p>
      <w:pPr>
        <w:pStyle w:val="TextBody"/>
        <w:bidi w:val="0"/>
        <w:spacing w:lineRule="auto" w:line="288" w:before="200" w:after="283"/>
        <w:jc w:val="left"/>
        <w:rPr>
          <w:rFonts w:ascii="sans-serif" w:hAnsi="sans-serif"/>
          <w:b/>
          <w:color w:val="005CCF"/>
          <w:sz w:val="20"/>
        </w:rPr>
      </w:pPr>
      <w:r>
        <w:rPr>
          <w:rFonts w:ascii="sans-serif" w:hAnsi="sans-serif"/>
          <w:b/>
          <w:color w:val="005CCF"/>
          <w:sz w:val="20"/>
        </w:rPr>
        <w:t>Conference Call Information</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TaskUs senior management will host a conference call today to discuss the Company’s third quarter 2026 financial results and financial outlook. This call is scheduled to begin at 5:00 pm ET. Analysts and investors who wish to participate in the call can register by visiting the following link: https://register-conf.media-server.com/register/BI6ba8dbc13c384932a022eb7121abd323</w:t>
      </w:r>
    </w:p>
    <w:p>
      <w:pPr>
        <w:pStyle w:val="TextBody"/>
        <w:bidi w:val="0"/>
        <w:spacing w:lineRule="auto" w:line="288" w:before="120" w:after="283"/>
        <w:ind w:left="0" w:right="0" w:firstLine="720"/>
        <w:jc w:val="both"/>
        <w:rPr>
          <w:rFonts w:ascii="sans-serif" w:hAnsi="sans-serif"/>
          <w:b w:val="false"/>
          <w:color w:val="000000"/>
          <w:sz w:val="20"/>
        </w:rPr>
      </w:pPr>
      <w:r>
        <w:rPr>
          <w:rFonts w:ascii="sans-serif" w:hAnsi="sans-serif"/>
          <w:b w:val="false"/>
          <w:color w:val="000000"/>
          <w:sz w:val="20"/>
        </w:rPr>
        <w:t xml:space="preserve">To listen to a live audio webcast, please visit TaskUs’ Investor Relations website at IR.Taskus.com. The Company will also make a slide presentation and other materials available on its website. A replay of the audio webcast will be available on the Company’s Investor Relations website for 12 months following the call. </w:t>
      </w:r>
    </w:p>
    <w:p>
      <w:pPr>
        <w:pStyle w:val="TextBody"/>
        <w:bidi w:val="0"/>
        <w:spacing w:lineRule="auto" w:line="288" w:before="200" w:after="283"/>
        <w:jc w:val="left"/>
        <w:rPr>
          <w:rFonts w:ascii="sans-serif" w:hAnsi="sans-serif"/>
          <w:b/>
          <w:color w:val="005CCF"/>
          <w:sz w:val="20"/>
        </w:rPr>
      </w:pPr>
      <w:r>
        <w:rPr>
          <w:rFonts w:ascii="sans-serif" w:hAnsi="sans-serif"/>
          <w:b/>
          <w:color w:val="005CCF"/>
          <w:sz w:val="20"/>
        </w:rPr>
        <w:t>About TaskUs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TaskUs (Nasdaq: TASK) delivers outsourced digital services that power the companies shaping the future. By combining specialized human talent and intelligent technology, we solve complex operational challenges for global category leaders within AI, autonomous vehicles (AV), robotics, social media, financial services, healthcare, and beyond. We enable our clients to elevate their customer experience, protect their platforms, and grow their brands. For more information, visit www.taskus.com.</w:t>
      </w:r>
    </w:p>
    <w:p>
      <w:pPr>
        <w:pStyle w:val="TextBody"/>
        <w:bidi w:val="0"/>
        <w:spacing w:before="0" w:after="0"/>
        <w:jc w:val="left"/>
      </w:p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120" w:after="283"/>
        <w:jc w:val="both"/>
        <w:rPr>
          <w:rFonts w:ascii="sans-serif" w:hAnsi="sans-serif"/>
          <w:b/>
          <w:color w:val="005CCF"/>
          <w:sz w:val="20"/>
        </w:rPr>
      </w:pPr>
      <w:r>
        <w:rPr>
          <w:rFonts w:ascii="sans-serif" w:hAnsi="sans-serif"/>
          <w:b/>
          <w:color w:val="005CCF"/>
          <w:sz w:val="20"/>
        </w:rPr>
        <w:t>Forward-Looking Statements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This press release contains “forward-looking statements” within the meaning of the Private Securities Litigation Reform Act of 1995. Forward-looking statements include all statements that are not historical facts, and further include, without limitation, statements reflecting our current views with respect to, among other things, our operations, our financial performance, our industry, the impact of the macroeconomic environment on our business, and other non-historical statements including the statements in the “Fourth Quarter and Full Year 2026 Outlook” section of this press release. In some cases, you can identify these forward-looking statements by the use of words such as “outlook,” “believes,” “expects,” “potential,” “continues,” “may,” “will,” “should,” “could,” “would,” “seeks,” “predicts,” “intends,” “trends,” “plans,” “estimates,” “anticipates,” “position us” or the negative version of these words or other comparable words. Such forward-looking statements are subject to various risks and uncertainties. Accordingly, there are or will be important factors that could cause actual outcomes or results to differ materially from those indicated in these statements. These factors include but are not limited to: the dependence of our business on key clients; the risk of loss of business or non-payment from clients; our failure to cost-effectively acquire new clients; the risk that we may provide inadequate service or cause disruptions in our clients’ businesses or fail to comply with the quality standards required by our clients under our agreements; our inability to anticipate clients’ needs by adapting to market and technology trends; increased adoption and utilization of artificial intelligence (“AI”), including Generative AI and Agentic AI, by our clients or us, or our failure to appropriately incorporate AI into our operations; unauthorized or improper disclosure of personal or other sensitive information, or security breaches and incidents, whether inadvertent or purposeful, including as the result of a cyber-attack; negative publicity or liability or difficulty recruiting and retaining employees; our failure to detect and deter criminal or fraudulent activities or other misconduct by our employees or third parties; global economic and political conditions, especially in the social media and meal delivery and transport industries from which we generate significant revenue; our indebtedness and debt service obligations following the March 2026 refinancing; the dependence of our business on our international operations, particularly in the Philippines and India; our failure to comply with applicable data privacy and security laws and regulations; fluctuations against the U.S. dollar in the local currencies in the countries in which we operate; our inability to maintain and enhance our brand; competitive pricing pressure; volatile, unfavorable or uncertain economic or political conditions, particularly in the markets in which our clients and operations are concentrated, and the effects of these conditions on our clients’ businesses; our dependence on senior management and key employees; increases in employee expenses and changes to labor laws; failure to attract, hire, train and retain a sufficient number of skilled employees to support operations; our inability to effectively expand our operations into countries or industries in which we have no prior operating experience and in which we may be subject to increased business, economic and regulatory risks; reliance on owned and third-party technology and computer systems; failure to maintain asset utilization levels, price appropriately and control costs; the control of affiliates of Blackstone Inc. and our Co-Founders over us; the dual class structure of our common stock; and the volatility of the market price of our Class A common stock. Additional risks and uncertainties include but are not limited to those described under “Risk Factors” in the Company’s Annual Report on Form 10-K for the year ended December 31, 2025 filed with the Securities and Exchange Commission (the “SEC”) on March 5, 2026, as such factors may be updated from time to time in our filings with the SEC, which are accessible on the SEC’s website at www.sec.gov. These factors should not be construed as exhaustive and should be read in conjunction with the other cautionary statements that are included in the Company’s SEC filings. You are cautioned not to place undue reliance on these forward-looking statements, which speak only as of the date the statement was made. TaskUs undertakes no obligation to update or revise any forward-looking statements, whether as a result of new information, future developments or otherwise, except as required by law.</w:t>
      </w:r>
    </w:p>
    <w:p>
      <w:pPr>
        <w:pStyle w:val="TextBody"/>
        <w:bidi w:val="0"/>
        <w:spacing w:before="0" w:after="0"/>
        <w:jc w:val="left"/>
      </w:pPr>
      <w:r/>
    </w:p>
    <w:p>
      <w:pPr>
        <w:pStyle w:val="TextBody"/>
        <w:bidi w:val="0"/>
        <w:spacing w:lineRule="auto" w:line="288" w:before="0" w:after="0"/>
        <w:jc w:val="left"/>
        <w:rPr>
          <w:rFonts w:ascii="sans-serif" w:hAnsi="sans-serif"/>
          <w:b/>
          <w:color w:val="005CCF"/>
          <w:sz w:val="20"/>
        </w:rPr>
      </w:pPr>
      <w:r>
        <w:rPr>
          <w:rFonts w:ascii="sans-serif" w:hAnsi="sans-serif"/>
          <w:b/>
          <w:color w:val="005CCF"/>
          <w:sz w:val="20"/>
        </w:rPr>
        <w:t>Non-GAAP Financial Measures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 xml:space="preserve">TaskUs supplements results reported in accordance with United States generally accepted accounting principles (“GAAP”), with non-GAAP financial measures, such as Adjusted Net Income, Adjusted Net Income Margin, Adjusted Earnings Per Share, EBITDA, Adjusted EBITDA, Adjusted EBITDA Margin, Free Cash Flow, Adjusted Free Cash Flow, Conversion of Adjusted EBITDA to Free Cash Flow and Conversion of Adjusted EBITDA to Adjusted Free Cash Flow. Management believes these measures help illustrate underlying trends in TaskUs’ business and uses the measures to establish budgets and operational goals, communicate internally and externally, and manage TaskUs’ business and evaluate its performance. Management also believes that certain of these measures help investors compare TaskUs’ operating performance with its results in prior periods or assess liquidity. TaskUs anticipates that it will continue to report both GAAP and certain non-GAAP financial measures in its financial results, including non-GAAP results that exclude the impact of certain costs, losses and gains that are required to be included in our profit and loss measures under GAAP. Because TaskUs’ reported non-GAAP financial measures are not calculated in accordance with GAAP, these measures are not a substitute for the most directly comparable GAAP measure and may not be comparable to similarly titled measures used by other companies. </w:t>
      </w:r>
    </w:p>
    <w:p>
      <w:pPr>
        <w:pStyle w:val="TextBody"/>
        <w:bidi w:val="0"/>
        <w:jc w:val="both"/>
      </w:pPr>
      <w:r/>
    </w:p>
    <w:p>
      <w:pPr>
        <w:pStyle w:val="TextBody"/>
        <w:bidi w:val="0"/>
        <w:spacing w:before="0" w:after="0"/>
        <w:jc w:val="left"/>
      </w:p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ind w:left="0" w:right="0" w:firstLine="540"/>
        <w:jc w:val="both"/>
        <w:rPr>
          <w:rFonts w:ascii="sans-serif" w:hAnsi="sans-serif"/>
          <w:b w:val="false"/>
          <w:color w:val="000000"/>
          <w:sz w:val="20"/>
        </w:rPr>
      </w:pPr>
      <w:r>
        <w:rPr>
          <w:rFonts w:ascii="sans-serif" w:hAnsi="sans-serif"/>
          <w:b w:val="false"/>
          <w:color w:val="000000"/>
          <w:sz w:val="20"/>
        </w:rPr>
        <w:t>Consequently, TaskUs’ non-GAAP financial measures should not be evaluated in isolation or supplant comparable GAAP measures, but rather, should be considered together with the information in TaskUs’ consolidated financial statements, which are prepared in accordance with GAAP. Definitions of non-GAAP financial measures and the reconciliations to the most directly comparable measures in accordance with GAAP are provided in subsequent sections of this press release narrative and supplemental schedules.</w:t>
      </w:r>
    </w:p>
    <w:p>
      <w:pPr>
        <w:pStyle w:val="TextBody"/>
        <w:bidi w:val="0"/>
        <w:spacing w:before="0" w:after="0"/>
        <w:jc w:val="both"/>
      </w:pPr>
      <w:r/>
    </w:p>
    <w:p>
      <w:pPr>
        <w:pStyle w:val="TextBody"/>
        <w:bidi w:val="0"/>
        <w:spacing w:before="0" w:after="0"/>
        <w:jc w:val="both"/>
      </w:pPr>
      <w:r/>
    </w:p>
    <w:p>
      <w:pPr>
        <w:pStyle w:val="TextBody"/>
        <w:bidi w:val="0"/>
        <w:spacing w:lineRule="auto" w:line="288" w:before="420" w:after="283"/>
        <w:jc w:val="left"/>
        <w:rPr>
          <w:rFonts w:ascii="sans-serif" w:hAnsi="sans-serif"/>
          <w:b/>
          <w:color w:val="005CCF"/>
          <w:sz w:val="20"/>
        </w:rPr>
      </w:pPr>
      <w:r>
        <w:rPr>
          <w:rFonts w:ascii="sans-serif" w:hAnsi="sans-serif"/>
          <w:b/>
          <w:color w:val="005CCF"/>
          <w:sz w:val="20"/>
        </w:rPr>
        <w:t>Investor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Trent Thrash</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IR@taskus.com</w:t>
      </w:r>
    </w:p>
    <w:p>
      <w:pPr>
        <w:pStyle w:val="TextBody"/>
        <w:bidi w:val="0"/>
        <w:spacing w:lineRule="auto" w:line="288" w:before="120" w:after="283"/>
        <w:jc w:val="left"/>
        <w:rPr>
          <w:rFonts w:ascii="sans-serif" w:hAnsi="sans-serif"/>
          <w:b/>
          <w:color w:val="005CCF"/>
          <w:sz w:val="20"/>
        </w:rPr>
      </w:pPr>
      <w:r>
        <w:rPr>
          <w:rFonts w:ascii="sans-serif" w:hAnsi="sans-serif"/>
          <w:b/>
          <w:color w:val="005CCF"/>
          <w:sz w:val="20"/>
        </w:rPr>
        <w:t>Media Contact</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 xml:space="preserve">Ramya Kumaraswamy </w:t>
      </w:r>
    </w:p>
    <w:p>
      <w:pPr>
        <w:pStyle w:val="TextBody"/>
        <w:bidi w:val="0"/>
        <w:spacing w:lineRule="auto" w:line="288" w:before="0" w:after="0"/>
        <w:jc w:val="left"/>
        <w:rPr>
          <w:rFonts w:ascii="sans-serif" w:hAnsi="sans-serif"/>
          <w:b w:val="false"/>
          <w:color w:val="000000"/>
          <w:sz w:val="20"/>
        </w:rPr>
      </w:pPr>
      <w:r>
        <w:rPr>
          <w:rFonts w:ascii="sans-serif" w:hAnsi="sans-serif"/>
          <w:b w:val="false"/>
          <w:color w:val="000000"/>
          <w:sz w:val="20"/>
        </w:rPr>
        <w:t>mediainquiries@taskus.com</w:t>
      </w:r>
    </w:p>
    <w:p>
      <w:pPr>
        <w:pStyle w:val="TextBody"/>
        <w:bidi w:val="0"/>
        <w:spacing w:before="0" w:after="0"/>
        <w:jc w:val="left"/>
      </w:pPr>
      <w:r/>
    </w:p>
    <w:p>
      <w:pPr>
        <w:pStyle w:val="TextBody"/>
        <w:bidi w:val="0"/>
        <w:spacing w:before="120" w:after="283"/>
        <w:jc w:val="left"/>
      </w:p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Statements of Income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per share data)</w:t>
      </w:r>
    </w:p>
    <w:tbl>
      <w:tblPr>
        <w:tblW w:w="10205" w:type="dxa"/>
        <w:jc w:val="left"/>
        <w:tblInd w:w="0" w:type="dxa"/>
        <w:tblLayout w:type="fixed"/>
        <w:tblCellMar>
          <w:top w:w="28" w:type="dxa"/>
          <w:left w:w="28" w:type="dxa"/>
          <w:bottom w:w="28" w:type="dxa"/>
          <w:right w:w="28" w:type="dxa"/>
        </w:tblCellMar>
      </w:tblPr>
      <w:tblGrid>
        <w:gridCol w:w="1429"/>
        <w:gridCol w:w="932"/>
        <w:gridCol w:w="848"/>
        <w:gridCol w:w="298"/>
        <w:gridCol w:w="1063"/>
        <w:gridCol w:w="122"/>
        <w:gridCol w:w="122"/>
        <w:gridCol w:w="122"/>
        <w:gridCol w:w="122"/>
        <w:gridCol w:w="298"/>
        <w:gridCol w:w="1063"/>
        <w:gridCol w:w="122"/>
        <w:gridCol w:w="109"/>
        <w:gridCol w:w="109"/>
        <w:gridCol w:w="109"/>
        <w:gridCol w:w="287"/>
        <w:gridCol w:w="1053"/>
        <w:gridCol w:w="120"/>
        <w:gridCol w:w="120"/>
        <w:gridCol w:w="120"/>
        <w:gridCol w:w="120"/>
        <w:gridCol w:w="287"/>
        <w:gridCol w:w="1053"/>
        <w:gridCol w:w="177"/>
      </w:tblGrid>
      <w:tr>
        <w:tc>
          <w:tcPr>
            <w:tcW w:w="1429" w:type="dxa"/>
            <w:tcBorders/>
            <w:vAlign w:val="center"/>
          </w:tcPr>
          <w:p>
            <w:pPr>
              <w:pStyle w:val="TableContents"/>
              <w:bidi w:val="0"/>
              <w:spacing w:before="0" w:after="283"/>
              <w:jc w:val="left"/>
              <w:rPr>
                <w:sz w:val="4"/>
                <w:szCs w:val="4"/>
              </w:rPr>
            </w:pPr>
            <w:r>
              <w:rPr>
                <w:sz w:val="4"/>
                <w:szCs w:val="4"/>
              </w:rPr>
            </w:r>
          </w:p>
        </w:tc>
        <w:tc>
          <w:tcPr>
            <w:tcW w:w="932" w:type="dxa"/>
            <w:tcBorders/>
            <w:vAlign w:val="center"/>
          </w:tcPr>
          <w:p>
            <w:pPr>
              <w:pStyle w:val="TableContents"/>
              <w:bidi w:val="0"/>
              <w:spacing w:before="0" w:after="283"/>
              <w:jc w:val="left"/>
              <w:rPr>
                <w:sz w:val="4"/>
                <w:szCs w:val="4"/>
              </w:rPr>
            </w:pPr>
            <w:r>
              <w:rPr>
                <w:sz w:val="4"/>
                <w:szCs w:val="4"/>
              </w:rPr>
            </w:r>
          </w:p>
        </w:tc>
        <w:tc>
          <w:tcPr>
            <w:tcW w:w="848"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98"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87" w:type="dxa"/>
            <w:tcBorders/>
            <w:vAlign w:val="center"/>
          </w:tcPr>
          <w:p>
            <w:pPr>
              <w:pStyle w:val="TableContents"/>
              <w:bidi w:val="0"/>
              <w:spacing w:before="0" w:after="283"/>
              <w:jc w:val="left"/>
              <w:rPr>
                <w:sz w:val="4"/>
                <w:szCs w:val="4"/>
              </w:rPr>
            </w:pPr>
            <w:r>
              <w:rPr>
                <w:sz w:val="4"/>
                <w:szCs w:val="4"/>
              </w:rPr>
            </w:r>
          </w:p>
        </w:tc>
        <w:tc>
          <w:tcPr>
            <w:tcW w:w="1053"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3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months ended September 30,</w:t>
            </w:r>
          </w:p>
        </w:tc>
      </w:tr>
      <w:tr>
        <w:tc>
          <w:tcPr>
            <w:tcW w:w="320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6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Service revenue</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314,747 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298,713 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929,868 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870,591 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expenses:</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Cost of services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205,883 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185,420 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605,378 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537,169 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Selling, general and administrative expense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54,850 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59,699 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167,775 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185,529 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12,318 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10,553 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34,941 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30,423 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 assets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15,011 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(gain) on disposal of assets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8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60" w:type="dxa"/>
            <w:gridSpan w:val="3"/>
            <w:tcBorders/>
            <w:vAlign w:val="center"/>
          </w:tcPr>
          <w:p>
            <w:pPr>
              <w:pStyle w:val="TableContents"/>
              <w:bidi w:val="0"/>
              <w:spacing w:before="0" w:after="283"/>
              <w:jc w:val="left"/>
              <w:rPr>
                <w:sz w:val="4"/>
                <w:szCs w:val="4"/>
              </w:rPr>
            </w:pPr>
            <w:r>
              <w:rPr>
                <w:sz w:val="4"/>
                <w:szCs w:val="4"/>
              </w:rPr>
            </w:r>
          </w:p>
        </w:tc>
        <w:tc>
          <w:tcPr>
            <w:tcW w:w="1517" w:type="dxa"/>
            <w:gridSpan w:val="3"/>
            <w:tcBorders/>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operating expenses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278,232 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260,772 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825,834 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768,050 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income</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36,515 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37,941 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104,034 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102,541 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income, net</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(4,824)</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(8,407)</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(17,183)</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(9,907)</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Financing expenses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4,627 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23,032 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13,925 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before income taxes</w:t>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32,410 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41,721 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98,185 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98,523 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6,195 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10,346 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25,669 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25,953 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26,215 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31,375 </w:t>
            </w:r>
          </w:p>
        </w:tc>
        <w:tc>
          <w:tcPr>
            <w:tcW w:w="12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72,516 </w:t>
            </w:r>
          </w:p>
        </w:tc>
        <w:tc>
          <w:tcPr>
            <w:tcW w:w="1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72,570 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 per common share:</w:t>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0.29 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0.35 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0.79 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0.81 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0.28 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0.34 </w:t>
            </w:r>
          </w:p>
        </w:tc>
        <w:tc>
          <w:tcPr>
            <w:tcW w:w="1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0.78 </w:t>
            </w:r>
          </w:p>
        </w:tc>
        <w:tc>
          <w:tcPr>
            <w:tcW w:w="1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5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Weighted-average number of common shares outstanding:</w:t>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Basic</w:t>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91,701,561 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90,128,176 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91,371,514 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89,887,246 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Diluted</w:t>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93,337,979 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6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93,057,417 </w:t>
            </w:r>
          </w:p>
        </w:tc>
        <w:tc>
          <w:tcPr>
            <w:tcW w:w="12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92,975,915 </w:t>
            </w:r>
          </w:p>
        </w:tc>
        <w:tc>
          <w:tcPr>
            <w:tcW w:w="1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93,096,587 </w:t>
            </w:r>
          </w:p>
        </w:tc>
        <w:tc>
          <w:tcPr>
            <w:tcW w:w="177"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Balance Sheets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w:t>
      </w:r>
    </w:p>
    <w:tbl>
      <w:tblPr>
        <w:tblW w:w="10205" w:type="dxa"/>
        <w:jc w:val="center"/>
        <w:tblInd w:w="0" w:type="dxa"/>
        <w:tblLayout w:type="fixed"/>
        <w:tblCellMar>
          <w:top w:w="28" w:type="dxa"/>
          <w:left w:w="28" w:type="dxa"/>
          <w:bottom w:w="28" w:type="dxa"/>
          <w:right w:w="28" w:type="dxa"/>
        </w:tblCellMar>
      </w:tblPr>
      <w:tblGrid>
        <w:gridCol w:w="2529"/>
        <w:gridCol w:w="2100"/>
        <w:gridCol w:w="2112"/>
        <w:gridCol w:w="244"/>
        <w:gridCol w:w="1223"/>
        <w:gridCol w:w="117"/>
        <w:gridCol w:w="109"/>
        <w:gridCol w:w="109"/>
        <w:gridCol w:w="109"/>
        <w:gridCol w:w="232"/>
        <w:gridCol w:w="1158"/>
        <w:gridCol w:w="163"/>
      </w:tblGrid>
      <w:tr>
        <w:tc>
          <w:tcPr>
            <w:tcW w:w="2529" w:type="dxa"/>
            <w:tcBorders/>
            <w:vAlign w:val="center"/>
          </w:tcPr>
          <w:p>
            <w:pPr>
              <w:pStyle w:val="TableContents"/>
              <w:bidi w:val="0"/>
              <w:spacing w:before="0" w:after="283"/>
              <w:jc w:val="left"/>
              <w:rPr>
                <w:sz w:val="4"/>
                <w:szCs w:val="4"/>
              </w:rPr>
            </w:pPr>
            <w:r>
              <w:rPr>
                <w:sz w:val="4"/>
                <w:szCs w:val="4"/>
              </w:rPr>
            </w:r>
          </w:p>
        </w:tc>
        <w:tc>
          <w:tcPr>
            <w:tcW w:w="2100" w:type="dxa"/>
            <w:tcBorders/>
            <w:vAlign w:val="center"/>
          </w:tcPr>
          <w:p>
            <w:pPr>
              <w:pStyle w:val="TableContents"/>
              <w:bidi w:val="0"/>
              <w:spacing w:before="0" w:after="283"/>
              <w:jc w:val="left"/>
              <w:rPr>
                <w:sz w:val="4"/>
                <w:szCs w:val="4"/>
              </w:rPr>
            </w:pPr>
            <w:r>
              <w:rPr>
                <w:sz w:val="4"/>
                <w:szCs w:val="4"/>
              </w:rPr>
            </w:r>
          </w:p>
        </w:tc>
        <w:tc>
          <w:tcPr>
            <w:tcW w:w="2112"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283"/>
              <w:jc w:val="left"/>
              <w:rPr>
                <w:sz w:val="4"/>
                <w:szCs w:val="4"/>
              </w:rPr>
            </w:pPr>
            <w:r>
              <w:rPr>
                <w:sz w:val="4"/>
                <w:szCs w:val="4"/>
              </w:rPr>
            </w:r>
          </w:p>
        </w:tc>
        <w:tc>
          <w:tcPr>
            <w:tcW w:w="1223"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158"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r>
      <w:tr>
        <w:tc>
          <w:tcPr>
            <w:tcW w:w="674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September 30,</w:t>
              <w:br/>
              <w:t>2026</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December 31,</w:t>
              <w:br/>
              <w:t>2025</w:t>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Assets</w:t>
            </w:r>
          </w:p>
        </w:tc>
        <w:tc>
          <w:tcPr>
            <w:tcW w:w="1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assets:</w:t>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189,690 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211,676 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 net of allowance for credit losses of $1,061 and $911, respectively</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266,410 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254,053 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receivable</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6,398 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47,574 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42,994 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assets</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510,072 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509,247 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assets:</w:t>
            </w:r>
          </w:p>
        </w:tc>
        <w:tc>
          <w:tcPr>
            <w:tcW w:w="1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Property and equipment, net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85,618 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95,426 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right-of-use assets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53,291 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53,167 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assets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12,429 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12,366 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Intangibles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138,248 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153,490 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Goodwill</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218,728 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219,533 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10,510 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7,536 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assets</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518,824 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541,518 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assets</w:t>
            </w:r>
          </w:p>
        </w:tc>
        <w:tc>
          <w:tcPr>
            <w:tcW w:w="24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2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1,028,896 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1,050,765 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Liabilities and Shareholders’ Equity</w:t>
            </w:r>
          </w:p>
        </w:tc>
        <w:tc>
          <w:tcPr>
            <w:tcW w:w="158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Liabilities:</w:t>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liabilities:</w:t>
            </w:r>
          </w:p>
        </w:tc>
        <w:tc>
          <w:tcPr>
            <w:tcW w:w="15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liabilities</w:t>
            </w:r>
          </w:p>
        </w:tc>
        <w:tc>
          <w:tcPr>
            <w:tcW w:w="24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2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40,035 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45,242 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74,918 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64,549 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debt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23,287 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21,559 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operating lease liabilities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20,607 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19,284 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Current portion of income tax payable</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3,570 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9,354 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8,259 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3,273 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current liabilities</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170,676 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163,261 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Noncurrent liabilities:</w:t>
            </w:r>
          </w:p>
        </w:tc>
        <w:tc>
          <w:tcPr>
            <w:tcW w:w="15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13,843 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9,752 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Long-term debt</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462,897 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219,798 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35,265 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37,086 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9,787 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6,575 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 liabilities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13,927 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14,304 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liabilities</w:t>
            </w:r>
          </w:p>
        </w:tc>
        <w:tc>
          <w:tcPr>
            <w:tcW w:w="14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197 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noncurrent liabilities</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535,916 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287,515 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706,592 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450,776 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shareholders’ equity</w:t>
            </w:r>
          </w:p>
        </w:tc>
        <w:tc>
          <w:tcPr>
            <w:tcW w:w="146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322,304 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599,989 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74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Total liabilities and shareholders’ equity</w:t>
            </w:r>
          </w:p>
        </w:tc>
        <w:tc>
          <w:tcPr>
            <w:tcW w:w="24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2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1,028,896 </w:t>
            </w:r>
          </w:p>
        </w:tc>
        <w:tc>
          <w:tcPr>
            <w:tcW w:w="11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5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1,050,765 </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Condensed Consolidated Statement of Cash Flows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w:t>
      </w:r>
    </w:p>
    <w:tbl>
      <w:tblPr>
        <w:tblW w:w="10205" w:type="dxa"/>
        <w:jc w:val="left"/>
        <w:tblInd w:w="0" w:type="dxa"/>
        <w:tblLayout w:type="fixed"/>
        <w:tblCellMar>
          <w:top w:w="28" w:type="dxa"/>
          <w:left w:w="28" w:type="dxa"/>
          <w:bottom w:w="28" w:type="dxa"/>
          <w:right w:w="28" w:type="dxa"/>
        </w:tblCellMar>
      </w:tblPr>
      <w:tblGrid>
        <w:gridCol w:w="2459"/>
        <w:gridCol w:w="2063"/>
        <w:gridCol w:w="2076"/>
        <w:gridCol w:w="277"/>
        <w:gridCol w:w="1163"/>
        <w:gridCol w:w="133"/>
        <w:gridCol w:w="133"/>
        <w:gridCol w:w="133"/>
        <w:gridCol w:w="133"/>
        <w:gridCol w:w="277"/>
        <w:gridCol w:w="1163"/>
        <w:gridCol w:w="195"/>
      </w:tblGrid>
      <w:tr>
        <w:tc>
          <w:tcPr>
            <w:tcW w:w="2459" w:type="dxa"/>
            <w:tcBorders/>
            <w:vAlign w:val="center"/>
          </w:tcPr>
          <w:p>
            <w:pPr>
              <w:pStyle w:val="TableContents"/>
              <w:bidi w:val="0"/>
              <w:spacing w:before="0" w:after="283"/>
              <w:jc w:val="left"/>
              <w:rPr>
                <w:sz w:val="4"/>
                <w:szCs w:val="4"/>
              </w:rPr>
            </w:pPr>
            <w:r>
              <w:rPr>
                <w:sz w:val="4"/>
                <w:szCs w:val="4"/>
              </w:rPr>
            </w:r>
          </w:p>
        </w:tc>
        <w:tc>
          <w:tcPr>
            <w:tcW w:w="2063" w:type="dxa"/>
            <w:tcBorders/>
            <w:vAlign w:val="center"/>
          </w:tcPr>
          <w:p>
            <w:pPr>
              <w:pStyle w:val="TableContents"/>
              <w:bidi w:val="0"/>
              <w:spacing w:before="0" w:after="283"/>
              <w:jc w:val="left"/>
              <w:rPr>
                <w:sz w:val="4"/>
                <w:szCs w:val="4"/>
              </w:rPr>
            </w:pPr>
            <w:r>
              <w:rPr>
                <w:sz w:val="4"/>
                <w:szCs w:val="4"/>
              </w:rPr>
            </w:r>
          </w:p>
        </w:tc>
        <w:tc>
          <w:tcPr>
            <w:tcW w:w="207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133"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1163" w:type="dxa"/>
            <w:tcBorders/>
            <w:vAlign w:val="center"/>
          </w:tcPr>
          <w:p>
            <w:pPr>
              <w:pStyle w:val="TableContents"/>
              <w:bidi w:val="0"/>
              <w:spacing w:before="0" w:after="283"/>
              <w:jc w:val="left"/>
              <w:rPr>
                <w:sz w:val="4"/>
                <w:szCs w:val="4"/>
              </w:rPr>
            </w:pPr>
            <w:r>
              <w:rPr>
                <w:sz w:val="4"/>
                <w:szCs w:val="4"/>
              </w:rPr>
            </w:r>
          </w:p>
        </w:tc>
        <w:tc>
          <w:tcPr>
            <w:tcW w:w="195" w:type="dxa"/>
            <w:tcBorders/>
            <w:vAlign w:val="center"/>
          </w:tcPr>
          <w:p>
            <w:pPr>
              <w:pStyle w:val="TableContents"/>
              <w:bidi w:val="0"/>
              <w:spacing w:before="0" w:after="283"/>
              <w:jc w:val="left"/>
              <w:rPr>
                <w:sz w:val="4"/>
                <w:szCs w:val="4"/>
              </w:rPr>
            </w:pPr>
            <w:r>
              <w:rPr>
                <w:sz w:val="4"/>
                <w:szCs w:val="4"/>
              </w:rPr>
            </w:r>
          </w:p>
        </w:tc>
      </w:tr>
      <w:tr>
        <w:tc>
          <w:tcPr>
            <w:tcW w:w="6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07"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months ended September 30,</w:t>
            </w:r>
          </w:p>
        </w:tc>
      </w:tr>
      <w:tr>
        <w:tc>
          <w:tcPr>
            <w:tcW w:w="659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9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operating activities:</w:t>
            </w:r>
          </w:p>
        </w:tc>
        <w:tc>
          <w:tcPr>
            <w:tcW w:w="1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72,516 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72,570 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Adjustments to reconcile net income to net cash provided by operating activities:</w:t>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Depreciation</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34,996 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30,652 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intangibles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Amortization of debt financing fees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1,567 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(gain) on disposal of assets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2,729 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Provision for credit losses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446 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taxes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(402)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(3,231)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Stock-based compensation expense</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14,538 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23,428 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Changes in operating assets and liabilities:</w:t>
            </w:r>
          </w:p>
        </w:tc>
        <w:tc>
          <w:tcPr>
            <w:tcW w:w="157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receivable</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(12,917)</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(38,781)</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Prepaid expenses and other current assets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(3,876)</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6,035 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right-of-use assets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17,201 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15,306 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assets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(1,760)</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(2,798)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Accounts payable and accrued liabilities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(5,698)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(10,633)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Accrued payroll and employee-related liabilities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5,885 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15,717 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Operating lease liabilities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(17,782)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(13,759)</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Income tax payable</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(7,559)</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(2,455)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Deferred revenue</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4,991 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Other noncurrent liabilities</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205 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(81)</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120,091 </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107,549 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investing activities:</w:t>
            </w:r>
          </w:p>
        </w:tc>
        <w:tc>
          <w:tcPr>
            <w:tcW w:w="1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property and equipment</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(29,362)</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(43,753)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c>
          <w:tcPr>
            <w:tcW w:w="6598"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investing activities</w:t>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(29,362)</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(43,753)</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flows from financing activities:</w:t>
            </w:r>
          </w:p>
        </w:tc>
        <w:tc>
          <w:tcPr>
            <w:tcW w:w="157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long-term debt</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500,000 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deferred business acquisition consideration</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on long-term debt</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(248,238)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(10,125)</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debt financing fees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(9,914)</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Proceeds from employee stock plans</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120 </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8,462 </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vAlign w:val="center"/>
          </w:tcPr>
          <w:p>
            <w:pPr>
              <w:pStyle w:val="TableContents"/>
              <w:bidi w:val="0"/>
              <w:spacing w:before="0" w:after="283"/>
              <w:jc w:val="left"/>
              <w:rPr>
                <w:sz w:val="4"/>
                <w:szCs w:val="4"/>
              </w:rPr>
            </w:pPr>
            <w:r>
              <w:rPr>
                <w:sz w:val="4"/>
                <w:szCs w:val="4"/>
              </w:rPr>
            </w:r>
          </w:p>
        </w:tc>
        <w:tc>
          <w:tcPr>
            <w:tcW w:w="1573" w:type="dxa"/>
            <w:gridSpan w:val="3"/>
            <w:tcBorders/>
            <w:vAlign w:val="center"/>
          </w:tcPr>
          <w:p>
            <w:pPr>
              <w:pStyle w:val="TableContents"/>
              <w:bidi w:val="0"/>
              <w:spacing w:before="0" w:after="283"/>
              <w:jc w:val="left"/>
              <w:rPr>
                <w:sz w:val="4"/>
                <w:szCs w:val="4"/>
              </w:rPr>
            </w:pPr>
            <w:r>
              <w:rPr>
                <w:sz w:val="4"/>
                <w:szCs w:val="4"/>
              </w:rPr>
            </w:r>
          </w:p>
        </w:tc>
        <w:tc>
          <w:tcPr>
            <w:tcW w:w="399" w:type="dxa"/>
            <w:gridSpan w:val="3"/>
            <w:tcBorders/>
            <w:vAlign w:val="center"/>
          </w:tcPr>
          <w:p>
            <w:pPr>
              <w:pStyle w:val="TableContents"/>
              <w:bidi w:val="0"/>
              <w:spacing w:before="0" w:after="283"/>
              <w:jc w:val="left"/>
              <w:rPr>
                <w:sz w:val="4"/>
                <w:szCs w:val="4"/>
              </w:rPr>
            </w:pPr>
            <w:r>
              <w:rPr>
                <w:sz w:val="4"/>
                <w:szCs w:val="4"/>
              </w:rPr>
            </w:r>
          </w:p>
        </w:tc>
        <w:tc>
          <w:tcPr>
            <w:tcW w:w="1635" w:type="dxa"/>
            <w:gridSpan w:val="3"/>
            <w:tcBorders/>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taxes related to net share settlement</w:t>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(5,374)</w:t>
            </w:r>
          </w:p>
        </w:tc>
        <w:tc>
          <w:tcPr>
            <w:tcW w:w="13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(9,907)</w:t>
            </w:r>
          </w:p>
        </w:tc>
        <w:tc>
          <w:tcPr>
            <w:tcW w:w="195"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Payments for stock repurchases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(27,783)</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Distribution of dividends</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(332,788)</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used in financing activities</w:t>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(96,194)</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(39,503)</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Increase (decrease) in cash and cash equivalents</w:t>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(5,465)</w:t>
            </w:r>
          </w:p>
        </w:tc>
        <w:tc>
          <w:tcPr>
            <w:tcW w:w="13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24,293 </w:t>
            </w:r>
          </w:p>
        </w:tc>
        <w:tc>
          <w:tcPr>
            <w:tcW w:w="19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Effect of exchange rate changes on cash</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(16,521)</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(6,478)</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at beginning of period</w:t>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211,676 </w:t>
            </w:r>
          </w:p>
        </w:tc>
        <w:tc>
          <w:tcPr>
            <w:tcW w:w="1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192,166 </w:t>
            </w:r>
          </w:p>
        </w:tc>
        <w:tc>
          <w:tcPr>
            <w:tcW w:w="19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659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Cash and cash equivalents at end of period</w:t>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189,690 </w:t>
            </w:r>
          </w:p>
        </w:tc>
        <w:tc>
          <w:tcPr>
            <w:tcW w:w="13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9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163"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209,981 </w:t>
            </w:r>
          </w:p>
        </w:tc>
        <w:tc>
          <w:tcPr>
            <w:tcW w:w="195"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EBITDA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margin amounts)</w:t>
      </w:r>
    </w:p>
    <w:tbl>
      <w:tblPr>
        <w:tblW w:w="10205" w:type="dxa"/>
        <w:jc w:val="left"/>
        <w:tblInd w:w="0" w:type="dxa"/>
        <w:tblLayout w:type="fixed"/>
        <w:tblCellMar>
          <w:top w:w="28" w:type="dxa"/>
          <w:left w:w="28" w:type="dxa"/>
          <w:bottom w:w="28" w:type="dxa"/>
          <w:right w:w="28" w:type="dxa"/>
        </w:tblCellMar>
      </w:tblPr>
      <w:tblGrid>
        <w:gridCol w:w="1148"/>
        <w:gridCol w:w="819"/>
        <w:gridCol w:w="827"/>
        <w:gridCol w:w="267"/>
        <w:gridCol w:w="977"/>
        <w:gridCol w:w="320"/>
        <w:gridCol w:w="128"/>
        <w:gridCol w:w="128"/>
        <w:gridCol w:w="128"/>
        <w:gridCol w:w="267"/>
        <w:gridCol w:w="977"/>
        <w:gridCol w:w="320"/>
        <w:gridCol w:w="109"/>
        <w:gridCol w:w="109"/>
        <w:gridCol w:w="109"/>
        <w:gridCol w:w="247"/>
        <w:gridCol w:w="1036"/>
        <w:gridCol w:w="296"/>
        <w:gridCol w:w="118"/>
        <w:gridCol w:w="118"/>
        <w:gridCol w:w="118"/>
        <w:gridCol w:w="247"/>
        <w:gridCol w:w="1036"/>
        <w:gridCol w:w="356"/>
      </w:tblGrid>
      <w:tr>
        <w:tc>
          <w:tcPr>
            <w:tcW w:w="1148" w:type="dxa"/>
            <w:tcBorders/>
            <w:vAlign w:val="center"/>
          </w:tcPr>
          <w:p>
            <w:pPr>
              <w:pStyle w:val="TableContents"/>
              <w:bidi w:val="0"/>
              <w:spacing w:before="0" w:after="283"/>
              <w:jc w:val="left"/>
              <w:rPr>
                <w:sz w:val="4"/>
                <w:szCs w:val="4"/>
              </w:rPr>
            </w:pPr>
            <w:r>
              <w:rPr>
                <w:sz w:val="4"/>
                <w:szCs w:val="4"/>
              </w:rPr>
            </w:r>
          </w:p>
        </w:tc>
        <w:tc>
          <w:tcPr>
            <w:tcW w:w="819"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296"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1036" w:type="dxa"/>
            <w:tcBorders/>
            <w:vAlign w:val="center"/>
          </w:tcPr>
          <w:p>
            <w:pPr>
              <w:pStyle w:val="TableContents"/>
              <w:bidi w:val="0"/>
              <w:spacing w:before="0" w:after="283"/>
              <w:jc w:val="left"/>
              <w:rPr>
                <w:sz w:val="4"/>
                <w:szCs w:val="4"/>
              </w:rPr>
            </w:pPr>
            <w:r>
              <w:rPr>
                <w:sz w:val="4"/>
                <w:szCs w:val="4"/>
              </w:rPr>
            </w:r>
          </w:p>
        </w:tc>
        <w:tc>
          <w:tcPr>
            <w:tcW w:w="356" w:type="dxa"/>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2"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months ended September 30,</w:t>
            </w:r>
          </w:p>
        </w:tc>
      </w:tr>
      <w:tr>
        <w:tc>
          <w:tcPr>
            <w:tcW w:w="279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Net income</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26,215 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31,375 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72,516 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72,570 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Provision for income taxes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6,195 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10,346 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25,669 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25,953 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Financing expenses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8,929 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4,627 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23,032 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13,925 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Depreciation</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12,318 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10,553 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34,941 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30,423 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Amortization of intangible assets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15,011 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EBITDA</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58,658 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61,906 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171,169 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157,849 </w:t>
            </w:r>
          </w:p>
        </w:tc>
        <w:tc>
          <w:tcPr>
            <w:tcW w:w="35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18"/>
              </w:rPr>
              <w:t>Transaction costs</w:t>
            </w:r>
            <w:r>
              <w:rPr>
                <w:rFonts w:ascii="sans-serif" w:hAnsi="sans-serif"/>
                <w:b w:val="false"/>
                <w:color w:val="000000"/>
                <w:sz w:val="12"/>
              </w:rPr>
              <w:t>(1)</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1,829 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1,146 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11,993 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18"/>
              </w:rPr>
              <w:t>Operational efficiency costs</w:t>
            </w:r>
            <w:r>
              <w:rPr>
                <w:rFonts w:ascii="sans-serif" w:hAnsi="sans-serif"/>
                <w:b w:val="false"/>
                <w:color w:val="000000"/>
                <w:sz w:val="12"/>
              </w:rPr>
              <w:t>(2)</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881 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2,108 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18"/>
              </w:rPr>
              <w:t>Foreign currency gains</w:t>
            </w:r>
            <w:r>
              <w:rPr>
                <w:rFonts w:ascii="sans-serif" w:hAnsi="sans-serif"/>
                <w:b w:val="false"/>
                <w:color w:val="000000"/>
                <w:sz w:val="12"/>
              </w:rPr>
              <w:t>(3)</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(6,678)</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(13,010)</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(5,229)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Loss (gain) on disposal of assets</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2,729 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18"/>
              </w:rPr>
              <w:t>Severance costs</w:t>
            </w:r>
            <w:r>
              <w:rPr>
                <w:rFonts w:ascii="sans-serif" w:hAnsi="sans-serif"/>
                <w:b w:val="false"/>
                <w:color w:val="000000"/>
                <w:sz w:val="12"/>
              </w:rPr>
              <w:t>(4)</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670 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362 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1,685 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1,197 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4"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579" w:type="dxa"/>
            <w:gridSpan w:val="3"/>
            <w:tcBorders/>
            <w:vAlign w:val="center"/>
          </w:tcPr>
          <w:p>
            <w:pPr>
              <w:pStyle w:val="TableContents"/>
              <w:bidi w:val="0"/>
              <w:spacing w:before="0" w:after="283"/>
              <w:jc w:val="left"/>
              <w:rPr>
                <w:sz w:val="4"/>
                <w:szCs w:val="4"/>
              </w:rPr>
            </w:pPr>
            <w:r>
              <w:rPr>
                <w:sz w:val="4"/>
                <w:szCs w:val="4"/>
              </w:rPr>
            </w:r>
          </w:p>
        </w:tc>
        <w:tc>
          <w:tcPr>
            <w:tcW w:w="354" w:type="dxa"/>
            <w:gridSpan w:val="3"/>
            <w:tcBorders/>
            <w:vAlign w:val="center"/>
          </w:tcPr>
          <w:p>
            <w:pPr>
              <w:pStyle w:val="TableContents"/>
              <w:bidi w:val="0"/>
              <w:spacing w:before="0" w:after="283"/>
              <w:jc w:val="left"/>
              <w:rPr>
                <w:sz w:val="4"/>
                <w:szCs w:val="4"/>
              </w:rPr>
            </w:pPr>
            <w:r>
              <w:rPr>
                <w:sz w:val="4"/>
                <w:szCs w:val="4"/>
              </w:rPr>
            </w:r>
          </w:p>
        </w:tc>
        <w:tc>
          <w:tcPr>
            <w:tcW w:w="1639" w:type="dxa"/>
            <w:gridSpan w:val="3"/>
            <w:tcBorders/>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18"/>
              </w:rPr>
              <w:t>Stock-based compensation expense</w:t>
            </w:r>
            <w:r>
              <w:rPr>
                <w:rFonts w:ascii="sans-serif" w:hAnsi="sans-serif"/>
                <w:b w:val="false"/>
                <w:color w:val="000000"/>
                <w:sz w:val="12"/>
              </w:rPr>
              <w:t>(5)</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4,207 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6,513 </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14,917 </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24,159 </w:t>
            </w:r>
          </w:p>
        </w:tc>
        <w:tc>
          <w:tcPr>
            <w:tcW w:w="35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18"/>
              </w:rPr>
              <w:t>Interest income</w:t>
            </w:r>
            <w:r>
              <w:rPr>
                <w:rFonts w:ascii="sans-serif" w:hAnsi="sans-serif"/>
                <w:b w:val="false"/>
                <w:color w:val="000000"/>
                <w:sz w:val="12"/>
              </w:rPr>
              <w:t>(6)</w:t>
            </w:r>
          </w:p>
        </w:tc>
        <w:tc>
          <w:tcPr>
            <w:tcW w:w="124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(1,053)</w:t>
            </w:r>
          </w:p>
        </w:tc>
        <w:tc>
          <w:tcPr>
            <w:tcW w:w="32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(1,456)</w:t>
            </w:r>
          </w:p>
        </w:tc>
        <w:tc>
          <w:tcPr>
            <w:tcW w:w="320"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(3,298)</w:t>
            </w:r>
          </w:p>
        </w:tc>
        <w:tc>
          <w:tcPr>
            <w:tcW w:w="2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(4,352)</w:t>
            </w:r>
          </w:p>
        </w:tc>
        <w:tc>
          <w:tcPr>
            <w:tcW w:w="35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left"/>
              <w:rPr>
                <w:rFonts w:ascii="sans-serif" w:hAnsi="sans-serif"/>
                <w:b w:val="false"/>
                <w:color w:val="000000"/>
                <w:sz w:val="18"/>
              </w:rPr>
            </w:pPr>
            <w:r>
              <w:rPr>
                <w:rFonts w:ascii="sans-serif" w:hAnsi="sans-serif"/>
                <w:b w:val="false"/>
                <w:color w:val="000000"/>
                <w:sz w:val="18"/>
              </w:rPr>
              <w:t>Adjusted EBITDA</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59,109 </w:t>
            </w:r>
          </w:p>
        </w:tc>
        <w:tc>
          <w:tcPr>
            <w:tcW w:w="32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7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63,452 </w:t>
            </w:r>
          </w:p>
        </w:tc>
        <w:tc>
          <w:tcPr>
            <w:tcW w:w="320"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175,338 </w:t>
            </w:r>
          </w:p>
        </w:tc>
        <w:tc>
          <w:tcPr>
            <w:tcW w:w="29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36"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187,676 </w:t>
            </w:r>
          </w:p>
        </w:tc>
        <w:tc>
          <w:tcPr>
            <w:tcW w:w="35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18"/>
              </w:rPr>
              <w:t>Net Income Margin</w:t>
            </w:r>
            <w:r>
              <w:rPr>
                <w:rFonts w:ascii="sans-serif" w:hAnsi="sans-serif"/>
                <w:b w:val="false"/>
                <w:color w:val="000000"/>
                <w:sz w:val="12"/>
              </w:rPr>
              <w:t>(7)</w:t>
            </w:r>
          </w:p>
        </w:tc>
        <w:tc>
          <w:tcPr>
            <w:tcW w:w="12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320"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29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356"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c>
          <w:tcPr>
            <w:tcW w:w="2794" w:type="dxa"/>
            <w:gridSpan w:val="3"/>
            <w:tcBorders/>
            <w:shd w:fill="FFFFFF" w:val="clear"/>
            <w:tcMar>
              <w:top w:w="0" w:type="dxa"/>
              <w:left w:w="0" w:type="dxa"/>
              <w:bottom w:w="0" w:type="dxa"/>
              <w:right w:w="0" w:type="dxa"/>
            </w:tcMar>
            <w:vAlign w:val="center"/>
          </w:tcPr>
          <w:p>
            <w:pPr>
              <w:pStyle w:val="TableContents"/>
              <w:bidi w:val="0"/>
              <w:spacing w:lineRule="auto" w:line="268" w:before="0" w:after="0"/>
              <w:jc w:val="left"/>
            </w:pPr>
            <w:r>
              <w:rPr>
                <w:rFonts w:ascii="sans-serif" w:hAnsi="sans-serif"/>
                <w:b w:val="false"/>
                <w:color w:val="000000"/>
                <w:sz w:val="18"/>
              </w:rPr>
              <w:t>Adjusted EBITDA Margin</w:t>
            </w:r>
            <w:r>
              <w:rPr>
                <w:rFonts w:ascii="sans-serif" w:hAnsi="sans-serif"/>
                <w:b w:val="false"/>
                <w:color w:val="000000"/>
                <w:sz w:val="12"/>
              </w:rPr>
              <w:t>(7)</w:t>
            </w:r>
          </w:p>
        </w:tc>
        <w:tc>
          <w:tcPr>
            <w:tcW w:w="124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18.8 </w:t>
            </w:r>
          </w:p>
        </w:tc>
        <w:tc>
          <w:tcPr>
            <w:tcW w:w="320"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4"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21.2 </w:t>
            </w:r>
          </w:p>
        </w:tc>
        <w:tc>
          <w:tcPr>
            <w:tcW w:w="320"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18.9 </w:t>
            </w:r>
          </w:p>
        </w:tc>
        <w:tc>
          <w:tcPr>
            <w:tcW w:w="296"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5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83"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21.6 </w:t>
            </w:r>
          </w:p>
        </w:tc>
        <w:tc>
          <w:tcPr>
            <w:tcW w:w="35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Represents non-recurring professional fees related to the Refinancing and Special Dividend in 2026 and take-private transaction in 2025.</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(3) Represents realized and unrealized foreign currency effect of remeasurement of U.S. dollar-denominated accounts to foreign currency.</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(5) Represents stock-based compensation expense, as well as associated payroll tax.</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(6) Represents interest earned on short-term savings, time-deposits and money market funds.</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(7) Net Income Margin represents net income divided by service revenue and Adjusted EBITDA Margin represents Adjusted EBITDA divided by 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Net Income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margin amounts)</w:t>
      </w:r>
    </w:p>
    <w:tbl>
      <w:tblPr>
        <w:tblW w:w="10205" w:type="dxa"/>
        <w:jc w:val="left"/>
        <w:tblInd w:w="0" w:type="dxa"/>
        <w:tblLayout w:type="fixed"/>
        <w:tblCellMar>
          <w:top w:w="28" w:type="dxa"/>
          <w:left w:w="28" w:type="dxa"/>
          <w:bottom w:w="28" w:type="dxa"/>
          <w:right w:w="28" w:type="dxa"/>
        </w:tblCellMar>
      </w:tblPr>
      <w:tblGrid>
        <w:gridCol w:w="1048"/>
        <w:gridCol w:w="879"/>
        <w:gridCol w:w="891"/>
        <w:gridCol w:w="267"/>
        <w:gridCol w:w="980"/>
        <w:gridCol w:w="321"/>
        <w:gridCol w:w="128"/>
        <w:gridCol w:w="128"/>
        <w:gridCol w:w="128"/>
        <w:gridCol w:w="267"/>
        <w:gridCol w:w="980"/>
        <w:gridCol w:w="321"/>
        <w:gridCol w:w="109"/>
        <w:gridCol w:w="109"/>
        <w:gridCol w:w="109"/>
        <w:gridCol w:w="254"/>
        <w:gridCol w:w="930"/>
        <w:gridCol w:w="304"/>
        <w:gridCol w:w="122"/>
        <w:gridCol w:w="122"/>
        <w:gridCol w:w="122"/>
        <w:gridCol w:w="254"/>
        <w:gridCol w:w="1065"/>
        <w:gridCol w:w="367"/>
      </w:tblGrid>
      <w:tr>
        <w:tc>
          <w:tcPr>
            <w:tcW w:w="1048"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91"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67"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3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304"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065" w:type="dxa"/>
            <w:tcBorders/>
            <w:vAlign w:val="center"/>
          </w:tcPr>
          <w:p>
            <w:pPr>
              <w:pStyle w:val="TableContents"/>
              <w:bidi w:val="0"/>
              <w:spacing w:before="0" w:after="283"/>
              <w:jc w:val="left"/>
              <w:rPr>
                <w:sz w:val="4"/>
                <w:szCs w:val="4"/>
              </w:rPr>
            </w:pPr>
            <w:r>
              <w:rPr>
                <w:sz w:val="4"/>
                <w:szCs w:val="4"/>
              </w:rPr>
            </w:r>
          </w:p>
        </w:tc>
        <w:tc>
          <w:tcPr>
            <w:tcW w:w="367" w:type="dxa"/>
            <w:tcBorders/>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2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0"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months ended September 30,</w:t>
            </w:r>
          </w:p>
        </w:tc>
      </w:tr>
      <w:tr>
        <w:tc>
          <w:tcPr>
            <w:tcW w:w="281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8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8"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6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86"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income</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26,215 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31,375 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72,516 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72,570 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Amortization of intangible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5,005 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15,011 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14,978 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Transaction costs</w:t>
            </w:r>
            <w:r>
              <w:rPr>
                <w:rFonts w:ascii="sans-serif" w:hAnsi="sans-serif"/>
                <w:b w:val="false"/>
                <w:color w:val="000000"/>
                <w:sz w:val="12"/>
              </w:rPr>
              <w:t>(1)</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1,829 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1,146 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11,993 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Operational efficiency costs</w:t>
            </w:r>
            <w:r>
              <w:rPr>
                <w:rFonts w:ascii="sans-serif" w:hAnsi="sans-serif"/>
                <w:b w:val="false"/>
                <w:color w:val="000000"/>
                <w:sz w:val="12"/>
              </w:rPr>
              <w:t>(2)</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881 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2,108 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Foreign currency gains</w:t>
            </w:r>
            <w:r>
              <w:rPr>
                <w:rFonts w:ascii="sans-serif" w:hAnsi="sans-serif"/>
                <w:b w:val="false"/>
                <w:color w:val="000000"/>
                <w:sz w:val="12"/>
              </w:rPr>
              <w:t>(3)</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(3,553)</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(6,678)</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(13,010)</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(5,229)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Loss (gain) on disposal of assets</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180 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95 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2,729 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(49)</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Severance costs</w:t>
            </w:r>
            <w:r>
              <w:rPr>
                <w:rFonts w:ascii="sans-serif" w:hAnsi="sans-serif"/>
                <w:b w:val="false"/>
                <w:color w:val="000000"/>
                <w:sz w:val="12"/>
              </w:rPr>
              <w:t>(4)</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670 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362 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1,685 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1,197 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84" w:type="dxa"/>
            <w:gridSpan w:val="3"/>
            <w:tcBorders/>
            <w:vAlign w:val="center"/>
          </w:tcPr>
          <w:p>
            <w:pPr>
              <w:pStyle w:val="TableContents"/>
              <w:bidi w:val="0"/>
              <w:spacing w:before="0" w:after="283"/>
              <w:jc w:val="left"/>
              <w:rPr>
                <w:sz w:val="4"/>
                <w:szCs w:val="4"/>
              </w:rPr>
            </w:pPr>
            <w:r>
              <w:rPr>
                <w:sz w:val="4"/>
                <w:szCs w:val="4"/>
              </w:rPr>
            </w:r>
          </w:p>
        </w:tc>
        <w:tc>
          <w:tcPr>
            <w:tcW w:w="156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88"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686" w:type="dxa"/>
            <w:gridSpan w:val="3"/>
            <w:tcBorders/>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Stock-based compensation expense</w:t>
            </w:r>
            <w:r>
              <w:rPr>
                <w:rFonts w:ascii="sans-serif" w:hAnsi="sans-serif"/>
                <w:b w:val="false"/>
                <w:color w:val="000000"/>
                <w:sz w:val="12"/>
              </w:rPr>
              <w:t>(5)</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4,207 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6,513 </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14,917 </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24,159 </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Tax impacts of adjustments</w:t>
            </w:r>
            <w:r>
              <w:rPr>
                <w:rFonts w:ascii="sans-serif" w:hAnsi="sans-serif"/>
                <w:b w:val="false"/>
                <w:color w:val="000000"/>
                <w:sz w:val="12"/>
              </w:rPr>
              <w:t>(6)</w:t>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(1,445)</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(392)</w:t>
            </w:r>
          </w:p>
        </w:tc>
        <w:tc>
          <w:tcPr>
            <w:tcW w:w="3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(334)</w:t>
            </w:r>
          </w:p>
        </w:tc>
        <w:tc>
          <w:tcPr>
            <w:tcW w:w="3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(7,102)</w:t>
            </w:r>
          </w:p>
        </w:tc>
        <w:tc>
          <w:tcPr>
            <w:tcW w:w="36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18"/>
              </w:rPr>
            </w:pPr>
            <w:r>
              <w:rPr>
                <w:rFonts w:ascii="sans-serif" w:hAnsi="sans-serif"/>
                <w:b w:val="false"/>
                <w:color w:val="000000"/>
                <w:sz w:val="18"/>
              </w:rPr>
              <w:t>Adjusted Net Income</w:t>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31,275 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38,990 </w:t>
            </w:r>
          </w:p>
        </w:tc>
        <w:tc>
          <w:tcPr>
            <w:tcW w:w="3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94,660 </w:t>
            </w:r>
          </w:p>
        </w:tc>
        <w:tc>
          <w:tcPr>
            <w:tcW w:w="30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6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114,625 </w:t>
            </w:r>
          </w:p>
        </w:tc>
        <w:tc>
          <w:tcPr>
            <w:tcW w:w="36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Net Income Margin</w:t>
            </w:r>
            <w:r>
              <w:rPr>
                <w:rFonts w:ascii="sans-serif" w:hAnsi="sans-serif"/>
                <w:b w:val="false"/>
                <w:color w:val="000000"/>
                <w:sz w:val="12"/>
              </w:rPr>
              <w:t>(7)</w:t>
            </w:r>
          </w:p>
        </w:tc>
        <w:tc>
          <w:tcPr>
            <w:tcW w:w="12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10.5 </w:t>
            </w:r>
          </w:p>
        </w:tc>
        <w:tc>
          <w:tcPr>
            <w:tcW w:w="32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7.8 </w:t>
            </w:r>
          </w:p>
        </w:tc>
        <w:tc>
          <w:tcPr>
            <w:tcW w:w="30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8.3 </w:t>
            </w:r>
          </w:p>
        </w:tc>
        <w:tc>
          <w:tcPr>
            <w:tcW w:w="367"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c>
          <w:tcPr>
            <w:tcW w:w="281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Adjusted Net Income Margin</w:t>
            </w:r>
            <w:r>
              <w:rPr>
                <w:rFonts w:ascii="sans-serif" w:hAnsi="sans-serif"/>
                <w:b w:val="false"/>
                <w:color w:val="000000"/>
                <w:sz w:val="12"/>
              </w:rPr>
              <w:t>(7)</w:t>
            </w:r>
          </w:p>
        </w:tc>
        <w:tc>
          <w:tcPr>
            <w:tcW w:w="12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9.9 </w:t>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13.1 </w:t>
            </w:r>
          </w:p>
        </w:tc>
        <w:tc>
          <w:tcPr>
            <w:tcW w:w="321"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4"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10.2 </w:t>
            </w:r>
          </w:p>
        </w:tc>
        <w:tc>
          <w:tcPr>
            <w:tcW w:w="304"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9" w:type="dxa"/>
            <w:gridSpan w:val="2"/>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13.2 </w:t>
            </w:r>
          </w:p>
        </w:tc>
        <w:tc>
          <w:tcPr>
            <w:tcW w:w="367" w:type="dxa"/>
            <w:tcBorders>
              <w:top w:val="single" w:sz="8" w:space="0" w:color="000000"/>
              <w:bottom w:val="sing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Represents non-recurring professional fees related to the Refinancing and Special Dividend in 2026 and take-private transaction in 2025.</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(2) Represents professional service fees related to certain efforts to enhance efficiency of client delivery and operations support.</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(3) Represents realized and unrealized foreign currency effect of remeasurement of U.S. dollar-denominated accounts to foreign currency.</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(4) Represents severance payments as a result of certain cost optimization measures we undertook during the period to restructure support roles.</w:t>
      </w:r>
    </w:p>
    <w:p>
      <w:pPr>
        <w:pStyle w:val="TextBody"/>
        <w:bidi w:val="0"/>
        <w:spacing w:lineRule="auto" w:line="288" w:before="60" w:after="283"/>
        <w:jc w:val="both"/>
        <w:rPr>
          <w:rFonts w:ascii="sans-serif" w:hAnsi="sans-serif"/>
          <w:b w:val="false"/>
          <w:color w:val="000000"/>
          <w:sz w:val="16"/>
        </w:rPr>
      </w:pPr>
      <w:r>
        <w:rPr>
          <w:rFonts w:ascii="sans-serif" w:hAnsi="sans-serif"/>
          <w:b w:val="false"/>
          <w:color w:val="000000"/>
          <w:sz w:val="16"/>
        </w:rPr>
        <w:t>(5) Represents stock-based compensation expense, as well as associated payroll tax.</w:t>
      </w:r>
    </w:p>
    <w:p>
      <w:pPr>
        <w:pStyle w:val="TextBody"/>
        <w:bidi w:val="0"/>
        <w:spacing w:lineRule="auto" w:line="288" w:before="60" w:after="283"/>
        <w:ind w:left="0" w:right="0" w:hanging="270"/>
        <w:jc w:val="both"/>
      </w:pPr>
      <w:r>
        <w:rPr>
          <w:rFonts w:ascii="sans-serif" w:hAnsi="sans-serif"/>
          <w:b w:val="false"/>
          <w:color w:val="000000"/>
          <w:sz w:val="16"/>
        </w:rPr>
        <w:t>(6) Represents tax impacts of adjustments to net income which resulted in a tax benefit during the period, including stock-based compensation expense, transaction costs, operational efficiency costs and severance. After these adjustments, we applied a non-GAAP effective tax rate of 20.5% and 20.9% for the three months ended September 30, 2026 and 2025, respectively, an</w:t>
      </w:r>
      <w:r>
        <w:rPr>
          <w:rFonts w:ascii="sans-serif" w:hAnsi="sans-serif"/>
          <w:b w:val="false"/>
          <w:color w:val="000000"/>
          <w:sz w:val="18"/>
        </w:rPr>
        <w:t xml:space="preserve">d </w:t>
      </w:r>
      <w:r>
        <w:rPr>
          <w:rFonts w:ascii="sans-serif" w:hAnsi="sans-serif"/>
          <w:b w:val="false"/>
          <w:color w:val="000000"/>
          <w:sz w:val="16"/>
        </w:rPr>
        <w:t>22.4% and 24.0% for the nine months ended</w:t>
      </w:r>
      <w:r>
        <w:rPr>
          <w:color w:val="000000"/>
        </w:rPr>
        <w:t xml:space="preserve"> </w:t>
      </w:r>
      <w:r>
        <w:rPr>
          <w:rFonts w:ascii="sans-serif" w:hAnsi="sans-serif"/>
          <w:b w:val="false"/>
          <w:color w:val="000000"/>
          <w:sz w:val="16"/>
        </w:rPr>
        <w:t>September 30, 2026 and 2025</w:t>
      </w:r>
      <w:r>
        <w:rPr>
          <w:rFonts w:ascii="sans-serif" w:hAnsi="sans-serif"/>
          <w:b w:val="false"/>
          <w:color w:val="000000"/>
          <w:sz w:val="18"/>
        </w:rPr>
        <w:t>,</w:t>
      </w:r>
      <w:r>
        <w:rPr>
          <w:color w:val="000000"/>
        </w:rPr>
        <w:t xml:space="preserve"> </w:t>
      </w:r>
      <w:r>
        <w:rPr>
          <w:rFonts w:ascii="sans-serif" w:hAnsi="sans-serif"/>
          <w:b w:val="false"/>
          <w:color w:val="000000"/>
          <w:sz w:val="16"/>
        </w:rPr>
        <w:t>respectively, to non-GAAP income before income taxes.</w:t>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(7) Net Income Margin represents net income divided by service revenue and Adjusted Net Income Margin represents Adjusted Net Income divided by service revenue.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Adjusted EPS (unaudited)</w:t>
      </w:r>
    </w:p>
    <w:tbl>
      <w:tblPr>
        <w:tblW w:w="10205" w:type="dxa"/>
        <w:jc w:val="center"/>
        <w:tblInd w:w="0" w:type="dxa"/>
        <w:tblLayout w:type="fixed"/>
        <w:tblCellMar>
          <w:top w:w="28" w:type="dxa"/>
          <w:left w:w="28" w:type="dxa"/>
          <w:bottom w:w="28" w:type="dxa"/>
          <w:right w:w="28" w:type="dxa"/>
        </w:tblCellMar>
      </w:tblPr>
      <w:tblGrid>
        <w:gridCol w:w="1450"/>
        <w:gridCol w:w="911"/>
        <w:gridCol w:w="823"/>
        <w:gridCol w:w="397"/>
        <w:gridCol w:w="921"/>
        <w:gridCol w:w="142"/>
        <w:gridCol w:w="142"/>
        <w:gridCol w:w="142"/>
        <w:gridCol w:w="142"/>
        <w:gridCol w:w="397"/>
        <w:gridCol w:w="921"/>
        <w:gridCol w:w="142"/>
        <w:gridCol w:w="109"/>
        <w:gridCol w:w="109"/>
        <w:gridCol w:w="109"/>
        <w:gridCol w:w="381"/>
        <w:gridCol w:w="914"/>
        <w:gridCol w:w="138"/>
        <w:gridCol w:w="138"/>
        <w:gridCol w:w="138"/>
        <w:gridCol w:w="138"/>
        <w:gridCol w:w="381"/>
        <w:gridCol w:w="914"/>
        <w:gridCol w:w="206"/>
      </w:tblGrid>
      <w:tr>
        <w:tc>
          <w:tcPr>
            <w:tcW w:w="1450" w:type="dxa"/>
            <w:tcBorders/>
            <w:vAlign w:val="center"/>
          </w:tcPr>
          <w:p>
            <w:pPr>
              <w:pStyle w:val="TableContents"/>
              <w:bidi w:val="0"/>
              <w:spacing w:before="0" w:after="283"/>
              <w:jc w:val="left"/>
              <w:rPr>
                <w:sz w:val="4"/>
                <w:szCs w:val="4"/>
              </w:rPr>
            </w:pPr>
            <w:r>
              <w:rPr>
                <w:sz w:val="4"/>
                <w:szCs w:val="4"/>
              </w:rPr>
            </w:r>
          </w:p>
        </w:tc>
        <w:tc>
          <w:tcPr>
            <w:tcW w:w="911" w:type="dxa"/>
            <w:tcBorders/>
            <w:vAlign w:val="center"/>
          </w:tcPr>
          <w:p>
            <w:pPr>
              <w:pStyle w:val="TableContents"/>
              <w:bidi w:val="0"/>
              <w:spacing w:before="0" w:after="283"/>
              <w:jc w:val="left"/>
              <w:rPr>
                <w:sz w:val="4"/>
                <w:szCs w:val="4"/>
              </w:rPr>
            </w:pPr>
            <w:r>
              <w:rPr>
                <w:sz w:val="4"/>
                <w:szCs w:val="4"/>
              </w:rPr>
            </w:r>
          </w:p>
        </w:tc>
        <w:tc>
          <w:tcPr>
            <w:tcW w:w="823"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397"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14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138"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914" w:type="dxa"/>
            <w:tcBorders/>
            <w:vAlign w:val="center"/>
          </w:tcPr>
          <w:p>
            <w:pPr>
              <w:pStyle w:val="TableContents"/>
              <w:bidi w:val="0"/>
              <w:spacing w:before="0" w:after="283"/>
              <w:jc w:val="left"/>
              <w:rPr>
                <w:sz w:val="4"/>
                <w:szCs w:val="4"/>
              </w:rPr>
            </w:pPr>
            <w:r>
              <w:rPr>
                <w:sz w:val="4"/>
                <w:szCs w:val="4"/>
              </w:rPr>
            </w:r>
          </w:p>
        </w:tc>
        <w:tc>
          <w:tcPr>
            <w:tcW w:w="206" w:type="dxa"/>
            <w:tcBorders/>
            <w:vAlign w:val="center"/>
          </w:tcPr>
          <w:p>
            <w:pPr>
              <w:pStyle w:val="TableContents"/>
              <w:bidi w:val="0"/>
              <w:spacing w:before="0" w:after="283"/>
              <w:jc w:val="left"/>
              <w:rPr>
                <w:sz w:val="4"/>
                <w:szCs w:val="4"/>
              </w:rPr>
            </w:pPr>
            <w:r>
              <w:rPr>
                <w:sz w:val="4"/>
                <w:szCs w:val="4"/>
              </w:rPr>
            </w:r>
          </w:p>
        </w:tc>
      </w:tr>
      <w:tr>
        <w:tc>
          <w:tcPr>
            <w:tcW w:w="3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8"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months ended September 30,</w:t>
            </w:r>
          </w:p>
        </w:tc>
      </w:tr>
      <w:tr>
        <w:tc>
          <w:tcPr>
            <w:tcW w:w="3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4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41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GAAP diluted EPS</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0.28 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0.78 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0.78 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Per share adjustments to net income</w:t>
            </w:r>
            <w:r>
              <w:rPr>
                <w:rFonts w:ascii="sans-serif" w:hAnsi="sans-serif"/>
                <w:b w:val="false"/>
                <w:color w:val="000000"/>
                <w:sz w:val="12"/>
              </w:rPr>
              <w:t>(1)</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0.06 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0.08 </w:t>
            </w:r>
          </w:p>
        </w:tc>
        <w:tc>
          <w:tcPr>
            <w:tcW w:w="14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0.24 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0.45 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8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EPS</w:t>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0.34 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0.42 </w:t>
            </w:r>
          </w:p>
        </w:tc>
        <w:tc>
          <w:tcPr>
            <w:tcW w:w="14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1.02 </w:t>
            </w:r>
          </w:p>
        </w:tc>
        <w:tc>
          <w:tcPr>
            <w:tcW w:w="13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14"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1.23 </w:t>
            </w:r>
          </w:p>
        </w:tc>
        <w:tc>
          <w:tcPr>
            <w:tcW w:w="206"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8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0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Weighted-average common shares outstanding – diluted</w:t>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93,337,979 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1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93,057,417 </w:t>
            </w:r>
          </w:p>
        </w:tc>
        <w:tc>
          <w:tcPr>
            <w:tcW w:w="14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92,975,915 </w:t>
            </w:r>
          </w:p>
        </w:tc>
        <w:tc>
          <w:tcPr>
            <w:tcW w:w="13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93,096,587 </w:t>
            </w:r>
          </w:p>
        </w:tc>
        <w:tc>
          <w:tcPr>
            <w:tcW w:w="2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8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r>
        <w:tc>
          <w:tcPr>
            <w:tcW w:w="3184"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426" w:type="dxa"/>
            <w:gridSpan w:val="3"/>
            <w:tcBorders/>
            <w:vAlign w:val="center"/>
          </w:tcPr>
          <w:p>
            <w:pPr>
              <w:pStyle w:val="TableContents"/>
              <w:bidi w:val="0"/>
              <w:spacing w:before="0" w:after="283"/>
              <w:jc w:val="left"/>
              <w:rPr>
                <w:sz w:val="4"/>
                <w:szCs w:val="4"/>
              </w:rPr>
            </w:pPr>
            <w:r>
              <w:rPr>
                <w:sz w:val="4"/>
                <w:szCs w:val="4"/>
              </w:rPr>
            </w:r>
          </w:p>
        </w:tc>
        <w:tc>
          <w:tcPr>
            <w:tcW w:w="146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433" w:type="dxa"/>
            <w:gridSpan w:val="3"/>
            <w:tcBorders/>
            <w:vAlign w:val="center"/>
          </w:tcPr>
          <w:p>
            <w:pPr>
              <w:pStyle w:val="TableContents"/>
              <w:bidi w:val="0"/>
              <w:spacing w:before="0" w:after="283"/>
              <w:jc w:val="left"/>
              <w:rPr>
                <w:sz w:val="4"/>
                <w:szCs w:val="4"/>
              </w:rPr>
            </w:pPr>
            <w:r>
              <w:rPr>
                <w:sz w:val="4"/>
                <w:szCs w:val="4"/>
              </w:rPr>
            </w:r>
          </w:p>
        </w:tc>
        <w:tc>
          <w:tcPr>
            <w:tcW w:w="414" w:type="dxa"/>
            <w:gridSpan w:val="3"/>
            <w:tcBorders/>
            <w:vAlign w:val="center"/>
          </w:tcPr>
          <w:p>
            <w:pPr>
              <w:pStyle w:val="TableContents"/>
              <w:bidi w:val="0"/>
              <w:spacing w:before="0" w:after="283"/>
              <w:jc w:val="left"/>
              <w:rPr>
                <w:sz w:val="4"/>
                <w:szCs w:val="4"/>
              </w:rPr>
            </w:pPr>
            <w:r>
              <w:rPr>
                <w:sz w:val="4"/>
                <w:szCs w:val="4"/>
              </w:rPr>
            </w:r>
          </w:p>
        </w:tc>
        <w:tc>
          <w:tcPr>
            <w:tcW w:w="150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pPr>
      <w:r/>
    </w:p>
    <w:p>
      <w:pPr>
        <w:pStyle w:val="TextBody"/>
        <w:bidi w:val="0"/>
        <w:spacing w:lineRule="auto" w:line="288" w:before="60" w:after="283"/>
        <w:ind w:left="0" w:right="0" w:hanging="270"/>
        <w:jc w:val="both"/>
        <w:rPr>
          <w:rFonts w:ascii="sans-serif" w:hAnsi="sans-serif"/>
          <w:b w:val="false"/>
          <w:color w:val="000000"/>
          <w:sz w:val="16"/>
        </w:rPr>
      </w:pPr>
      <w:r>
        <w:rPr>
          <w:rFonts w:ascii="sans-serif" w:hAnsi="sans-serif"/>
          <w:b w:val="false"/>
          <w:color w:val="000000"/>
          <w:sz w:val="16"/>
        </w:rPr>
        <w:t>(1) Reflects the aggregate adjustments made to reconcile net income to Adjusted Net Income, as noted in the above table, divided by the GAAP diluted weighted-average number of shares outstanding for the relevant period.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p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3" name="Frame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TaskUs, Inc.</w:t>
      </w:r>
    </w:p>
    <w:p>
      <w:pPr>
        <w:pStyle w:val="TextBody"/>
        <w:bidi w:val="0"/>
        <w:spacing w:lineRule="auto" w:line="288" w:before="0" w:after="0"/>
        <w:jc w:val="center"/>
        <w:rPr>
          <w:rFonts w:ascii="sans-serif" w:hAnsi="sans-serif"/>
          <w:b/>
          <w:color w:val="000000"/>
          <w:sz w:val="20"/>
        </w:rPr>
      </w:pPr>
      <w:r>
        <w:rPr>
          <w:rFonts w:ascii="sans-serif" w:hAnsi="sans-serif"/>
          <w:b/>
          <w:color w:val="000000"/>
          <w:sz w:val="20"/>
        </w:rPr>
        <w:t>Non-GAAP Reconciliations</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Free Cash Flow (unaudited)</w:t>
      </w:r>
    </w:p>
    <w:p>
      <w:pPr>
        <w:pStyle w:val="TextBody"/>
        <w:bidi w:val="0"/>
        <w:spacing w:lineRule="auto" w:line="288" w:before="0" w:after="0"/>
        <w:jc w:val="center"/>
        <w:rPr>
          <w:rFonts w:ascii="sans-serif" w:hAnsi="sans-serif"/>
          <w:b w:val="false"/>
          <w:i/>
          <w:color w:val="000000"/>
          <w:sz w:val="20"/>
        </w:rPr>
      </w:pPr>
      <w:r>
        <w:rPr>
          <w:rFonts w:ascii="sans-serif" w:hAnsi="sans-serif"/>
          <w:b w:val="false"/>
          <w:i/>
          <w:color w:val="000000"/>
          <w:sz w:val="20"/>
        </w:rPr>
        <w:t>(in thousands, except percentages)</w:t>
      </w:r>
    </w:p>
    <w:tbl>
      <w:tblPr>
        <w:tblW w:w="10205" w:type="dxa"/>
        <w:jc w:val="center"/>
        <w:tblInd w:w="0" w:type="dxa"/>
        <w:tblLayout w:type="fixed"/>
        <w:tblCellMar>
          <w:top w:w="28" w:type="dxa"/>
          <w:left w:w="28" w:type="dxa"/>
          <w:bottom w:w="28" w:type="dxa"/>
          <w:right w:w="28" w:type="dxa"/>
        </w:tblCellMar>
      </w:tblPr>
      <w:tblGrid>
        <w:gridCol w:w="1280"/>
        <w:gridCol w:w="913"/>
        <w:gridCol w:w="918"/>
        <w:gridCol w:w="251"/>
        <w:gridCol w:w="921"/>
        <w:gridCol w:w="302"/>
        <w:gridCol w:w="121"/>
        <w:gridCol w:w="121"/>
        <w:gridCol w:w="121"/>
        <w:gridCol w:w="251"/>
        <w:gridCol w:w="921"/>
        <w:gridCol w:w="302"/>
        <w:gridCol w:w="109"/>
        <w:gridCol w:w="109"/>
        <w:gridCol w:w="109"/>
        <w:gridCol w:w="239"/>
        <w:gridCol w:w="1002"/>
        <w:gridCol w:w="286"/>
        <w:gridCol w:w="115"/>
        <w:gridCol w:w="115"/>
        <w:gridCol w:w="115"/>
        <w:gridCol w:w="239"/>
        <w:gridCol w:w="1002"/>
        <w:gridCol w:w="343"/>
      </w:tblGrid>
      <w:tr>
        <w:tc>
          <w:tcPr>
            <w:tcW w:w="1280" w:type="dxa"/>
            <w:tcBorders/>
            <w:vAlign w:val="center"/>
          </w:tcPr>
          <w:p>
            <w:pPr>
              <w:pStyle w:val="TableContents"/>
              <w:bidi w:val="0"/>
              <w:spacing w:before="0" w:after="283"/>
              <w:jc w:val="left"/>
              <w:rPr>
                <w:sz w:val="4"/>
                <w:szCs w:val="4"/>
              </w:rPr>
            </w:pPr>
            <w:r>
              <w:rPr>
                <w:sz w:val="4"/>
                <w:szCs w:val="4"/>
              </w:rPr>
            </w:r>
          </w:p>
        </w:tc>
        <w:tc>
          <w:tcPr>
            <w:tcW w:w="913" w:type="dxa"/>
            <w:tcBorders/>
            <w:vAlign w:val="center"/>
          </w:tcPr>
          <w:p>
            <w:pPr>
              <w:pStyle w:val="TableContents"/>
              <w:bidi w:val="0"/>
              <w:spacing w:before="0" w:after="283"/>
              <w:jc w:val="left"/>
              <w:rPr>
                <w:sz w:val="4"/>
                <w:szCs w:val="4"/>
              </w:rPr>
            </w:pPr>
            <w:r>
              <w:rPr>
                <w:sz w:val="4"/>
                <w:szCs w:val="4"/>
              </w:rPr>
            </w:r>
          </w:p>
        </w:tc>
        <w:tc>
          <w:tcPr>
            <w:tcW w:w="918"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921"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115"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1002" w:type="dxa"/>
            <w:tcBorders/>
            <w:vAlign w:val="center"/>
          </w:tcPr>
          <w:p>
            <w:pPr>
              <w:pStyle w:val="TableContents"/>
              <w:bidi w:val="0"/>
              <w:spacing w:before="0" w:after="283"/>
              <w:jc w:val="left"/>
              <w:rPr>
                <w:sz w:val="4"/>
                <w:szCs w:val="4"/>
              </w:rPr>
            </w:pPr>
            <w:r>
              <w:rPr>
                <w:sz w:val="4"/>
                <w:szCs w:val="4"/>
              </w:rPr>
            </w:r>
          </w:p>
        </w:tc>
        <w:tc>
          <w:tcPr>
            <w:tcW w:w="343" w:type="dxa"/>
            <w:tcBorders/>
            <w:vAlign w:val="center"/>
          </w:tcPr>
          <w:p>
            <w:pPr>
              <w:pStyle w:val="TableContents"/>
              <w:bidi w:val="0"/>
              <w:spacing w:before="0" w:after="283"/>
              <w:jc w:val="left"/>
              <w:rPr>
                <w:sz w:val="4"/>
                <w:szCs w:val="4"/>
              </w:rPr>
            </w:pPr>
            <w:r>
              <w:rPr>
                <w:sz w:val="4"/>
                <w:szCs w:val="4"/>
              </w:rPr>
            </w:r>
          </w:p>
        </w:tc>
      </w:tr>
      <w:t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11"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Three months ended September 30,</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6" w:type="dxa"/>
            <w:gridSpan w:val="9"/>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Nine months ended September 30,</w:t>
            </w:r>
          </w:p>
        </w:tc>
      </w:tr>
      <w:tr>
        <w:tc>
          <w:tcPr>
            <w:tcW w:w="31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6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7"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2026</w:t>
            </w:r>
          </w:p>
        </w:tc>
        <w:tc>
          <w:tcPr>
            <w:tcW w:w="34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84"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18"/>
              </w:rPr>
            </w:pPr>
            <w:r>
              <w:rPr>
                <w:rFonts w:ascii="sans-serif" w:hAnsi="sans-serif"/>
                <w:b/>
                <w:color w:val="000000"/>
                <w:sz w:val="18"/>
              </w:rPr>
              <w:t>2025</w:t>
            </w:r>
          </w:p>
        </w:tc>
      </w:tr>
      <w:tr>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Net cash provided by operating activities</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30,679 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54,264 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120,091 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107,549 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Purchase of property and equipment</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(8,655)</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(12,302)</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(29,362)</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(43,753)</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Free Cash Flow</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22,024 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41,962 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90,729 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63,796 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transaction costs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642 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6,999 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3,189 </w:t>
            </w:r>
          </w:p>
        </w:tc>
        <w:tc>
          <w:tcPr>
            <w:tcW w:w="34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liability stock-based compensation awards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310 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3,761 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43" w:type="dxa"/>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c>
          <w:tcPr>
            <w:tcW w:w="31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litigation costs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4,502 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7,850 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Payment for operational efficiency costs</w:t>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881 </w:t>
            </w:r>
          </w:p>
        </w:tc>
        <w:tc>
          <w:tcPr>
            <w:tcW w:w="302"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137 </w:t>
            </w:r>
          </w:p>
        </w:tc>
        <w:tc>
          <w:tcPr>
            <w:tcW w:w="28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2,108 </w:t>
            </w:r>
          </w:p>
        </w:tc>
        <w:tc>
          <w:tcPr>
            <w:tcW w:w="343"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Adjusted Free Cash Flow</w:t>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22,976 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921"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47,987 </w:t>
            </w:r>
          </w:p>
        </w:tc>
        <w:tc>
          <w:tcPr>
            <w:tcW w:w="302"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101,626 </w:t>
            </w:r>
          </w:p>
        </w:tc>
        <w:tc>
          <w:tcPr>
            <w:tcW w:w="286"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18"/>
              </w:rPr>
            </w:pPr>
            <w:r>
              <w:rPr>
                <w:rFonts w:ascii="sans-serif" w:hAnsi="sans-serif"/>
                <w:b w:val="false"/>
                <w:color w:val="000000"/>
                <w:sz w:val="18"/>
              </w:rPr>
              <w:t>$</w:t>
            </w:r>
          </w:p>
        </w:tc>
        <w:tc>
          <w:tcPr>
            <w:tcW w:w="1002" w:type="dxa"/>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76,943 </w:t>
            </w:r>
          </w:p>
        </w:tc>
        <w:tc>
          <w:tcPr>
            <w:tcW w:w="343" w:type="dxa"/>
            <w:tcBorders>
              <w:top w:val="single" w:sz="8"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pPr>
            <w:r>
              <w:rPr>
                <w:rFonts w:ascii="sans-serif" w:hAnsi="sans-serif"/>
                <w:b w:val="false"/>
                <w:color w:val="000000"/>
                <w:sz w:val="18"/>
              </w:rPr>
              <w:t>Conversion of Adjusted EBITDA to Free Cash Flow</w:t>
            </w:r>
            <w:r>
              <w:rPr>
                <w:rFonts w:ascii="sans-serif" w:hAnsi="sans-serif"/>
                <w:b w:val="false"/>
                <w:color w:val="000000"/>
                <w:sz w:val="12"/>
              </w:rPr>
              <w:t>(1)</w:t>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37.3 </w:t>
            </w:r>
          </w:p>
        </w:tc>
        <w:tc>
          <w:tcPr>
            <w:tcW w:w="3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66.1 </w:t>
            </w:r>
          </w:p>
        </w:tc>
        <w:tc>
          <w:tcPr>
            <w:tcW w:w="302"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51.7 </w:t>
            </w:r>
          </w:p>
        </w:tc>
        <w:tc>
          <w:tcPr>
            <w:tcW w:w="286"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34.0 </w:t>
            </w:r>
          </w:p>
        </w:tc>
        <w:tc>
          <w:tcPr>
            <w:tcW w:w="343" w:type="dxa"/>
            <w:tcBorders>
              <w:top w:val="double" w:sz="8" w:space="0" w:color="000000"/>
            </w:tcBorders>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r>
        <w:tc>
          <w:tcPr>
            <w:tcW w:w="3111"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pPr>
            <w:r>
              <w:rPr>
                <w:rFonts w:ascii="sans-serif" w:hAnsi="sans-serif"/>
                <w:b w:val="false"/>
                <w:color w:val="000000"/>
                <w:sz w:val="18"/>
              </w:rPr>
              <w:t>Conversion of Adjusted EBITDA to Adjusted Free Cash Flow</w:t>
            </w:r>
            <w:r>
              <w:rPr>
                <w:rFonts w:ascii="sans-serif" w:hAnsi="sans-serif"/>
                <w:b w:val="false"/>
                <w:color w:val="000000"/>
                <w:sz w:val="12"/>
              </w:rPr>
              <w:t>(1)</w:t>
            </w:r>
          </w:p>
        </w:tc>
        <w:tc>
          <w:tcPr>
            <w:tcW w:w="117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38.9 </w:t>
            </w:r>
          </w:p>
        </w:tc>
        <w:tc>
          <w:tcPr>
            <w:tcW w:w="3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6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2"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75.6 </w:t>
            </w:r>
          </w:p>
        </w:tc>
        <w:tc>
          <w:tcPr>
            <w:tcW w:w="302"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58.0 </w:t>
            </w:r>
          </w:p>
        </w:tc>
        <w:tc>
          <w:tcPr>
            <w:tcW w:w="286"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c>
          <w:tcPr>
            <w:tcW w:w="3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1" w:type="dxa"/>
            <w:gridSpan w:val="2"/>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41.0 </w:t>
            </w:r>
          </w:p>
        </w:tc>
        <w:tc>
          <w:tcPr>
            <w:tcW w:w="343" w:type="dxa"/>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right"/>
              <w:rPr>
                <w:rFonts w:ascii="sans-serif" w:hAnsi="sans-serif"/>
                <w:b w:val="false"/>
                <w:color w:val="000000"/>
                <w:sz w:val="18"/>
              </w:rPr>
            </w:pPr>
            <w:r>
              <w:rPr>
                <w:rFonts w:ascii="sans-serif" w:hAnsi="sans-serif"/>
                <w:b w:val="false"/>
                <w:color w:val="000000"/>
                <w:sz w:val="18"/>
              </w:rPr>
              <w:t>%</w:t>
            </w:r>
          </w:p>
        </w:tc>
      </w:tr>
    </w:tbl>
    <w:p>
      <w:pPr>
        <w:pStyle w:val="TextBody"/>
        <w:bidi w:val="0"/>
        <w:spacing w:lineRule="auto" w:line="288" w:before="120" w:after="283"/>
        <w:jc w:val="left"/>
        <w:rPr>
          <w:rFonts w:ascii="sans-serif" w:hAnsi="sans-serif"/>
          <w:b w:val="false"/>
          <w:color w:val="000000"/>
          <w:sz w:val="16"/>
        </w:rPr>
      </w:pPr>
      <w:r>
        <w:rPr>
          <w:rFonts w:ascii="sans-serif" w:hAnsi="sans-serif"/>
          <w:b w:val="false"/>
          <w:color w:val="000000"/>
          <w:sz w:val="16"/>
        </w:rPr>
        <w:t>(1) Conversion of Adjusted EBITDA to Free Cash Flow represents Free Cash Flow divided by Adjusted EBITDA. Conversion of Adjusted EBITDA to Adjusted Free Cash Flow represents Adjusted Free Cash Flow divided by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p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0"/>
        </w:rPr>
      </w:pPr>
      <w:r>
        <w:rPr>
          <w:rFonts w:ascii="sans-serif" w:hAnsi="sans-serif"/>
          <w:b/>
          <w:color w:val="000000"/>
          <w:sz w:val="20"/>
        </w:rPr>
        <w:t>Definitions of Non-GAAP Metrics</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EBITDA and Adjusted EBITDA and Adjusted EBITDA Margin</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EBITDA is a non-GAAP profitability measure that represents net income or loss for the period before the impact of the benefit from or provision for income taxes, financing expenses, depreciation, and amortization of intangible assets. EBITDA eliminates potential differences in performance caused by variations in capital structures (affecting financing expenses), tax positions (such as the availability of net operating losses against which to relieve taxable profits), the cost and age of tangible assets (affecting relative depreciation expense) and the extent to which intangible assets are identifiable (affecting relative amortization expense).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EBITDA is a non-GAAP profitability measure that represents EBITDA before certain items that are considered to hinder comparison of the performance of our business on a period-over-period basis or with other businesses. During the periods presented, we excluded from Adjusted EBITDA transaction costs, operational efficiency costs, the effect of foreign currency gains and losses, gains and losses on disposals of assets, certain severance costs, stock-based compensation expense and associated employer payroll tax and interest income, which include costs that are required to be expensed in accordance with GAAP. Our management believes that the inclusion of supplementary adjustments to EBITDA applied in presenting Adjusted EBITDA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EBITDA Margin represents Adjusted EBITDA divided by service revenue.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Adjusted Net Income and Margin</w:t>
      </w:r>
    </w:p>
    <w:p>
      <w:pPr>
        <w:pStyle w:val="TextBody"/>
        <w:bidi w:val="0"/>
        <w:spacing w:lineRule="auto" w:line="288" w:before="120" w:after="283"/>
        <w:ind w:left="0" w:right="0" w:firstLine="540"/>
        <w:jc w:val="both"/>
      </w:pPr>
      <w:r>
        <w:rPr>
          <w:rFonts w:ascii="sans-serif" w:hAnsi="sans-serif"/>
          <w:b w:val="false"/>
          <w:color w:val="000000"/>
          <w:sz w:val="20"/>
        </w:rPr>
        <w:t>Adjusted Net Income is a non-GAAP profitability measure that represents net income or loss for the period before the impact of amortization of intangible assets and certain items that are considered to hinder comparison of the performance of our businesses on a period-over-period basis or with other businesses. During the periods presented, we excluded from Adjusted Net Income amortization of intangible assets</w:t>
      </w:r>
      <w:r>
        <w:rPr>
          <w:rFonts w:ascii="sans-serif" w:hAnsi="sans-serif"/>
          <w:b w:val="false"/>
          <w:color w:val="000000"/>
          <w:sz w:val="20"/>
          <w:shd w:fill="FFFFFF" w:val="clear"/>
        </w:rPr>
        <w:t>, transaction costs, operational efficiency costs</w:t>
      </w:r>
      <w:r>
        <w:rPr>
          <w:rFonts w:ascii="sans-serif" w:hAnsi="sans-serif"/>
          <w:b w:val="false"/>
          <w:color w:val="000000"/>
          <w:sz w:val="20"/>
        </w:rPr>
        <w:t>, the effect of foreign currency gains and losses, gains and losses on disposals of assets, certain severance costs, stock-based compensation expense and associated employer payroll tax and the related effect on income taxes of certain pre-tax adjustments, which include costs that are required to be expensed in accordance with GAAP. Our management believes that the inclusion of supplementary adjustments to net income applied in presenting Adjusted Net Income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Net Income Margin represents Adjusted Net Income divided by service revenue.</w:t>
      </w:r>
    </w:p>
    <w:p>
      <w:pPr>
        <w:pStyle w:val="TextBody"/>
        <w:bidi w:val="0"/>
        <w:spacing w:before="120" w:after="283"/>
        <w:ind w:left="0" w:right="0" w:firstLine="180"/>
        <w:jc w:val="left"/>
      </w:pPr>
      <w:r/>
    </w:p>
    <w:p>
      <w:pPr>
        <w:pStyle w:val="TextBody"/>
        <w:bidi w:val="0"/>
        <w:spacing w:before="0" w:after="0"/>
        <w:jc w:val="left"/>
      </w:p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4" name="Frame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p>
      <w:pPr>
        <w:pStyle w:val="TextBody"/>
        <w:bidi w:val="0"/>
        <w:spacing w:lineRule="auto" w:line="288" w:before="0" w:after="0"/>
        <w:jc w:val="left"/>
        <w:rPr>
          <w:rFonts w:ascii="sans-serif" w:hAnsi="sans-serif"/>
          <w:b/>
          <w:i/>
          <w:color w:val="000000"/>
          <w:sz w:val="20"/>
        </w:rPr>
      </w:pPr>
      <w:r>
        <w:rPr>
          <w:rFonts w:ascii="sans-serif" w:hAnsi="sans-serif"/>
          <w:b/>
          <w:i/>
          <w:color w:val="000000"/>
          <w:sz w:val="20"/>
        </w:rPr>
        <w:t>Adjusted EPS</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EPS is a non-GAAP profitability measure that represents earnings available to shareholders excluding the impact of certain items that are considered to hinder comparison of the performance of our business on a period-over-period basis or with other businesses. Adjusted EPS is calculated as Adjusted Net Income divided by our diluted weighted-average number of shares outstanding. Our management believes that the inclusion of supplementary adjustments to earnings per share applied in presenting Adjusted EPS are appropriate to provide additional information to investors about certain material non-cash items and about unusual items that we do not expect to continue at the same level in the future.</w:t>
      </w:r>
    </w:p>
    <w:p>
      <w:pPr>
        <w:pStyle w:val="TextBody"/>
        <w:bidi w:val="0"/>
        <w:spacing w:lineRule="auto" w:line="288" w:before="120" w:after="283"/>
        <w:jc w:val="left"/>
        <w:rPr>
          <w:rFonts w:ascii="sans-serif" w:hAnsi="sans-serif"/>
          <w:b/>
          <w:i/>
          <w:color w:val="000000"/>
          <w:sz w:val="20"/>
        </w:rPr>
      </w:pPr>
      <w:r>
        <w:rPr>
          <w:rFonts w:ascii="sans-serif" w:hAnsi="sans-serif"/>
          <w:b/>
          <w:i/>
          <w:color w:val="000000"/>
          <w:sz w:val="20"/>
        </w:rPr>
        <w:t>Free Cash Flow, Adjusted Free Cash Flow, Conversion of Adjusted EBITDA to Free Cash Flow and Conversion of Adjusted EBITDA to Adjusted Free Cash Flow</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Free Cash Flow is a non-GAAP liquidity measure that represents our ability to generate additional cash from our business operations. Free Cash Flow is calculated as net cash provided by operating activities in the period minus cash used for purchase of property and equipment in the period. Our management believes that the inclusion of this non-GAAP measure, when considered with our GAAP results, provides management and investors with an additional understanding of our ability to generate additional cash for ongoing business operations and other capital deployment.</w:t>
      </w:r>
    </w:p>
    <w:p>
      <w:pPr>
        <w:pStyle w:val="TextBody"/>
        <w:bidi w:val="0"/>
        <w:spacing w:lineRule="auto" w:line="288" w:before="120" w:after="283"/>
        <w:ind w:left="0" w:right="0" w:firstLine="540"/>
        <w:jc w:val="both"/>
        <w:rPr>
          <w:rFonts w:ascii="sans-serif" w:hAnsi="sans-serif"/>
          <w:b w:val="false"/>
          <w:color w:val="000000"/>
          <w:sz w:val="20"/>
        </w:rPr>
      </w:pPr>
      <w:r>
        <w:rPr>
          <w:rFonts w:ascii="sans-serif" w:hAnsi="sans-serif"/>
          <w:b w:val="false"/>
          <w:color w:val="000000"/>
          <w:sz w:val="20"/>
        </w:rPr>
        <w:t>Adjusted Free Cash Flow is a non-GAAP liquidity measure that represents Free Cash Flow before the payments for transaction costs, operational efficiency costs, liability stock-based compensation awards and certain litigation costs that are considered non-recurring and outside of the ordinary course of business, which would hinder comparison of the performance of our business on a period-over-period basis or with other businesses. Our management believes that the inclusion of these supplementary adjustments to Free Cash Flow are appropriate to provide additional information to investors about these unusual items that we do not expect to continue at the same level in the future.</w:t>
      </w:r>
    </w:p>
    <w:p>
      <w:pPr>
        <w:pStyle w:val="TextBody"/>
        <w:bidi w:val="0"/>
        <w:spacing w:lineRule="auto" w:line="288" w:before="120" w:after="283"/>
        <w:ind w:left="0" w:right="0" w:firstLine="540"/>
        <w:jc w:val="left"/>
        <w:rPr>
          <w:rFonts w:ascii="sans-serif" w:hAnsi="sans-serif"/>
          <w:b w:val="false"/>
          <w:color w:val="000000"/>
          <w:sz w:val="20"/>
        </w:rPr>
      </w:pPr>
      <w:r>
        <w:rPr>
          <w:rFonts w:ascii="sans-serif" w:hAnsi="sans-serif"/>
          <w:b w:val="false"/>
          <w:color w:val="000000"/>
          <w:sz w:val="20"/>
        </w:rPr>
        <w:t>Conversion of Adjusted EBITDA to Free Cash Flow represents Free Cash Flow divided by Adjusted EBITDA. Conversion of Adjusted EBITDA to Adjusted Free Cash Flow represents Adjusted Free Cash Flow divided by Adjusted EBITDA.</w:t>
      </w:r>
    </w:p>
    <w:p>
      <w:pPr>
        <w:pStyle w:val="TextBody"/>
        <w:bidi w:val="0"/>
        <w:spacing w:before="0" w:after="0"/>
        <w:jc w:val="left"/>
      </w:pPr>
      <w:r/>
    </w:p>
    <w:p>
      <w:pPr>
        <w:pStyle w:val="TextBody"/>
        <w:bidi w:val="0"/>
        <w:spacing w:before="120" w:after="283"/>
        <w:ind w:left="0" w:right="0" w:firstLine="720"/>
        <w:jc w:val="both"/>
      </w:pPr>
      <w:r/>
    </w:p>
    <w:p>
      <w:pPr>
        <w:pStyle w:val="TextBody"/>
        <w:bidi w:val="0"/>
        <w:spacing w:before="0" w:after="283"/>
        <w:jc w:val="left"/>
      </w:p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75260"/>
                <wp:effectExtent l="0" t="0" r="0" b="0"/>
                <wp:wrapNone/>
                <wp:docPr id="15" name="Frame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p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p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5033</Words>
  <Characters>28861</Characters>
  <CharactersWithSpaces>33307</CharactersWithSpaces>
  <Paragraphs>977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