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6076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07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452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Walsh Claudia F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DR., STE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3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General Counsel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45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9,455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3,612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102,888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16,856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119,744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113,696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9,455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16,856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16,856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34,224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39,362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39,362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6, 2024; 33% on March 6, 2025; and 34% on March 6,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in connection with the vesting of restricted stock units to cover tax withholding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7, 2026; 33% on March 7, 2027; and 34% on March 7, 2028.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9, 2027; 33% on March 9, 2028; and 34% on March 9, 2029.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Garrett Gold,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56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4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840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2026-03-10T17:28:21Z</dcterms:created>
  <dcterms:modified xsi:type="dcterms:W3CDTF">2026-03-10T17:28:21Z</dcterms:modified>
</cp:coreProperties>
</file>