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5191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Thrash Trent Pollard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TASKUS,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1650 INDEPENDENCE DRIVE, SUITE 100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ind w:left="100"/>
        <w:spacing w:after="0" w:line="205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  <w:vertAlign w:val="superscript"/>
        </w:rPr>
        <w:t>NEW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9"/>
          <w:szCs w:val="9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78132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BRAUNFELS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TaskUs,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TASK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</w:tr>
      <w:tr>
        <w:trPr>
          <w:trHeight w:val="136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17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6"/>
        </w:trPr>
        <w:tc>
          <w:tcPr>
            <w:tcW w:w="17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</w:tr>
      <w:tr>
        <w:trPr>
          <w:trHeight w:val="135"/>
        </w:trPr>
        <w:tc>
          <w:tcPr>
            <w:tcW w:w="17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Interim CFO</w:t>
            </w:r>
          </w:p>
        </w:tc>
        <w:tc>
          <w:tcPr>
            <w:tcW w:w="306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1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20,618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1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6,942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 Stock Units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1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10,969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Options (right to buy)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09/30/2031</w:t>
            </w:r>
          </w:p>
        </w:tc>
        <w:tc>
          <w:tcPr>
            <w:tcW w:w="1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12,430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62.72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8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9, 2027; 33% on March 9, 2028; and 34% on March 9, 2029.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15, 2025; 33% on March 15, 2026; and 34% on March 15, 2027.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2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March 7, 2026; 33% on March 7, 2027; and 34% on March 7, 2028.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stock options are fully vested and exercisable.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In connection with the special cash dividend of $3.65 per share, paid on March 25, 2026, the strike price was reduced by $3.65 from $66.37.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Jody M. Stanley, as Attorney-in-fact  04/08/2026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13544" TargetMode="External"/><Relationship Id="rId12" Type="http://schemas.openxmlformats.org/officeDocument/2006/relationships/hyperlink" Target="http://www.sec.gov/cgi-bin/browse-edgar?action=getcompany&amp;CIK=00018298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2026-04-08T16:20:51Z</dcterms:created>
  <dcterms:modified xsi:type="dcterms:W3CDTF">2026-04-08T16:20:51Z</dcterms:modified>
</cp:coreProperties>
</file>