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r>
      <w:tr>
        <w:trPr>
          <w:trHeight w:val="453"/>
        </w:trPr>
        <w:tc>
          <w:tcPr>
            <w:tcW w:w="4400" w:type="dxa"/>
            <w:vAlign w:val="bottom"/>
            <w:gridSpan w:val="4"/>
          </w:tcPr>
          <w:p>
            <w:pPr>
              <w:ind w:left="780"/>
              <w:spacing w:after="0"/>
              <w:rPr>
                <w:sz w:val="20"/>
                <w:szCs w:val="20"/>
                <w:color w:val="auto"/>
              </w:rPr>
            </w:pPr>
            <w:r>
              <w:rPr>
                <w:rFonts w:ascii="Arial" w:cs="Arial" w:eastAsia="Arial" w:hAnsi="Arial"/>
                <w:sz w:val="18"/>
                <w:szCs w:val="18"/>
                <w:b w:val="1"/>
                <w:bCs w:val="1"/>
                <w:color w:val="auto"/>
              </w:rPr>
              <w:t>Commission File Number: 001-40482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TaskUs,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6040" w:type="dxa"/>
            <w:vAlign w:val="bottom"/>
          </w:tcPr>
          <w:p>
            <w:pPr>
              <w:jc w:val="center"/>
              <w:ind w:right="3199"/>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21"/>
              <w:spacing w:after="0"/>
              <w:rPr>
                <w:sz w:val="20"/>
                <w:szCs w:val="20"/>
                <w:color w:val="auto"/>
              </w:rPr>
            </w:pPr>
            <w:r>
              <w:rPr>
                <w:rFonts w:ascii="Arial" w:cs="Arial" w:eastAsia="Arial" w:hAnsi="Arial"/>
                <w:sz w:val="18"/>
                <w:szCs w:val="18"/>
                <w:b w:val="1"/>
                <w:bCs w:val="1"/>
                <w:color w:val="auto"/>
              </w:rPr>
              <w:t>83-1586636</w:t>
            </w:r>
          </w:p>
        </w:tc>
      </w:tr>
      <w:tr>
        <w:trPr>
          <w:trHeight w:val="149"/>
        </w:trPr>
        <w:tc>
          <w:tcPr>
            <w:tcW w:w="6040" w:type="dxa"/>
            <w:vAlign w:val="bottom"/>
          </w:tcPr>
          <w:p>
            <w:pPr>
              <w:jc w:val="center"/>
              <w:ind w:right="3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7"/>
              </w:rPr>
              <w:t>I.R.S. Employer</w:t>
            </w:r>
          </w:p>
        </w:tc>
      </w:tr>
      <w:tr>
        <w:trPr>
          <w:trHeight w:val="186"/>
        </w:trPr>
        <w:tc>
          <w:tcPr>
            <w:tcW w:w="6040" w:type="dxa"/>
            <w:vAlign w:val="bottom"/>
          </w:tcPr>
          <w:p>
            <w:pPr>
              <w:jc w:val="center"/>
              <w:ind w:right="3199"/>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Identification No.</w:t>
            </w:r>
          </w:p>
        </w:tc>
      </w:tr>
      <w:tr>
        <w:trPr>
          <w:trHeight w:val="412"/>
        </w:trPr>
        <w:tc>
          <w:tcPr>
            <w:tcW w:w="6040" w:type="dxa"/>
            <w:vAlign w:val="bottom"/>
          </w:tcPr>
          <w:p>
            <w:pPr>
              <w:jc w:val="center"/>
              <w:ind w:right="3219"/>
              <w:spacing w:after="0"/>
              <w:rPr>
                <w:sz w:val="20"/>
                <w:szCs w:val="20"/>
                <w:color w:val="auto"/>
              </w:rPr>
            </w:pPr>
            <w:r>
              <w:rPr>
                <w:rFonts w:ascii="Arial" w:cs="Arial" w:eastAsia="Arial" w:hAnsi="Arial"/>
                <w:sz w:val="18"/>
                <w:szCs w:val="18"/>
                <w:b w:val="1"/>
                <w:bCs w:val="1"/>
                <w:color w:val="auto"/>
                <w:w w:val="89"/>
              </w:rPr>
              <w:t>1650 Independence Drive, Suite 100</w:t>
            </w:r>
          </w:p>
        </w:tc>
        <w:tc>
          <w:tcPr>
            <w:tcW w:w="1440" w:type="dxa"/>
            <w:vAlign w:val="bottom"/>
          </w:tcPr>
          <w:p>
            <w:pPr>
              <w:spacing w:after="0"/>
              <w:rPr>
                <w:sz w:val="24"/>
                <w:szCs w:val="24"/>
                <w:color w:val="auto"/>
              </w:rPr>
            </w:pPr>
          </w:p>
        </w:tc>
      </w:tr>
      <w:tr>
        <w:trPr>
          <w:trHeight w:val="212"/>
        </w:trPr>
        <w:tc>
          <w:tcPr>
            <w:tcW w:w="6040" w:type="dxa"/>
            <w:vAlign w:val="bottom"/>
          </w:tcPr>
          <w:p>
            <w:pPr>
              <w:jc w:val="center"/>
              <w:ind w:right="3219"/>
              <w:spacing w:after="0"/>
              <w:rPr>
                <w:sz w:val="20"/>
                <w:szCs w:val="20"/>
                <w:color w:val="auto"/>
              </w:rPr>
            </w:pPr>
            <w:r>
              <w:rPr>
                <w:rFonts w:ascii="Arial" w:cs="Arial" w:eastAsia="Arial" w:hAnsi="Arial"/>
                <w:sz w:val="18"/>
                <w:szCs w:val="18"/>
                <w:b w:val="1"/>
                <w:bCs w:val="1"/>
                <w:color w:val="auto"/>
                <w:w w:val="89"/>
              </w:rPr>
              <w:t>New Braunfels, Texas</w:t>
            </w:r>
          </w:p>
        </w:tc>
        <w:tc>
          <w:tcPr>
            <w:tcW w:w="1440" w:type="dxa"/>
            <w:vAlign w:val="bottom"/>
          </w:tcPr>
          <w:p>
            <w:pPr>
              <w:jc w:val="right"/>
              <w:ind w:right="241"/>
              <w:spacing w:after="0"/>
              <w:rPr>
                <w:sz w:val="20"/>
                <w:szCs w:val="20"/>
                <w:color w:val="auto"/>
              </w:rPr>
            </w:pPr>
            <w:r>
              <w:rPr>
                <w:rFonts w:ascii="Arial" w:cs="Arial" w:eastAsia="Arial" w:hAnsi="Arial"/>
                <w:sz w:val="18"/>
                <w:szCs w:val="18"/>
                <w:b w:val="1"/>
                <w:bCs w:val="1"/>
                <w:color w:val="auto"/>
              </w:rPr>
              <w:t>78132</w:t>
            </w:r>
          </w:p>
        </w:tc>
      </w:tr>
      <w:tr>
        <w:trPr>
          <w:trHeight w:val="186"/>
        </w:trPr>
        <w:tc>
          <w:tcPr>
            <w:tcW w:w="6040" w:type="dxa"/>
            <w:vAlign w:val="bottom"/>
          </w:tcPr>
          <w:p>
            <w:pPr>
              <w:jc w:val="center"/>
              <w:ind w:right="319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440" w:type="dxa"/>
            <w:vAlign w:val="bottom"/>
          </w:tcPr>
          <w:p>
            <w:pPr>
              <w:jc w:val="center"/>
              <w:ind w:left="281"/>
              <w:spacing w:after="0"/>
              <w:rPr>
                <w:sz w:val="20"/>
                <w:szCs w:val="20"/>
                <w:color w:val="auto"/>
              </w:rPr>
            </w:pPr>
            <w:r>
              <w:rPr>
                <w:rFonts w:ascii="Arial" w:cs="Arial" w:eastAsia="Arial" w:hAnsi="Arial"/>
                <w:sz w:val="14"/>
                <w:szCs w:val="14"/>
                <w:b w:val="1"/>
                <w:bCs w:val="1"/>
                <w:color w:val="auto"/>
                <w:w w:val="93"/>
              </w:rPr>
              <w:t>Zip Code</w:t>
            </w:r>
          </w:p>
        </w:tc>
      </w:tr>
      <w:tr>
        <w:trPr>
          <w:trHeight w:val="394"/>
        </w:trPr>
        <w:tc>
          <w:tcPr>
            <w:tcW w:w="6040" w:type="dxa"/>
            <w:vAlign w:val="bottom"/>
          </w:tcPr>
          <w:p>
            <w:pPr>
              <w:jc w:val="right"/>
              <w:ind w:right="1299"/>
              <w:spacing w:after="0"/>
              <w:rPr>
                <w:sz w:val="20"/>
                <w:szCs w:val="20"/>
                <w:color w:val="auto"/>
              </w:rPr>
            </w:pPr>
            <w:r>
              <w:rPr>
                <w:rFonts w:ascii="Arial" w:cs="Arial" w:eastAsia="Arial" w:hAnsi="Arial"/>
                <w:sz w:val="18"/>
                <w:szCs w:val="18"/>
                <w:b w:val="1"/>
                <w:bCs w:val="1"/>
                <w:color w:val="auto"/>
              </w:rPr>
              <w:t>(888) 400-8275</w:t>
            </w:r>
          </w:p>
        </w:tc>
        <w:tc>
          <w:tcPr>
            <w:tcW w:w="1440" w:type="dxa"/>
            <w:vAlign w:val="bottom"/>
          </w:tcPr>
          <w:p>
            <w:pPr>
              <w:spacing w:after="0"/>
              <w:rPr>
                <w:sz w:val="24"/>
                <w:szCs w:val="24"/>
                <w:color w:val="auto"/>
              </w:rPr>
            </w:pPr>
          </w:p>
        </w:tc>
      </w:tr>
      <w:tr>
        <w:trPr>
          <w:trHeight w:val="186"/>
        </w:trPr>
        <w:tc>
          <w:tcPr>
            <w:tcW w:w="6040" w:type="dxa"/>
            <w:vAlign w:val="bottom"/>
          </w:tcPr>
          <w:p>
            <w:pPr>
              <w:jc w:val="center"/>
              <w:ind w:left="20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TASK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20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8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34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30" w:right="439" w:bottom="0" w:gutter="0" w:footer="0" w:header="0"/>
        </w:sectPr>
      </w:pPr>
    </w:p>
    <w:bookmarkStart w:id="1" w:name="page2"/>
    <w:bookmarkEnd w:id="1"/>
    <w:p>
      <w:pPr>
        <w:ind w:right="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August 5, 2021, the number of shares outstanding of the registrant’s common stock was as follows: Class A common stock, par value $0.01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15,180,000; Class B common stock, par value $0.01 per share: 82,110,174.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125"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60" w:type="dxa"/>
            <w:vAlign w:val="bottom"/>
          </w:tcPr>
          <w:p>
            <w:pPr>
              <w:ind w:left="1520"/>
              <w:spacing w:after="0"/>
              <w:rPr>
                <w:sz w:val="20"/>
                <w:szCs w:val="20"/>
                <w:color w:val="auto"/>
              </w:rPr>
            </w:pPr>
            <w:r>
              <w:rPr>
                <w:rFonts w:ascii="Arial" w:cs="Arial" w:eastAsia="Arial" w:hAnsi="Arial"/>
                <w:sz w:val="14"/>
                <w:szCs w:val="14"/>
                <w:b w:val="1"/>
                <w:bCs w:val="1"/>
                <w:color w:val="auto"/>
                <w:w w:val="86"/>
              </w:rPr>
              <w:t>Page No.</w:t>
            </w:r>
          </w:p>
        </w:tc>
      </w:tr>
      <w:tr>
        <w:trPr>
          <w:trHeight w:val="269"/>
        </w:trPr>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2180" w:type="dxa"/>
            <w:vAlign w:val="bottom"/>
            <w:gridSpan w:val="3"/>
          </w:tcPr>
          <w:p>
            <w:pPr>
              <w:spacing w:after="0"/>
              <w:rPr>
                <w:sz w:val="23"/>
                <w:szCs w:val="23"/>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1</w:t>
            </w: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WEBSITE AND SOCIAL MEDIA DISCLOSURE</w:t>
              </w:r>
            </w:hyperlink>
          </w:p>
        </w:tc>
        <w:tc>
          <w:tcPr>
            <w:tcW w:w="2060" w:type="dxa"/>
            <w:vAlign w:val="bottom"/>
          </w:tcPr>
          <w:p>
            <w:pPr>
              <w:ind w:left="1520"/>
              <w:spacing w:after="0"/>
              <w:rPr>
                <w:sz w:val="20"/>
                <w:szCs w:val="20"/>
                <w:color w:val="auto"/>
              </w:rPr>
            </w:pPr>
            <w:r>
              <w:rPr>
                <w:rFonts w:ascii="Arial" w:cs="Arial" w:eastAsia="Arial" w:hAnsi="Arial"/>
                <w:sz w:val="18"/>
                <w:szCs w:val="18"/>
                <w:color w:val="auto"/>
              </w:rPr>
              <w:t>2</w:t>
            </w:r>
          </w:p>
        </w:tc>
      </w:tr>
      <w:tr>
        <w:trPr>
          <w:trHeight w:val="41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FINANCIAL INFORMATION</w:t>
              </w:r>
            </w:hyperlink>
          </w:p>
        </w:tc>
        <w:tc>
          <w:tcPr>
            <w:tcW w:w="1300" w:type="dxa"/>
            <w:vAlign w:val="bottom"/>
            <w:tcBorders>
              <w:top w:val="single" w:sz="8" w:color="0000EE"/>
            </w:tcBorders>
          </w:tcPr>
          <w:p>
            <w:pPr>
              <w:spacing w:after="0"/>
              <w:rPr>
                <w:sz w:val="24"/>
                <w:szCs w:val="24"/>
                <w:color w:val="auto"/>
              </w:rPr>
            </w:pPr>
          </w:p>
        </w:tc>
        <w:tc>
          <w:tcPr>
            <w:tcW w:w="4280" w:type="dxa"/>
            <w:vAlign w:val="bottom"/>
            <w:gridSpan w:val="11"/>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3</w:t>
            </w:r>
          </w:p>
        </w:tc>
      </w:tr>
      <w:tr>
        <w:trPr>
          <w:trHeight w:val="412"/>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Financial Statements </w:t>
              </w:r>
            </w:hyperlink>
            <w:r>
              <w:rPr>
                <w:rFonts w:ascii="Arial" w:cs="Arial" w:eastAsia="Arial" w:hAnsi="Arial"/>
                <w:sz w:val="18"/>
                <w:szCs w:val="18"/>
                <w:color w:val="000000"/>
              </w:rPr>
              <w:t>(Unaudited)</w:t>
            </w:r>
          </w:p>
        </w:tc>
        <w:tc>
          <w:tcPr>
            <w:tcW w:w="2060" w:type="dxa"/>
            <w:vAlign w:val="bottom"/>
          </w:tcPr>
          <w:p>
            <w:pPr>
              <w:ind w:left="1520"/>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Condensed Consolidated Balance Sheets</w:t>
              </w:r>
            </w:hyperlink>
          </w:p>
        </w:tc>
        <w:tc>
          <w:tcPr>
            <w:tcW w:w="4240" w:type="dxa"/>
            <w:vAlign w:val="bottom"/>
            <w:gridSpan w:val="10"/>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3</w:t>
            </w: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Operations</w:t>
              </w:r>
            </w:hyperlink>
          </w:p>
        </w:tc>
        <w:tc>
          <w:tcPr>
            <w:tcW w:w="2060" w:type="dxa"/>
            <w:vAlign w:val="bottom"/>
          </w:tcPr>
          <w:p>
            <w:pPr>
              <w:ind w:left="1520"/>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8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Comprehensive (Loss) Income</w:t>
              </w:r>
            </w:hyperlink>
          </w:p>
        </w:tc>
        <w:tc>
          <w:tcPr>
            <w:tcW w:w="2060" w:type="dxa"/>
            <w:vAlign w:val="bottom"/>
          </w:tcPr>
          <w:p>
            <w:pPr>
              <w:ind w:left="1520"/>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Unaudited Condensed Consolidated Statements of Shareholders’ Equity</w:t>
              </w:r>
            </w:hyperlink>
          </w:p>
        </w:tc>
        <w:tc>
          <w:tcPr>
            <w:tcW w:w="680" w:type="dxa"/>
            <w:vAlign w:val="bottom"/>
            <w:tcBorders>
              <w:top w:val="single" w:sz="8" w:color="0000EE"/>
            </w:tcBorders>
            <w:gridSpan w:val="2"/>
          </w:tcPr>
          <w:p>
            <w:pPr>
              <w:spacing w:after="0"/>
              <w:rPr>
                <w:sz w:val="24"/>
                <w:szCs w:val="24"/>
                <w:color w:val="auto"/>
              </w:rPr>
            </w:pPr>
          </w:p>
        </w:tc>
        <w:tc>
          <w:tcPr>
            <w:tcW w:w="2100" w:type="dxa"/>
            <w:vAlign w:val="bottom"/>
            <w:gridSpan w:val="2"/>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6</w:t>
            </w: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Unaudited Condensed Consolidated Statements of Cash Flows</w:t>
              </w:r>
            </w:hyperlink>
          </w:p>
        </w:tc>
        <w:tc>
          <w:tcPr>
            <w:tcW w:w="3460" w:type="dxa"/>
            <w:vAlign w:val="bottom"/>
            <w:gridSpan w:val="6"/>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7</w:t>
            </w:r>
          </w:p>
        </w:tc>
      </w:tr>
      <w:tr>
        <w:trPr>
          <w:trHeight w:val="30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Unaudited Condensed Consolidated Financial Statements</w:t>
              </w:r>
            </w:hyperlink>
          </w:p>
        </w:tc>
        <w:tc>
          <w:tcPr>
            <w:tcW w:w="3180" w:type="dxa"/>
            <w:vAlign w:val="bottom"/>
            <w:gridSpan w:val="5"/>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8</w:t>
            </w:r>
          </w:p>
        </w:tc>
      </w:tr>
      <w:tr>
        <w:trPr>
          <w:trHeight w:val="412"/>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060" w:type="dxa"/>
            <w:vAlign w:val="bottom"/>
          </w:tcPr>
          <w:p>
            <w:pPr>
              <w:ind w:left="1520"/>
              <w:spacing w:after="0"/>
              <w:rPr>
                <w:sz w:val="20"/>
                <w:szCs w:val="20"/>
                <w:color w:val="auto"/>
              </w:rPr>
            </w:pPr>
            <w:r>
              <w:rPr>
                <w:rFonts w:ascii="Arial" w:cs="Arial" w:eastAsia="Arial" w:hAnsi="Arial"/>
                <w:sz w:val="18"/>
                <w:szCs w:val="18"/>
                <w:color w:val="auto"/>
              </w:rPr>
              <w:t>21</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7"/>
          </w:tcPr>
          <w:p>
            <w:pPr>
              <w:spacing w:after="0"/>
              <w:rPr>
                <w:sz w:val="24"/>
                <w:szCs w:val="24"/>
                <w:color w:val="auto"/>
              </w:rPr>
            </w:pPr>
          </w:p>
        </w:tc>
        <w:tc>
          <w:tcPr>
            <w:tcW w:w="1520" w:type="dxa"/>
            <w:vAlign w:val="bottom"/>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38</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Controls and Procedures</w:t>
              </w:r>
            </w:hyperlink>
          </w:p>
        </w:tc>
        <w:tc>
          <w:tcPr>
            <w:tcW w:w="6180" w:type="dxa"/>
            <w:vAlign w:val="bottom"/>
            <w:gridSpan w:val="15"/>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39</w:t>
            </w:r>
          </w:p>
        </w:tc>
      </w:tr>
      <w:tr>
        <w:trPr>
          <w:trHeight w:val="41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980" w:type="dxa"/>
            <w:vAlign w:val="bottom"/>
            <w:gridSpan w:val="22"/>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2060" w:type="dxa"/>
            <w:vAlign w:val="bottom"/>
          </w:tcPr>
          <w:p>
            <w:pPr>
              <w:ind w:left="1520"/>
              <w:spacing w:after="0"/>
              <w:rPr>
                <w:sz w:val="20"/>
                <w:szCs w:val="20"/>
                <w:color w:val="auto"/>
              </w:rPr>
            </w:pPr>
            <w:r>
              <w:rPr>
                <w:rFonts w:ascii="Arial" w:cs="Arial" w:eastAsia="Arial" w:hAnsi="Arial"/>
                <w:sz w:val="18"/>
                <w:szCs w:val="18"/>
                <w:color w:val="auto"/>
              </w:rPr>
              <w:t>40</w:t>
            </w:r>
          </w:p>
        </w:tc>
      </w:tr>
      <w:tr>
        <w:trPr>
          <w:trHeight w:val="412"/>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5960" w:type="dxa"/>
            <w:vAlign w:val="bottom"/>
            <w:gridSpan w:val="14"/>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40</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6640" w:type="dxa"/>
            <w:vAlign w:val="bottom"/>
            <w:gridSpan w:val="18"/>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40</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Unregistered Sales of Equity Securities and Use of Proceeds</w:t>
              </w:r>
            </w:hyperlink>
          </w:p>
        </w:tc>
        <w:tc>
          <w:tcPr>
            <w:tcW w:w="3620" w:type="dxa"/>
            <w:vAlign w:val="bottom"/>
            <w:gridSpan w:val="9"/>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41</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Defaults Upon Senior Securities</w:t>
              </w:r>
            </w:hyperlink>
          </w:p>
        </w:tc>
        <w:tc>
          <w:tcPr>
            <w:tcW w:w="5640" w:type="dxa"/>
            <w:vAlign w:val="bottom"/>
            <w:gridSpan w:val="13"/>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42</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Mine Safety Disclosures</w:t>
              </w:r>
            </w:hyperlink>
          </w:p>
        </w:tc>
        <w:tc>
          <w:tcPr>
            <w:tcW w:w="6200" w:type="dxa"/>
            <w:vAlign w:val="bottom"/>
            <w:gridSpan w:val="16"/>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42</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98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2060" w:type="dxa"/>
            <w:vAlign w:val="bottom"/>
          </w:tcPr>
          <w:p>
            <w:pPr>
              <w:ind w:left="1520"/>
              <w:spacing w:after="0"/>
              <w:rPr>
                <w:sz w:val="20"/>
                <w:szCs w:val="20"/>
                <w:color w:val="auto"/>
              </w:rPr>
            </w:pPr>
            <w:r>
              <w:rPr>
                <w:rFonts w:ascii="Arial" w:cs="Arial" w:eastAsia="Arial" w:hAnsi="Arial"/>
                <w:sz w:val="18"/>
                <w:szCs w:val="18"/>
                <w:color w:val="auto"/>
              </w:rPr>
              <w:t>42</w:t>
            </w:r>
          </w:p>
        </w:tc>
      </w:tr>
      <w:tr>
        <w:trPr>
          <w:trHeight w:val="304"/>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6660" w:type="dxa"/>
            <w:vAlign w:val="bottom"/>
            <w:gridSpan w:val="19"/>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43</w:t>
            </w:r>
          </w:p>
        </w:tc>
      </w:tr>
      <w:tr>
        <w:trPr>
          <w:trHeight w:val="304"/>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Signatures</w:t>
              </w:r>
            </w:hyperlink>
          </w:p>
        </w:tc>
        <w:tc>
          <w:tcPr>
            <w:tcW w:w="2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60" w:type="dxa"/>
            <w:vAlign w:val="bottom"/>
          </w:tcPr>
          <w:p>
            <w:pPr>
              <w:ind w:left="15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This Quarterly Report on Form 10-Q (this “Quarterly Report”) contains forward-looking statements within the meaning of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Our actual results or outcomes may differ materially from those anticipated.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spacing w:after="0" w:line="185"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“Risk Factors” in our prospectus dated June 10, 2021 (the “prospectus”), as filed with the Securities and Exchange Commission (the “SEC”) on June 14, 2021 pursuant to Rule 424(b)(4) under the Securities Act, and in this Quarterly Report, as such risk factors may be updated from time to time in our periodic filings with the SEC, which are accessible on the SEC’s website at www.sec.gov. Such risks and uncertainties include, but are not limited to, the following:</w:t>
      </w:r>
    </w:p>
    <w:p>
      <w:pPr>
        <w:spacing w:after="0" w:line="7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dependent on key clients, and the loss of a key client could have an adverse effect on our business and results of operations;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loss of business or non-payment from significant clients could materially affect our results of operations;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cost-effectively acquire new, high-growth clients, which would adversely affect our business, financial condition and results of operations;</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29" w:lineRule="exact"/>
        <w:rPr>
          <w:rFonts w:ascii="Arial" w:cs="Arial" w:eastAsia="Arial" w:hAnsi="Arial"/>
          <w:sz w:val="16"/>
          <w:szCs w:val="16"/>
          <w:color w:val="auto"/>
        </w:rPr>
      </w:pPr>
    </w:p>
    <w:p>
      <w:pPr>
        <w:jc w:val="both"/>
        <w:ind w:left="1080" w:right="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content moderation is a large portion of our business we may be subject to negative publicity or liability or face difficulties retaining and recruiting employees, any of which could have an adverse effect on our reputation, business, financial condition and results of operations;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detect and deter criminal or fraudulent activities or other misconduct by our employees could result in loss of trust from our clients and negative publicity, which would have an adverse effect on our business and results of operations;</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economic and political conditions, especially in the social media and meal delivery and transport industries from which we generate most of our revenue, could adversely affect our business, results of operations, financial condition and prospects;</w:t>
      </w:r>
    </w:p>
    <w:p>
      <w:pPr>
        <w:spacing w:after="0" w:line="51"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heavily dependent upon our international operations, particularly in the Philippines and India, and any disruption to those operations would adversely affect us;</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subject to a variety of U.S. and international laws and regulations, including those regarding privacy and data security, and we or our clients may be subject to regulations related to the handling and transfer of certain types of sensitive and confidential information; any failure to comply with applicable privacy and data security laws and regulations could harm our business, results of operations and financial condition;</w:t>
      </w:r>
    </w:p>
    <w:p>
      <w:pPr>
        <w:spacing w:after="0" w:line="92"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ectPr>
          <w:pgSz w:w="11900" w:h="16838" w:orient="portrait"/>
          <w:cols w:equalWidth="0" w:num="1">
            <w:col w:w="11100"/>
          </w:cols>
          <w:pgMar w:left="320" w:top="48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of operations and ability to grow could be materially affected if we cannot adapt our services and solutions to changes in technology and client expectations;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against the U.S. dollar in the local currencies in the countries in which we operate could have a material effect on our results of operations;</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pricing pressure may reduce our revenue or gross profits and adversely affect our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business depends on our senior management and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management team has limited experience managing a public company;</w:t>
      </w:r>
    </w:p>
    <w:p>
      <w:pPr>
        <w:spacing w:after="0" w:line="130"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ongoing COVID-19 pandemic, including the resulting global economic uncertainty and measures taken in response to the pandemic, has adversely impacted our business, financial condition and results of operations, and may continue to do so;</w:t>
      </w:r>
    </w:p>
    <w:p>
      <w:pPr>
        <w:spacing w:after="0" w:line="51"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affiliates of The Blackstone Group Inc. and our Co-Founders Bryce Maddock and Jaspar Weir control us and their interests may conflict with ours or yours in the future; and</w:t>
      </w:r>
    </w:p>
    <w:p>
      <w:pPr>
        <w:spacing w:after="0" w:line="75" w:lineRule="exact"/>
        <w:rPr>
          <w:rFonts w:ascii="Arial" w:cs="Arial" w:eastAsia="Arial" w:hAnsi="Arial"/>
          <w:sz w:val="18"/>
          <w:szCs w:val="18"/>
          <w:color w:val="auto"/>
        </w:rPr>
      </w:pPr>
    </w:p>
    <w:p>
      <w:pPr>
        <w:jc w:val="both"/>
        <w:ind w:left="1080" w:right="34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control with those stockholders who held our common stock prior to the completion of our initial public offering, and it may depress the trading price of our Class A common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urge you to carefully consider the foregoing summary together with the risks discussed under “Risk Factors” in the prospectus and in Part I, Item 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 in this Quarterly Report.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WEBSITE AND SOCIAL MEDIA DISCLOSURE</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use our website and our social media outlets, such as Facebook, Instagram, Youtube, LinkedIn,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Twitter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at of our investor relations website at ir.taskus.com. The contents of our website and social media channels are not, however, a part of this Quarterly Report.</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vMerge w:val="restart"/>
          </w:tcPr>
          <w:p>
            <w:pPr>
              <w:ind w:left="416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195,927</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107,728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for doubtful accounts of $2,691 and $2,294, respectively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127,867</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87,782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30"/>
        </w:trPr>
        <w:tc>
          <w:tcPr>
            <w:tcW w:w="902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336,371</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211,304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63,060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56,957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230,871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240,295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195,735</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195,735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noncurrent assets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493,247</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496,202</w:t>
            </w:r>
          </w:p>
        </w:tc>
        <w:tc>
          <w:tcPr>
            <w:tcW w:w="0" w:type="dxa"/>
            <w:vAlign w:val="bottom"/>
          </w:tcPr>
          <w:p>
            <w:pPr>
              <w:spacing w:after="0"/>
              <w:rPr>
                <w:sz w:val="1"/>
                <w:szCs w:val="1"/>
                <w:color w:val="auto"/>
              </w:rPr>
            </w:pPr>
          </w:p>
        </w:tc>
      </w:tr>
      <w:tr>
        <w:trPr>
          <w:trHeight w:val="230"/>
        </w:trPr>
        <w:tc>
          <w:tcPr>
            <w:tcW w:w="902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829,618</w:t>
            </w: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707,506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43,494</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41,935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payroll and employee-related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171,690</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21,994</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Current portion of debt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45,984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income tax payable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90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271,393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114,842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liabilities:</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193,525</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198,768</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payroll and employee-related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40,474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50,936</w:t>
            </w:r>
          </w:p>
        </w:tc>
        <w:tc>
          <w:tcPr>
            <w:tcW w:w="0" w:type="dxa"/>
            <w:vAlign w:val="bottom"/>
          </w:tcPr>
          <w:p>
            <w:pPr>
              <w:spacing w:after="0"/>
              <w:rPr>
                <w:sz w:val="1"/>
                <w:szCs w:val="1"/>
                <w:color w:val="auto"/>
              </w:rPr>
            </w:pPr>
          </w:p>
        </w:tc>
      </w:tr>
      <w:tr>
        <w:trPr>
          <w:trHeight w:val="223"/>
        </w:trPr>
        <w:tc>
          <w:tcPr>
            <w:tcW w:w="90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noncurrent liabilities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242,200</w:t>
            </w:r>
          </w:p>
        </w:tc>
        <w:tc>
          <w:tcPr>
            <w:tcW w:w="300" w:type="dxa"/>
            <w:vAlign w:val="bottom"/>
            <w:tcBorders>
              <w:left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257,527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513,593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372,369</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8)</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A Common stock, $0.01 par value. Authorized 2,500,000,000; 15,180,000 and no shares issued and</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as of June 30, 2021 and December 31, 2020, respectively</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20" w:type="dxa"/>
            <w:vAlign w:val="bottom"/>
          </w:tcPr>
          <w:p>
            <w:pPr>
              <w:ind w:left="360"/>
              <w:spacing w:after="0" w:line="201" w:lineRule="exact"/>
              <w:rPr>
                <w:sz w:val="20"/>
                <w:szCs w:val="20"/>
                <w:color w:val="auto"/>
              </w:rPr>
            </w:pPr>
            <w:r>
              <w:rPr>
                <w:rFonts w:ascii="Arial" w:cs="Arial" w:eastAsia="Arial" w:hAnsi="Arial"/>
                <w:sz w:val="18"/>
                <w:szCs w:val="18"/>
                <w:color w:val="auto"/>
                <w:w w:val="95"/>
              </w:rPr>
              <w:t>Class B Convertible Common stock, $0.01 par value. Authorized 250,000,000; 82,110,174 and 91,737,020 shares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540"/>
              <w:spacing w:after="0"/>
              <w:rPr>
                <w:sz w:val="20"/>
                <w:szCs w:val="20"/>
                <w:color w:val="auto"/>
              </w:rPr>
            </w:pPr>
            <w:r>
              <w:rPr>
                <w:rFonts w:ascii="Arial" w:cs="Arial" w:eastAsia="Arial" w:hAnsi="Arial"/>
                <w:sz w:val="18"/>
                <w:szCs w:val="18"/>
                <w:color w:val="auto"/>
              </w:rPr>
              <w:t>issued and outstanding as of June 30, 2021 and December 31, 2020, respectively</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821</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519,817</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398,202</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(206,834)</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(67,398)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7"/>
        </w:trPr>
        <w:tc>
          <w:tcPr>
            <w:tcW w:w="90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9020" w:type="dxa"/>
            <w:vAlign w:val="bottom"/>
          </w:tcPr>
          <w:p>
            <w:pPr>
              <w:ind w:left="1080"/>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316,025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335,137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829,618</w:t>
            </w:r>
          </w:p>
        </w:tc>
        <w:tc>
          <w:tcPr>
            <w:tcW w:w="300" w:type="dxa"/>
            <w:vAlign w:val="bottom"/>
            <w:tcBorders>
              <w:lef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707,506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40"/>
          </w:cols>
          <w:pgMar w:left="320" w:top="486"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55"/>
        </w:trPr>
        <w:tc>
          <w:tcPr>
            <w:tcW w:w="6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103,798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191,828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125,918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177,810</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209,308</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51,440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293,050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423,520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200,876</w:t>
            </w:r>
          </w:p>
        </w:tc>
        <w:tc>
          <w:tcPr>
            <w:tcW w:w="0" w:type="dxa"/>
            <w:vAlign w:val="bottom"/>
          </w:tcPr>
          <w:p>
            <w:pPr>
              <w:spacing w:after="0"/>
              <w:rPr>
                <w:sz w:val="1"/>
                <w:szCs w:val="1"/>
                <w:color w:val="auto"/>
              </w:rPr>
            </w:pPr>
          </w:p>
        </w:tc>
      </w:tr>
      <w:tr>
        <w:trPr>
          <w:trHeight w:val="324"/>
        </w:trPr>
        <w:tc>
          <w:tcPr>
            <w:tcW w:w="6440" w:type="dxa"/>
            <w:vAlign w:val="bottom"/>
          </w:tcPr>
          <w:p>
            <w:pPr>
              <w:spacing w:after="0"/>
              <w:rPr>
                <w:sz w:val="20"/>
                <w:szCs w:val="20"/>
                <w:color w:val="auto"/>
              </w:rPr>
            </w:pPr>
            <w:r>
              <w:rPr>
                <w:rFonts w:ascii="Arial" w:cs="Arial" w:eastAsia="Arial" w:hAnsi="Arial"/>
                <w:sz w:val="18"/>
                <w:szCs w:val="18"/>
                <w:b w:val="1"/>
                <w:bCs w:val="1"/>
                <w:color w:val="auto"/>
              </w:rPr>
              <w:t>Operating (loss) income</w:t>
            </w: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(113,028)</w:t>
            </w: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(90,627)</w:t>
            </w: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15,953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Financing expenses</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3,175</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(112,963)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(92,897)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(7,020)</w:t>
            </w: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(105,943)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per common share, basic and diluted</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44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Weighted-average number of common shares outstanding,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92,957,493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91,737,020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92,347,257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91,737,020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440" w:type="dxa"/>
            <w:vAlign w:val="bottom"/>
          </w:tcPr>
          <w:p>
            <w:pPr>
              <w:spacing w:after="0"/>
              <w:rPr>
                <w:sz w:val="20"/>
                <w:szCs w:val="20"/>
                <w:color w:val="auto"/>
              </w:rPr>
            </w:pPr>
            <w:r>
              <w:rPr>
                <w:rFonts w:ascii="Arial" w:cs="Arial" w:eastAsia="Arial" w:hAnsi="Arial"/>
                <w:sz w:val="18"/>
                <w:szCs w:val="18"/>
                <w:color w:val="auto"/>
                <w:w w:val="95"/>
              </w:rPr>
              <w:t>See accompanying notes to unaudited condensed consolidated financial statements.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40" w:type="dxa"/>
            <w:vAlign w:val="bottom"/>
          </w:tcPr>
          <w:p>
            <w:pPr>
              <w:ind w:left="54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Condensed Consolidated Statements of Comprehensive (Loss)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60" w:type="dxa"/>
            <w:vAlign w:val="bottom"/>
            <w:gridSpan w:val="6"/>
          </w:tcPr>
          <w:p>
            <w:pPr>
              <w:ind w:left="4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56"/>
        </w:trPr>
        <w:tc>
          <w:tcPr>
            <w:tcW w:w="72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209"/>
        </w:trPr>
        <w:tc>
          <w:tcPr>
            <w:tcW w:w="7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(105,943)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(89,436)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6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Retirement benefit reserves</w:t>
            </w:r>
          </w:p>
        </w:tc>
        <w:tc>
          <w:tcPr>
            <w:tcW w:w="180" w:type="dxa"/>
            <w:vAlign w:val="bottom"/>
          </w:tcPr>
          <w:p>
            <w:pPr>
              <w:spacing w:after="0"/>
              <w:rPr>
                <w:sz w:val="18"/>
                <w:szCs w:val="18"/>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w:t>
            </w:r>
          </w:p>
        </w:tc>
      </w:tr>
      <w:tr>
        <w:trPr>
          <w:trHeight w:val="223"/>
        </w:trPr>
        <w:tc>
          <w:tcPr>
            <w:tcW w:w="7260" w:type="dxa"/>
            <w:vAlign w:val="bottom"/>
          </w:tcPr>
          <w:p>
            <w:pPr>
              <w:ind w:left="360"/>
              <w:spacing w:after="0"/>
              <w:rPr>
                <w:sz w:val="20"/>
                <w:szCs w:val="20"/>
                <w:color w:val="auto"/>
              </w:rPr>
            </w:pPr>
            <w:r>
              <w:rPr>
                <w:rFonts w:ascii="Arial" w:cs="Arial" w:eastAsia="Arial" w:hAnsi="Arial"/>
                <w:sz w:val="18"/>
                <w:szCs w:val="18"/>
                <w:b w:val="1"/>
                <w:bCs w:val="1"/>
                <w:color w:val="auto"/>
              </w:rPr>
              <w:t>Comprehensive (loss) income</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(106,435</w:t>
            </w:r>
          </w:p>
        </w:tc>
        <w:tc>
          <w:tcPr>
            <w:tcW w:w="220" w:type="dxa"/>
            <w:vAlign w:val="bottom"/>
          </w:tcPr>
          <w:p>
            <w:pPr>
              <w:jc w:val="right"/>
              <w:ind w:right="14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9,241</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(90,783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10,532</w:t>
            </w:r>
          </w:p>
        </w:tc>
        <w:tc>
          <w:tcPr>
            <w:tcW w:w="60" w:type="dxa"/>
            <w:vAlign w:val="bottom"/>
          </w:tcPr>
          <w:p>
            <w:pPr>
              <w:spacing w:after="0"/>
              <w:rPr>
                <w:sz w:val="19"/>
                <w:szCs w:val="19"/>
                <w:color w:val="auto"/>
              </w:rPr>
            </w:pPr>
          </w:p>
        </w:tc>
      </w:tr>
      <w:tr>
        <w:trPr>
          <w:trHeight w:val="20"/>
        </w:trPr>
        <w:tc>
          <w:tcPr>
            <w:tcW w:w="7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data)</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600" w:type="dxa"/>
            <w:vAlign w:val="bottom"/>
            <w:tcBorders>
              <w:bottom w:val="single" w:sz="8" w:color="auto"/>
            </w:tcBorders>
            <w:gridSpan w:val="12"/>
          </w:tcPr>
          <w:p>
            <w:pPr>
              <w:ind w:left="820"/>
              <w:spacing w:after="0"/>
              <w:rPr>
                <w:sz w:val="20"/>
                <w:szCs w:val="20"/>
                <w:color w:val="auto"/>
              </w:rPr>
            </w:pPr>
            <w:r>
              <w:rPr>
                <w:rFonts w:ascii="Arial" w:cs="Arial" w:eastAsia="Arial" w:hAnsi="Arial"/>
                <w:sz w:val="14"/>
                <w:szCs w:val="14"/>
                <w:b w:val="1"/>
                <w:bCs w:val="1"/>
                <w:color w:val="auto"/>
                <w:w w:val="97"/>
              </w:rPr>
              <w:t>Capital stock and additional paid-in capital</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420" w:type="dxa"/>
            <w:vAlign w:val="bottom"/>
          </w:tcPr>
          <w:p>
            <w:pPr>
              <w:spacing w:after="0"/>
              <w:rPr>
                <w:sz w:val="9"/>
                <w:szCs w:val="9"/>
                <w:color w:val="auto"/>
              </w:rPr>
            </w:pPr>
          </w:p>
        </w:tc>
        <w:tc>
          <w:tcPr>
            <w:tcW w:w="17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60" w:type="dxa"/>
            <w:vAlign w:val="bottom"/>
          </w:tcPr>
          <w:p>
            <w:pPr>
              <w:spacing w:after="0"/>
              <w:rPr>
                <w:sz w:val="9"/>
                <w:szCs w:val="9"/>
                <w:color w:val="auto"/>
              </w:rPr>
            </w:pPr>
          </w:p>
        </w:tc>
        <w:tc>
          <w:tcPr>
            <w:tcW w:w="17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Class B Common stock</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line="20" w:lineRule="exact"/>
              <w:rPr>
                <w:sz w:val="1"/>
                <w:szCs w:val="1"/>
                <w:color w:val="auto"/>
              </w:rPr>
            </w:pP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06"/>
        </w:trPr>
        <w:tc>
          <w:tcPr>
            <w:tcW w:w="3420" w:type="dxa"/>
            <w:vAlign w:val="bottom"/>
          </w:tcPr>
          <w:p>
            <w:pPr>
              <w:spacing w:after="0"/>
              <w:rPr>
                <w:sz w:val="9"/>
                <w:szCs w:val="9"/>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0" w:type="dxa"/>
            <w:vAlign w:val="bottom"/>
            <w:vMerge w:val="restart"/>
          </w:tcPr>
          <w:p>
            <w:pPr>
              <w:spacing w:after="0"/>
              <w:rPr>
                <w:sz w:val="9"/>
                <w:szCs w:val="9"/>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vMerge w:val="restart"/>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91,737,020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$398,202</w:t>
            </w:r>
          </w:p>
        </w:tc>
        <w:tc>
          <w:tcPr>
            <w:tcW w:w="114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rPr>
              <w:t>$ (101,931)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297,500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1,515</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Balance as of March 31, 2020</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91,737,020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917</w:t>
            </w: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398,202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(100,416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8,008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91,737,020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917</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398,202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420" w:type="dxa"/>
            <w:vAlign w:val="bottom"/>
          </w:tcPr>
          <w:p>
            <w:pPr>
              <w:spacing w:after="0"/>
              <w:rPr>
                <w:sz w:val="24"/>
                <w:szCs w:val="24"/>
                <w:color w:val="auto"/>
              </w:rPr>
            </w:pPr>
          </w:p>
        </w:tc>
        <w:tc>
          <w:tcPr>
            <w:tcW w:w="3600" w:type="dxa"/>
            <w:vAlign w:val="bottom"/>
            <w:tcBorders>
              <w:bottom w:val="single" w:sz="8" w:color="auto"/>
            </w:tcBorders>
            <w:gridSpan w:val="12"/>
          </w:tcPr>
          <w:p>
            <w:pPr>
              <w:ind w:left="820"/>
              <w:spacing w:after="0"/>
              <w:rPr>
                <w:sz w:val="20"/>
                <w:szCs w:val="20"/>
                <w:color w:val="auto"/>
              </w:rPr>
            </w:pPr>
            <w:r>
              <w:rPr>
                <w:rFonts w:ascii="Arial" w:cs="Arial" w:eastAsia="Arial" w:hAnsi="Arial"/>
                <w:sz w:val="14"/>
                <w:szCs w:val="14"/>
                <w:b w:val="1"/>
                <w:bCs w:val="1"/>
                <w:color w:val="auto"/>
                <w:w w:val="97"/>
              </w:rPr>
              <w:t>Capital stock and additional paid-in capital</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7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60" w:type="dxa"/>
            <w:vAlign w:val="bottom"/>
          </w:tcPr>
          <w:p>
            <w:pPr>
              <w:spacing w:after="0"/>
              <w:rPr>
                <w:sz w:val="12"/>
                <w:szCs w:val="12"/>
                <w:color w:val="auto"/>
              </w:rPr>
            </w:pPr>
          </w:p>
        </w:tc>
        <w:tc>
          <w:tcPr>
            <w:tcW w:w="17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Class B Common 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06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91,737,020</w:t>
            </w:r>
          </w:p>
        </w:tc>
        <w:tc>
          <w:tcPr>
            <w:tcW w:w="24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917</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$398,202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16,507</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16,507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Balance as of March 31, 2021</w:t>
            </w: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860" w:type="dxa"/>
            <w:vAlign w:val="bottom"/>
            <w:tcBorders>
              <w:bottom w:val="single" w:sz="8" w:color="auto"/>
            </w:tcBorders>
          </w:tcPr>
          <w:p>
            <w:pPr>
              <w:ind w:left="600"/>
              <w:spacing w:after="0" w:line="203"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91,737,020</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w w:val="86"/>
              </w:rPr>
              <w:t>917</w:t>
            </w:r>
          </w:p>
        </w:tc>
        <w:tc>
          <w:tcPr>
            <w:tcW w:w="200" w:type="dxa"/>
            <w:vAlign w:val="bottom"/>
            <w:vMerge w:val="continue"/>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398,202</w:t>
            </w: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(50,891</w:t>
            </w:r>
          </w:p>
        </w:tc>
        <w:tc>
          <w:tcPr>
            <w:tcW w:w="2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2,561</w:t>
            </w:r>
          </w:p>
        </w:tc>
        <w:tc>
          <w:tcPr>
            <w:tcW w:w="2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350,789</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on Class A Common stock in the</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public offering primary offering,</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underwriters’ fees and offering</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5,553,154</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115,900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Conversion of Class B Common stock</w:t>
            </w: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9,626,846</w:t>
            </w:r>
          </w:p>
        </w:tc>
        <w:tc>
          <w:tcPr>
            <w:tcW w:w="16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96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(9,626,846)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(96)</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Distribution of dividends ($0.55 per</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share)</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(105,943)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(105,943)</w:t>
            </w: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8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15,180,000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152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82,110,174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821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519,817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(206,834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7"/>
          </w:tcPr>
          <w:p>
            <w:pPr>
              <w:jc w:val="right"/>
              <w:ind w:right="61"/>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56"/>
        </w:trPr>
        <w:tc>
          <w:tcPr>
            <w:tcW w:w="9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(89,436)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9,523</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10,510</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9,424</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Amortization of debt financing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228</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(gain) on disposal of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1,297</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foreign exchange losses for forward contracts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178</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(10,462)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(2,157)</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(41,195)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(22,007)</w:t>
            </w:r>
          </w:p>
        </w:tc>
      </w:tr>
      <w:tr>
        <w:trPr>
          <w:trHeight w:val="216"/>
        </w:trPr>
        <w:tc>
          <w:tcPr>
            <w:tcW w:w="9100" w:type="dxa"/>
            <w:vAlign w:val="bottom"/>
          </w:tcPr>
          <w:p>
            <w:pPr>
              <w:ind w:left="1080"/>
              <w:spacing w:after="0"/>
              <w:rPr>
                <w:sz w:val="20"/>
                <w:szCs w:val="20"/>
                <w:color w:val="auto"/>
              </w:rPr>
            </w:pPr>
            <w:r>
              <w:rPr>
                <w:rFonts w:ascii="Arial" w:cs="Arial" w:eastAsia="Arial" w:hAnsi="Arial"/>
                <w:sz w:val="18"/>
                <w:szCs w:val="18"/>
                <w:color w:val="auto"/>
              </w:rPr>
              <w:t>Other receivables, prepaid expenses, and other 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(4,398)</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16"/>
        </w:trPr>
        <w:tc>
          <w:tcPr>
            <w:tcW w:w="9100" w:type="dxa"/>
            <w:vAlign w:val="bottom"/>
          </w:tcPr>
          <w:p>
            <w:pPr>
              <w:ind w:left="108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7,976</w:t>
            </w: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payroll and employee-related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150,543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4,003</w:t>
            </w:r>
          </w:p>
        </w:tc>
      </w:tr>
      <w:tr>
        <w:trPr>
          <w:trHeight w:val="216"/>
        </w:trPr>
        <w:tc>
          <w:tcPr>
            <w:tcW w:w="9100" w:type="dxa"/>
            <w:vAlign w:val="bottom"/>
          </w:tcPr>
          <w:p>
            <w:pPr>
              <w:ind w:left="1080"/>
              <w:spacing w:after="0"/>
              <w:rPr>
                <w:sz w:val="20"/>
                <w:szCs w:val="20"/>
                <w:color w:val="auto"/>
              </w:rPr>
            </w:pPr>
            <w:r>
              <w:rPr>
                <w:rFonts w:ascii="Arial" w:cs="Arial" w:eastAsia="Arial" w:hAnsi="Arial"/>
                <w:sz w:val="18"/>
                <w:szCs w:val="18"/>
                <w:color w:val="auto"/>
              </w:rPr>
              <w:t>Income tax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2,896</w:t>
            </w: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970</w:t>
            </w:r>
          </w:p>
        </w:tc>
      </w:tr>
      <w:tr>
        <w:trPr>
          <w:trHeight w:val="216"/>
        </w:trPr>
        <w:tc>
          <w:tcPr>
            <w:tcW w:w="910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540</w:t>
            </w:r>
          </w:p>
        </w:tc>
      </w:tr>
      <w:tr>
        <w:trPr>
          <w:trHeight w:val="223"/>
        </w:trPr>
        <w:tc>
          <w:tcPr>
            <w:tcW w:w="9100" w:type="dxa"/>
            <w:vAlign w:val="bottom"/>
            <w:tcBorders>
              <w:top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120" w:type="dxa"/>
            <w:vAlign w:val="bottom"/>
            <w:tcBorders>
              <w:top w:val="single" w:sz="8" w:color="CCEEFF"/>
            </w:tcBorders>
            <w:shd w:val="clear" w:color="auto" w:fill="CCEEFF"/>
          </w:tcPr>
          <w:p>
            <w:pPr>
              <w:spacing w:after="0"/>
              <w:rPr>
                <w:sz w:val="19"/>
                <w:szCs w:val="19"/>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(18,815)</w:t>
            </w:r>
          </w:p>
        </w:tc>
      </w:tr>
      <w:tr>
        <w:trPr>
          <w:trHeight w:val="223"/>
        </w:trPr>
        <w:tc>
          <w:tcPr>
            <w:tcW w:w="91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(23,453</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(18,815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Proceeds from borrowing, Revolving credit facility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39,878</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Payments for debt financing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net of underwriters’ fees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Distribution of dividends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9100" w:type="dxa"/>
            <w:vAlign w:val="bottom"/>
            <w:tcBorders>
              <w:top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39,353</w:t>
            </w:r>
          </w:p>
        </w:tc>
        <w:tc>
          <w:tcPr>
            <w:tcW w:w="120" w:type="dxa"/>
            <w:vAlign w:val="bottom"/>
            <w:tcBorders>
              <w:top w:val="single" w:sz="8" w:color="CCEEFF"/>
            </w:tcBorders>
            <w:shd w:val="clear" w:color="auto" w:fill="CCEEFF"/>
          </w:tcPr>
          <w:p>
            <w:pPr>
              <w:spacing w:after="0"/>
              <w:rPr>
                <w:sz w:val="19"/>
                <w:szCs w:val="19"/>
                <w:color w:val="auto"/>
              </w:rPr>
            </w:pPr>
          </w:p>
        </w:tc>
      </w:tr>
      <w:tr>
        <w:trPr>
          <w:trHeight w:val="223"/>
        </w:trPr>
        <w:tc>
          <w:tcPr>
            <w:tcW w:w="9100" w:type="dxa"/>
            <w:vAlign w:val="bottom"/>
          </w:tcPr>
          <w:p>
            <w:pPr>
              <w:ind w:left="144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89,957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43,141</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1,429</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107,728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37,541</w:t>
            </w:r>
          </w:p>
        </w:tc>
      </w:tr>
      <w:tr>
        <w:trPr>
          <w:trHeight w:val="223"/>
        </w:trPr>
        <w:tc>
          <w:tcPr>
            <w:tcW w:w="9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195,927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82,111</w:t>
            </w:r>
          </w:p>
        </w:tc>
        <w:tc>
          <w:tcPr>
            <w:tcW w:w="120" w:type="dxa"/>
            <w:vAlign w:val="bottom"/>
            <w:tcBorders>
              <w:top w:val="single" w:sz="8" w:color="CCEEFF"/>
            </w:tcBorders>
            <w:shd w:val="clear" w:color="auto" w:fill="CCEEFF"/>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TASKUS,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 and Organization</w:t>
      </w:r>
    </w:p>
    <w:p>
      <w:pPr>
        <w:spacing w:after="0" w:line="121" w:lineRule="exact"/>
        <w:rPr>
          <w:sz w:val="20"/>
          <w:szCs w:val="20"/>
          <w:color w:val="auto"/>
        </w:rPr>
      </w:pPr>
    </w:p>
    <w:p>
      <w:pPr>
        <w:ind w:left="560"/>
        <w:spacing w:after="0" w:line="301" w:lineRule="auto"/>
        <w:rPr>
          <w:sz w:val="20"/>
          <w:szCs w:val="20"/>
          <w:color w:val="auto"/>
        </w:rPr>
      </w:pPr>
      <w:r>
        <w:rPr>
          <w:rFonts w:ascii="Arial" w:cs="Arial" w:eastAsia="Arial" w:hAnsi="Arial"/>
          <w:sz w:val="16"/>
          <w:szCs w:val="16"/>
          <w:color w:val="auto"/>
        </w:rPr>
        <w:t>TaskUs, Inc. (formerly known as TU TopCo, Inc.) (“TaskUs” and, together with its subsidiaries, the “Company,” “we,” “us” or “our”) was formed by investment funds affiliated with The Blackstone Group Inc. (formerly known as The Blackstone Group L.P.) (“Blackstone”) as a vehicle for the acquisition of TaskUs Holdings, Inc. (formerly known as TaskUs, Inc.) (“TaskUs Holdings”) on October 1, 2018 (the “Blackstone Acquisition”). Prior to the Blackstone Acquisition, TaskUs had no operations and TaskUs Holdings operated as a standalone entity.</w:t>
      </w:r>
    </w:p>
    <w:p>
      <w:pPr>
        <w:spacing w:after="0" w:line="49"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color w:val="auto"/>
        </w:rPr>
        <w:t>In connection with the Company’s June 2021 initial public offering (“IPO”), on June 10, 2021, the Company amended and restated its certificate of incorporation to effect a ten-for-one forward stock split of its outstanding common stock and authorized two classes of ownership interests. See Note 11, “Shareholders’ Equity” for additional information.</w:t>
      </w:r>
    </w:p>
    <w:p>
      <w:pPr>
        <w:spacing w:after="0" w:line="76" w:lineRule="exact"/>
        <w:rPr>
          <w:sz w:val="20"/>
          <w:szCs w:val="20"/>
          <w:color w:val="auto"/>
        </w:rPr>
      </w:pPr>
    </w:p>
    <w:p>
      <w:pPr>
        <w:ind w:left="560" w:right="120"/>
        <w:spacing w:after="0" w:line="279" w:lineRule="auto"/>
        <w:rPr>
          <w:sz w:val="20"/>
          <w:szCs w:val="20"/>
          <w:color w:val="auto"/>
        </w:rPr>
      </w:pPr>
      <w:r>
        <w:rPr>
          <w:rFonts w:ascii="Arial" w:cs="Arial" w:eastAsia="Arial" w:hAnsi="Arial"/>
          <w:sz w:val="17"/>
          <w:szCs w:val="17"/>
          <w:color w:val="auto"/>
        </w:rPr>
        <w:t>We are a digital outsourcer focused on serving high-growth technology companies to represent, protect and grow their brands. Our global, omni-channel delivery model is focused on Digital Customer Experience, Content Security and artificial intelligence (“AI”) Operations. We have designed our platform to enable us to rapidly scale and benefit from our clients’ growth. Through our agile and responsive operational model, we deliver services from multiple delivery sites that span globally from the United States, Philippines, and other parts of the world.</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major service offerings are described in more detail below:</w:t>
      </w:r>
    </w:p>
    <w:p>
      <w:pPr>
        <w:spacing w:after="0" w:line="131" w:lineRule="exact"/>
        <w:rPr>
          <w:sz w:val="20"/>
          <w:szCs w:val="20"/>
          <w:color w:val="auto"/>
        </w:rPr>
      </w:pPr>
    </w:p>
    <w:p>
      <w:pPr>
        <w:ind w:left="1080" w:right="100" w:hanging="424"/>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Digital Customer Experience</w:t>
      </w:r>
      <w:r>
        <w:rPr>
          <w:rFonts w:ascii="Arial" w:cs="Arial" w:eastAsia="Arial" w:hAnsi="Arial"/>
          <w:sz w:val="18"/>
          <w:szCs w:val="18"/>
          <w:color w:val="auto"/>
        </w:rPr>
        <w:t>: Principally consists of omni-channel customer care services primarily delivered through digital (non-voice)</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Content Security</w:t>
      </w:r>
      <w:r>
        <w:rPr>
          <w:rFonts w:ascii="Arial" w:cs="Arial" w:eastAsia="Arial" w:hAnsi="Arial"/>
          <w:sz w:val="18"/>
          <w:szCs w:val="18"/>
          <w:color w:val="auto"/>
        </w:rPr>
        <w:t>: Principally consists of review and disposition of user and advertiser generated content for purposes which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removal or labeling of policy violating, offensive or misleading content.</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AI Operation</w:t>
      </w:r>
      <w:r>
        <w:rPr>
          <w:rFonts w:ascii="Arial" w:cs="Arial" w:eastAsia="Arial" w:hAnsi="Arial"/>
          <w:sz w:val="18"/>
          <w:szCs w:val="18"/>
          <w:color w:val="auto"/>
        </w:rPr>
        <w:t>s: Principally consists of data labeling, annotation and transcription services performed for the purpose of training and tuning</w:t>
      </w:r>
      <w:r>
        <w:rPr>
          <w:rFonts w:ascii="Arial" w:cs="Arial" w:eastAsia="Arial" w:hAnsi="Arial"/>
          <w:sz w:val="18"/>
          <w:szCs w:val="18"/>
          <w:i w:val="1"/>
          <w:iCs w:val="1"/>
          <w:color w:val="auto"/>
        </w:rPr>
        <w:t xml:space="preserve"> </w:t>
      </w:r>
      <w:r>
        <w:rPr>
          <w:rFonts w:ascii="Arial" w:cs="Arial" w:eastAsia="Arial" w:hAnsi="Arial"/>
          <w:sz w:val="18"/>
          <w:szCs w:val="18"/>
          <w:color w:val="auto"/>
        </w:rPr>
        <w:t>AI algorithms through the process of machine learning.</w:t>
      </w:r>
    </w:p>
    <w:p>
      <w:pPr>
        <w:spacing w:after="0" w:line="274" w:lineRule="exact"/>
        <w:rPr>
          <w:rFonts w:ascii="Arial" w:cs="Arial" w:eastAsia="Arial" w:hAnsi="Arial"/>
          <w:sz w:val="18"/>
          <w:szCs w:val="18"/>
          <w:color w:val="auto"/>
        </w:rPr>
      </w:pPr>
    </w:p>
    <w:p>
      <w:pPr>
        <w:ind w:left="380" w:hanging="26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rFonts w:ascii="Arial" w:cs="Arial" w:eastAsia="Arial" w:hAnsi="Arial"/>
          <w:sz w:val="18"/>
          <w:szCs w:val="18"/>
          <w:b w:val="1"/>
          <w:bCs w:val="1"/>
          <w:i w:val="1"/>
          <w:iCs w:val="1"/>
          <w:color w:val="auto"/>
        </w:rPr>
      </w:pPr>
    </w:p>
    <w:p>
      <w:pPr>
        <w:ind w:left="1100" w:right="4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accounting and reporting policies of the Company are in accordance with accounting principles generally accepted in the United States of America (“US GAAP”). Our prospectus dated June 10, 2021 (the “prospectus”), as filed with the Securities and Exchange Commission (the “SEC”) on June 14, 2021, includes a discussion of the significant accounting policies used in the preparation of our consolidated financial statements. There were no material changes to our significant accounting policies during the six months ended June 30, 2021.</w:t>
      </w:r>
    </w:p>
    <w:p>
      <w:pPr>
        <w:spacing w:after="0" w:line="79" w:lineRule="exact"/>
        <w:rPr>
          <w:rFonts w:ascii="Arial" w:cs="Arial" w:eastAsia="Arial" w:hAnsi="Arial"/>
          <w:sz w:val="18"/>
          <w:szCs w:val="18"/>
          <w:b w:val="1"/>
          <w:bCs w:val="1"/>
          <w:i w:val="1"/>
          <w:iCs w:val="1"/>
          <w:color w:val="auto"/>
        </w:rPr>
      </w:pPr>
    </w:p>
    <w:p>
      <w:pPr>
        <w:ind w:left="1100" w:right="10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2020 included in our prospectus. In the opinion of the Company, the accompanying unaudited condensed consolidated financial statements contain all adjustments, consisting of only normal recurring adjustments, necessary for a fair statement of its financial position as of June 30, 2021 and its results of operations, comprehensive (loss) income and shareholders’ equity for the three and six months ended June 30, 2021 and 2020, and cash flows for the six months ended June 30, 2021 and 2020. The condensed consolidated balance sheet at December 31, 2020, was derived from audited annual financial statements but does not contain all of the footnote disclosures from the annual financial statements.</w:t>
      </w:r>
    </w:p>
    <w:p>
      <w:pPr>
        <w:spacing w:after="0" w:line="77" w:lineRule="exact"/>
        <w:rPr>
          <w:rFonts w:ascii="Arial" w:cs="Arial" w:eastAsia="Arial" w:hAnsi="Arial"/>
          <w:sz w:val="18"/>
          <w:szCs w:val="18"/>
          <w:b w:val="1"/>
          <w:bCs w:val="1"/>
          <w:i w:val="1"/>
          <w:iCs w:val="1"/>
          <w:color w:val="auto"/>
        </w:rPr>
      </w:pPr>
    </w:p>
    <w:p>
      <w:pPr>
        <w:ind w:left="1100" w:right="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financial statements and related notes to the financial statements give retroactive effect to the stock split for all periods presented. See Note 11, “ Shareholders’ Equity” for additional information.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117" w:lineRule="exact"/>
        <w:rPr>
          <w:rFonts w:ascii="Arial" w:cs="Arial" w:eastAsia="Arial" w:hAnsi="Arial"/>
          <w:sz w:val="18"/>
          <w:szCs w:val="18"/>
          <w:b w:val="1"/>
          <w:bCs w:val="1"/>
          <w:i w:val="1"/>
          <w:iCs w:val="1"/>
          <w:color w:val="auto"/>
        </w:rPr>
      </w:pPr>
    </w:p>
    <w:p>
      <w:pPr>
        <w:ind w:left="1100"/>
        <w:spacing w:after="0" w:line="269"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valuation of forward contracts receivable; valuation of equity based compensation; valuation and impairment of intangibles and goodwill and reserves for income tax uncertainties and other contingencies. As of June 30, 2021, the impact of the novel coronavirus (“COVID-19”) pandemic, including as a result of new strains and variants of the virus, continues to unfold. As a result, many of our estimates and assumptions required increased judgement and carry a higher degree of variability and volatility. We continue to closely monitor the outbreak and the impact on our operations and liquidity. As events continue to evolve and additional information becomes available, our estimates may change materially in the future.</w:t>
      </w:r>
    </w:p>
    <w:p>
      <w:pPr>
        <w:spacing w:after="0" w:line="330" w:lineRule="exact"/>
        <w:rPr>
          <w:rFonts w:ascii="Arial" w:cs="Arial" w:eastAsia="Arial" w:hAnsi="Arial"/>
          <w:sz w:val="18"/>
          <w:szCs w:val="18"/>
          <w:b w:val="1"/>
          <w:bCs w:val="1"/>
          <w:i w:val="1"/>
          <w:iCs w:val="1"/>
          <w:color w:val="auto"/>
        </w:rPr>
      </w:pPr>
    </w:p>
    <w:p>
      <w:pPr>
        <w:ind w:left="1080" w:hanging="532"/>
        <w:spacing w:after="0"/>
        <w:tabs>
          <w:tab w:leader="none" w:pos="10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117" w:lineRule="exact"/>
        <w:rPr>
          <w:rFonts w:ascii="Arial" w:cs="Arial" w:eastAsia="Arial" w:hAnsi="Arial"/>
          <w:sz w:val="18"/>
          <w:szCs w:val="18"/>
          <w:b w:val="1"/>
          <w:bCs w:val="1"/>
          <w:i w:val="1"/>
          <w:iCs w:val="1"/>
          <w:color w:val="auto"/>
        </w:rPr>
      </w:pPr>
    </w:p>
    <w:p>
      <w:pPr>
        <w:ind w:left="1100" w:right="4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332" w:lineRule="exact"/>
        <w:rPr>
          <w:rFonts w:ascii="Arial" w:cs="Arial" w:eastAsia="Arial" w:hAnsi="Arial"/>
          <w:sz w:val="18"/>
          <w:szCs w:val="18"/>
          <w:b w:val="1"/>
          <w:bCs w:val="1"/>
          <w:i w:val="1"/>
          <w:iCs w:val="1"/>
          <w:color w:val="auto"/>
        </w:rPr>
      </w:pPr>
    </w:p>
    <w:p>
      <w:pPr>
        <w:ind w:left="1080" w:hanging="532"/>
        <w:spacing w:after="0"/>
        <w:tabs>
          <w:tab w:leader="none" w:pos="10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Risk</w:t>
      </w:r>
    </w:p>
    <w:p>
      <w:pPr>
        <w:spacing w:after="0" w:line="117" w:lineRule="exact"/>
        <w:rPr>
          <w:rFonts w:ascii="Arial" w:cs="Arial" w:eastAsia="Arial" w:hAnsi="Arial"/>
          <w:sz w:val="18"/>
          <w:szCs w:val="18"/>
          <w:b w:val="1"/>
          <w:bCs w:val="1"/>
          <w:i w:val="1"/>
          <w:iCs w:val="1"/>
          <w:color w:val="auto"/>
        </w:rPr>
      </w:pPr>
    </w:p>
    <w:p>
      <w:pPr>
        <w:ind w:left="1100" w:right="10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Most of the Company’s customers are located in the United States. Customers outside of the United States are concentrated in Europe and Canada.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20"/>
        <w:spacing w:after="0" w:line="277" w:lineRule="auto"/>
        <w:rPr>
          <w:sz w:val="20"/>
          <w:szCs w:val="20"/>
          <w:color w:val="auto"/>
        </w:rPr>
      </w:pPr>
      <w:r>
        <w:rPr>
          <w:rFonts w:ascii="Arial" w:cs="Arial" w:eastAsia="Arial" w:hAnsi="Arial"/>
          <w:sz w:val="18"/>
          <w:szCs w:val="18"/>
          <w:color w:val="auto"/>
        </w:rPr>
        <w:t>For the three and six months ended June 30, 2021 and 2020, the following customers represented greater than 10% of the Company’s service revenue: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w w:val="94"/>
              </w:rPr>
              <w:t>Service revenue percentage</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Customer</w:t>
            </w:r>
          </w:p>
        </w:tc>
        <w:tc>
          <w:tcPr>
            <w:tcW w:w="600" w:type="dxa"/>
            <w:vAlign w:val="bottom"/>
            <w:vMerge w:val="restart"/>
          </w:tcPr>
          <w:p>
            <w:pPr>
              <w:spacing w:after="0"/>
              <w:rPr>
                <w:sz w:val="13"/>
                <w:szCs w:val="13"/>
                <w:color w:val="auto"/>
              </w:rPr>
            </w:pPr>
          </w:p>
        </w:tc>
        <w:tc>
          <w:tcPr>
            <w:tcW w:w="20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2100" w:type="dxa"/>
            <w:vAlign w:val="bottom"/>
            <w:tcBorders>
              <w:bottom w:val="single" w:sz="8" w:color="auto"/>
            </w:tcBorders>
            <w:gridSpan w:val="3"/>
          </w:tcPr>
          <w:p>
            <w:pPr>
              <w:jc w:val="right"/>
              <w:ind w:right="156"/>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CCEEFF"/>
            </w:tcBorders>
            <w:vMerge w:val="continue"/>
          </w:tcPr>
          <w:p>
            <w:pPr>
              <w:spacing w:after="0"/>
              <w:rPr>
                <w:sz w:val="13"/>
                <w:szCs w:val="13"/>
                <w:color w:val="auto"/>
              </w:rPr>
            </w:pPr>
          </w:p>
        </w:tc>
        <w:tc>
          <w:tcPr>
            <w:tcW w:w="62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33%</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B</w:t>
            </w: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0"/>
                <w:szCs w:val="20"/>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16%</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of June 30, 2021 and December 31, 2020, the following customers represented greater than 10% of the Company’s accounts receivable:</w:t>
      </w:r>
    </w:p>
    <w:p>
      <w:pPr>
        <w:spacing w:after="0" w:line="28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2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Customer</w:t>
            </w:r>
          </w:p>
        </w:tc>
        <w:tc>
          <w:tcPr>
            <w:tcW w:w="900" w:type="dxa"/>
            <w:vAlign w:val="bottom"/>
            <w:vMerge w:val="restart"/>
          </w:tcPr>
          <w:p>
            <w:pPr>
              <w:spacing w:after="0"/>
              <w:rPr>
                <w:sz w:val="14"/>
                <w:szCs w:val="14"/>
                <w:color w:val="auto"/>
              </w:rPr>
            </w:pPr>
          </w:p>
        </w:tc>
        <w:tc>
          <w:tcPr>
            <w:tcW w:w="3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Accounts receivable percentage</w:t>
            </w:r>
          </w:p>
        </w:tc>
        <w:tc>
          <w:tcPr>
            <w:tcW w:w="0" w:type="dxa"/>
            <w:vAlign w:val="bottom"/>
          </w:tcPr>
          <w:p>
            <w:pPr>
              <w:spacing w:after="0"/>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880" w:type="dxa"/>
            <w:vAlign w:val="bottom"/>
            <w:tcBorders>
              <w:top w:val="single" w:sz="8" w:color="auto"/>
            </w:tcBorders>
            <w:gridSpan w:val="2"/>
          </w:tcPr>
          <w:p>
            <w:pPr>
              <w:jc w:val="right"/>
              <w:ind w:right="1040"/>
              <w:spacing w:after="0" w:line="155" w:lineRule="exact"/>
              <w:rPr>
                <w:sz w:val="20"/>
                <w:szCs w:val="20"/>
                <w:color w:val="auto"/>
              </w:rPr>
            </w:pPr>
            <w:r>
              <w:rPr>
                <w:rFonts w:ascii="Arial" w:cs="Arial" w:eastAsia="Arial" w:hAnsi="Arial"/>
                <w:sz w:val="14"/>
                <w:szCs w:val="14"/>
                <w:b w:val="1"/>
                <w:bCs w:val="1"/>
                <w:color w:val="auto"/>
                <w:w w:val="90"/>
              </w:rPr>
              <w:t>June 30, 2021</w:t>
            </w:r>
          </w:p>
        </w:tc>
        <w:tc>
          <w:tcPr>
            <w:tcW w:w="11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December 31, 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900" w:type="dxa"/>
            <w:vAlign w:val="bottom"/>
            <w:vMerge w:val="continue"/>
            <w:shd w:val="clear" w:color="auto" w:fill="CCEEFF"/>
          </w:tcPr>
          <w:p>
            <w:pPr>
              <w:spacing w:after="0"/>
              <w:rPr>
                <w:sz w:val="18"/>
                <w:szCs w:val="18"/>
                <w:color w:val="auto"/>
              </w:rPr>
            </w:pPr>
          </w:p>
        </w:tc>
        <w:tc>
          <w:tcPr>
            <w:tcW w:w="18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B</w:t>
            </w:r>
          </w:p>
        </w:tc>
        <w:tc>
          <w:tcPr>
            <w:tcW w:w="1880" w:type="dxa"/>
            <w:vAlign w:val="bottom"/>
            <w:gridSpan w:val="2"/>
          </w:tcPr>
          <w:p>
            <w:pPr>
              <w:jc w:val="right"/>
              <w:ind w:right="88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100" w:right="60"/>
        <w:spacing w:after="0" w:line="277" w:lineRule="auto"/>
        <w:rPr>
          <w:sz w:val="20"/>
          <w:szCs w:val="20"/>
          <w:color w:val="auto"/>
        </w:rPr>
      </w:pPr>
      <w:r>
        <w:rPr>
          <w:rFonts w:ascii="Arial" w:cs="Arial" w:eastAsia="Arial" w:hAnsi="Arial"/>
          <w:sz w:val="18"/>
          <w:szCs w:val="18"/>
          <w:color w:val="auto"/>
        </w:rPr>
        <w:t>The Company’s principal operations, including the majority of its employees and the fixed assets owned by its wholly owned subsidiaries, are located in the Philippines.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117" w:lineRule="exact"/>
        <w:rPr>
          <w:rFonts w:ascii="Arial" w:cs="Arial" w:eastAsia="Arial" w:hAnsi="Arial"/>
          <w:sz w:val="18"/>
          <w:szCs w:val="18"/>
          <w:b w:val="1"/>
          <w:bCs w:val="1"/>
          <w:i w:val="1"/>
          <w:iCs w:val="1"/>
          <w:color w:val="auto"/>
        </w:rPr>
      </w:pPr>
    </w:p>
    <w:p>
      <w:pPr>
        <w:ind w:left="1100" w:right="20"/>
        <w:spacing w:after="0" w:line="301"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49" w:lineRule="exact"/>
        <w:rPr>
          <w:rFonts w:ascii="Arial" w:cs="Arial" w:eastAsia="Arial" w:hAnsi="Arial"/>
          <w:sz w:val="18"/>
          <w:szCs w:val="18"/>
          <w:b w:val="1"/>
          <w:bCs w:val="1"/>
          <w:i w:val="1"/>
          <w:iCs w:val="1"/>
          <w:color w:val="auto"/>
        </w:rPr>
      </w:pPr>
    </w:p>
    <w:p>
      <w:pPr>
        <w:ind w:left="1100"/>
        <w:spacing w:after="0"/>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Recently adopted accounting pronouncements</w:t>
      </w:r>
    </w:p>
    <w:p>
      <w:pPr>
        <w:spacing w:after="0" w:line="117" w:lineRule="exact"/>
        <w:rPr>
          <w:rFonts w:ascii="Arial" w:cs="Arial" w:eastAsia="Arial" w:hAnsi="Arial"/>
          <w:sz w:val="18"/>
          <w:szCs w:val="18"/>
          <w:b w:val="1"/>
          <w:bCs w:val="1"/>
          <w:i w:val="1"/>
          <w:iCs w:val="1"/>
          <w:color w:val="auto"/>
        </w:rPr>
      </w:pPr>
    </w:p>
    <w:p>
      <w:pPr>
        <w:ind w:left="110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December 2019, the Financial Accounting Standards Board (the “FASB”) issued Accounting Standards Update (“ASU”) 2019-12, Income Taxes (Topic 740): Simplifying the Accounting for Income Taxes (“ASU 2019-12”). ASU 2019-12 was issued as a means to reduce the complexity of accounting for income taxes for those entities that fall within the scope of the accounting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adopted this standard in the first quarter of 2021; the adoption did not have a material impact on its consolidated financial statements.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86"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117" w:lineRule="exact"/>
        <w:rPr>
          <w:sz w:val="20"/>
          <w:szCs w:val="20"/>
          <w:color w:val="auto"/>
        </w:rPr>
      </w:pPr>
    </w:p>
    <w:p>
      <w:pPr>
        <w:ind w:left="1100" w:right="80"/>
        <w:spacing w:after="0" w:line="255" w:lineRule="auto"/>
        <w:rPr>
          <w:sz w:val="20"/>
          <w:szCs w:val="20"/>
          <w:color w:val="auto"/>
        </w:rPr>
      </w:pPr>
      <w:r>
        <w:rPr>
          <w:rFonts w:ascii="Arial" w:cs="Arial" w:eastAsia="Arial" w:hAnsi="Arial"/>
          <w:sz w:val="18"/>
          <w:szCs w:val="18"/>
          <w:color w:val="auto"/>
        </w:rPr>
        <w:t>In February 2016, the FASB issued ASU 2016-02, Leases (Topic 842), which supersedes FASB Accounting Standards Codification (ASC), Leases (Topic 840). The standard is intended to increase the transparency and comparability among organizations by recognizing lease assets and lease liabilities on the balance sheets and disclosing key information about leasing arrangements. In June 2020, the FASB postponed the effective date for ASC 842 for private companies. This ASU will be effective for the Company beginning in fiscal year 2022, with early adoption permitted. The Company is currently evaluating the impact of adopting ASU 2016-02 on the Company’s consolidated financial statements.</w:t>
      </w:r>
    </w:p>
    <w:p>
      <w:pPr>
        <w:spacing w:after="0" w:line="84" w:lineRule="exact"/>
        <w:rPr>
          <w:sz w:val="20"/>
          <w:szCs w:val="20"/>
          <w:color w:val="auto"/>
        </w:rPr>
      </w:pPr>
    </w:p>
    <w:p>
      <w:pPr>
        <w:ind w:left="1100" w:right="20"/>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 effective for the Company beginning in fiscal year 2023 with early adoption is permitted. The Company is currently evaluating the impact of adopting ASU 2016-13 on the Company’s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Our revenues are derived from contracts with customers related to business outsourcing services that we provide. The following table presents the breakdown of the Company’s revenues by service offering:</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55"/>
        </w:trPr>
        <w:tc>
          <w:tcPr>
            <w:tcW w:w="5960" w:type="dxa"/>
            <w:vAlign w:val="bottom"/>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72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Customer Experience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113,566</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71,345</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$ 213,277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$ 136,562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Content Security</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42,995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31,076</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79,122</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57,614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AI Operations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11,979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40,494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22,653</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Service Revenue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180,022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114,400</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$ 332,893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$ 216,829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 majority of the Company’s revenues are derived from contracts with customers who are located in the United States. However, we deliver our services from geographies outside of the United States. The following table presents the breakdown of the Company’s revenues by geographical location, based on where the services are provided from:</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840" w:type="dxa"/>
            <w:vAlign w:val="bottom"/>
            <w:gridSpan w:val="5"/>
          </w:tcPr>
          <w:p>
            <w:pPr>
              <w:ind w:left="8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55"/>
        </w:trPr>
        <w:tc>
          <w:tcPr>
            <w:tcW w:w="312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72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Philippines</w:t>
            </w:r>
          </w:p>
        </w:tc>
        <w:tc>
          <w:tcPr>
            <w:tcW w:w="2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95,681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62,842</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$ 180,259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$ 118,716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United States</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58,930</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43,429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109,687</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84,074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25,411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42,947</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b w:val="1"/>
                <w:bCs w:val="1"/>
                <w:color w:val="auto"/>
              </w:rPr>
              <w:t>Service Revenue</w:t>
            </w:r>
          </w:p>
        </w:tc>
        <w:tc>
          <w:tcPr>
            <w:tcW w:w="2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180,022</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114,400</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$ 332,893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$ 216,829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120" w:type="dxa"/>
            <w:vAlign w:val="bottom"/>
          </w:tcPr>
          <w:p>
            <w:pPr>
              <w:spacing w:after="0"/>
              <w:rPr>
                <w:sz w:val="24"/>
                <w:szCs w:val="24"/>
                <w:color w:val="auto"/>
              </w:rPr>
            </w:pPr>
          </w:p>
        </w:tc>
        <w:tc>
          <w:tcPr>
            <w:tcW w:w="2840" w:type="dxa"/>
            <w:vAlign w:val="bottom"/>
          </w:tcPr>
          <w:p>
            <w:pPr>
              <w:jc w:val="right"/>
              <w:ind w:right="71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Accounts receivable, net of allowances includes $71.7 million and $47.4 million of unbilled revenues as of June 30, 2021 and December 31,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Forward Contract Receivable</w:t>
      </w:r>
    </w:p>
    <w:p>
      <w:pPr>
        <w:spacing w:after="0" w:line="121" w:lineRule="exact"/>
        <w:rPr>
          <w:sz w:val="20"/>
          <w:szCs w:val="20"/>
          <w:color w:val="auto"/>
        </w:rPr>
      </w:pPr>
    </w:p>
    <w:p>
      <w:pPr>
        <w:ind w:left="560" w:right="100"/>
        <w:spacing w:after="0" w:line="290" w:lineRule="auto"/>
        <w:rPr>
          <w:sz w:val="20"/>
          <w:szCs w:val="20"/>
          <w:color w:val="auto"/>
        </w:rPr>
      </w:pPr>
      <w:r>
        <w:rPr>
          <w:rFonts w:ascii="Arial" w:cs="Arial" w:eastAsia="Arial" w:hAnsi="Arial"/>
          <w:sz w:val="16"/>
          <w:szCs w:val="16"/>
          <w:color w:val="auto"/>
        </w:rPr>
        <w:t>The Company transacts business in various foreign currencies and has international sales and expenses denominated in foreign currencies, subjecting the Company to foreign currency exchange rate risk. During 2021 and 2020, the Company entered into foreign currency exchange rate forward contracts, with a commercial bank as the counterparty, with maturities of generally 12 months or less, to reduce the volatility of cash flows primarily related to forecasted costs denominated in Philippine pesos.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(income) expense in the consolidated statements of operations.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three months ended June 30, 2021 and 2020 the Company settled forward contracts with total notional amounts of approximately</w:t>
      </w:r>
    </w:p>
    <w:p>
      <w:pPr>
        <w:spacing w:after="0" w:line="35" w:lineRule="exact"/>
        <w:rPr>
          <w:sz w:val="20"/>
          <w:szCs w:val="20"/>
          <w:color w:val="auto"/>
        </w:rPr>
      </w:pPr>
    </w:p>
    <w:p>
      <w:pPr>
        <w:ind w:left="560" w:right="140"/>
        <w:spacing w:after="0" w:line="271" w:lineRule="auto"/>
        <w:rPr>
          <w:sz w:val="20"/>
          <w:szCs w:val="20"/>
          <w:color w:val="auto"/>
        </w:rPr>
      </w:pPr>
      <w:r>
        <w:rPr>
          <w:rFonts w:ascii="Arial" w:cs="Arial" w:eastAsia="Arial" w:hAnsi="Arial"/>
          <w:sz w:val="17"/>
          <w:szCs w:val="17"/>
          <w:color w:val="auto"/>
        </w:rPr>
        <w:t>$22.8 million, and $18.0 million, respectively and for the six months ended June 30, 2021 and 2020 the Company settled forward contracts with total notional amounts of approximately $45.6 million, and $36.0 million, respectively. For the three months ended June 30, 2021 and 2020, realized gains of approximately $0.6 million and $0.9 million, respectively, resulting from the settlement of forward contracts were included within other (income) expense. For the six months ended June 30, 2021 and 2020, realized gains of approximately $1.4 million and $1.6 million, respectively, resulting from the settlement of forward contracts were included within other (income) expense.</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30, 2021 and December 31, 2020, the Company had outstanding forward contracts with notional amounts of approximately</w:t>
      </w:r>
    </w:p>
    <w:p>
      <w:pPr>
        <w:spacing w:after="0" w:line="35"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$116.6 million and $109.2 million, respectively. The forward contract receivable resulting from change in fair value was recorded under other current assets. For the three months ended June 30, 2021 and 2020, the unrealized gains on the forward contracts of $0.1 million and $1.3 million, respectively, were included within other (income) expense. For the six months ended June 30, 2021 and 2020, the unrealized losses on the forward contracts of $1.7 million and $0.2 million, respectively, were included within other (income) expense.</w:t>
      </w:r>
    </w:p>
    <w:p>
      <w:pPr>
        <w:spacing w:after="0" w:line="68"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76"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The Company has implemented the fair value accounting standard for those assets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79"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41" w:lineRule="exact"/>
        <w:rPr>
          <w:sz w:val="20"/>
          <w:szCs w:val="20"/>
          <w:color w:val="auto"/>
        </w:rPr>
      </w:pPr>
    </w:p>
    <w:p>
      <w:pPr>
        <w:ind w:left="560" w:right="380"/>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June 30, 2021 and December 31, 2020 and indicates the fair value hierarchy of the valuation techniques utilized to determine such fair value.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Fair value measurements using</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June 30,</w:t>
            </w: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Level 1</w:t>
            </w:r>
          </w:p>
        </w:tc>
        <w:tc>
          <w:tcPr>
            <w:tcW w:w="9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Level 2</w:t>
            </w: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inputs</w:t>
            </w: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 receivable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rPr>
              <w:t>$   50</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Fair value measurements using</w:t>
            </w: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Level 1</w:t>
            </w:r>
          </w:p>
        </w:tc>
        <w:tc>
          <w:tcPr>
            <w:tcW w:w="9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Level 2</w:t>
            </w: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Level 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2020</w:t>
            </w:r>
          </w:p>
        </w:tc>
        <w:tc>
          <w:tcPr>
            <w:tcW w:w="4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inputs</w:t>
            </w: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 receivable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1,780</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0"/>
              </w:rPr>
              <w:t>$1,780</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Property and equipment, net at June 30, 2021 and December 31, 2020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30,972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Technology and computers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62,678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47,572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8,724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Property and equipment, gross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112,706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(49,646)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right="720"/>
        <w:spacing w:after="0" w:line="263" w:lineRule="auto"/>
        <w:rPr>
          <w:sz w:val="20"/>
          <w:szCs w:val="20"/>
          <w:color w:val="auto"/>
        </w:rPr>
      </w:pPr>
      <w:r>
        <w:rPr>
          <w:rFonts w:ascii="Arial" w:cs="Arial" w:eastAsia="Arial" w:hAnsi="Arial"/>
          <w:sz w:val="18"/>
          <w:szCs w:val="18"/>
          <w:color w:val="auto"/>
        </w:rPr>
        <w:t>The Company’s principal operations are in the Philippines where the majority of property and equipment resides under its wholly owned subsidiaries. The table below presents the Company’s total property and equipment by the geographic location as of June 30, 2021 and December 31, 2020:</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vMerge w:val="continue"/>
          </w:tcPr>
          <w:p>
            <w:pPr>
              <w:spacing w:after="0"/>
              <w:rPr>
                <w:sz w:val="12"/>
                <w:szCs w:val="12"/>
                <w:color w:val="auto"/>
              </w:rPr>
            </w:pPr>
          </w:p>
        </w:tc>
        <w:tc>
          <w:tcPr>
            <w:tcW w:w="30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4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$39,825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37,823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United States</w:t>
            </w:r>
          </w:p>
        </w:tc>
        <w:tc>
          <w:tcPr>
            <w:tcW w:w="4100" w:type="dxa"/>
            <w:vAlign w:val="bottom"/>
            <w:gridSpan w:val="3"/>
          </w:tcPr>
          <w:p>
            <w:pPr>
              <w:jc w:val="right"/>
              <w:ind w:right="460"/>
              <w:spacing w:after="0"/>
              <w:rPr>
                <w:sz w:val="20"/>
                <w:szCs w:val="20"/>
                <w:color w:val="auto"/>
              </w:rPr>
            </w:pPr>
            <w:r>
              <w:rPr>
                <w:rFonts w:ascii="Arial" w:cs="Arial" w:eastAsia="Arial" w:hAnsi="Arial"/>
                <w:sz w:val="18"/>
                <w:szCs w:val="18"/>
                <w:color w:val="auto"/>
              </w:rPr>
              <w:t>10,019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13,216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10,151</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Total Property and equipment, net</w:t>
            </w:r>
          </w:p>
        </w:tc>
        <w:tc>
          <w:tcPr>
            <w:tcW w:w="3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63,060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380" w:type="dxa"/>
            <w:vAlign w:val="bottom"/>
          </w:tcPr>
          <w:p>
            <w:pPr>
              <w:spacing w:after="0"/>
              <w:rPr>
                <w:sz w:val="24"/>
                <w:szCs w:val="24"/>
                <w:color w:val="auto"/>
              </w:rPr>
            </w:pPr>
          </w:p>
        </w:tc>
        <w:tc>
          <w:tcPr>
            <w:tcW w:w="3040" w:type="dxa"/>
            <w:vAlign w:val="bottom"/>
          </w:tcPr>
          <w:p>
            <w:pPr>
              <w:jc w:val="right"/>
              <w:ind w:right="2054"/>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Goodwill and Intangibles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amount of goodwill as of June 30, 2021 and December 31, 2020 was $195.7 million.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consisted of the following as of June 30, 2021 and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Intangibles,</w:t>
            </w:r>
          </w:p>
        </w:tc>
        <w:tc>
          <w:tcPr>
            <w:tcW w:w="38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7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Intangibles,</w:t>
            </w:r>
          </w:p>
        </w:tc>
        <w:tc>
          <w:tcPr>
            <w:tcW w:w="0" w:type="dxa"/>
            <w:vAlign w:val="bottom"/>
          </w:tcPr>
          <w:p>
            <w:pPr>
              <w:spacing w:after="0"/>
              <w:rPr>
                <w:sz w:val="1"/>
                <w:szCs w:val="1"/>
                <w:color w:val="auto"/>
              </w:rPr>
            </w:pPr>
          </w:p>
        </w:tc>
      </w:tr>
      <w:tr>
        <w:trPr>
          <w:trHeight w:val="171"/>
        </w:trPr>
        <w:tc>
          <w:tcPr>
            <w:tcW w:w="47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(Years)</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2"/>
        </w:trPr>
        <w:tc>
          <w:tcPr>
            <w:tcW w:w="4760" w:type="dxa"/>
            <w:vAlign w:val="bottom"/>
            <w:gridSpan w:val="3"/>
            <w:vMerge w:val="continue"/>
          </w:tcPr>
          <w:p>
            <w:pPr>
              <w:spacing w:after="0"/>
              <w:rPr>
                <w:sz w:val="12"/>
                <w:szCs w:val="12"/>
                <w:color w:val="auto"/>
              </w:rPr>
            </w:pPr>
          </w:p>
        </w:tc>
        <w:tc>
          <w:tcPr>
            <w:tcW w:w="18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$ 240,800</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(44,148)</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$ 196,652</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41,900</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(7,681)</w:t>
            </w:r>
          </w:p>
        </w:tc>
        <w:tc>
          <w:tcPr>
            <w:tcW w:w="1060" w:type="dxa"/>
            <w:vAlign w:val="bottom"/>
            <w:gridSpan w:val="5"/>
          </w:tcPr>
          <w:p>
            <w:pPr>
              <w:jc w:val="right"/>
              <w:ind w:right="40"/>
              <w:spacing w:after="0"/>
              <w:rPr>
                <w:sz w:val="20"/>
                <w:szCs w:val="20"/>
                <w:color w:val="auto"/>
              </w:rPr>
            </w:pPr>
            <w:r>
              <w:rPr>
                <w:rFonts w:ascii="Arial" w:cs="Arial" w:eastAsia="Arial" w:hAnsi="Arial"/>
                <w:sz w:val="18"/>
                <w:szCs w:val="18"/>
                <w:color w:val="auto"/>
              </w:rPr>
              <w:t>34,219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18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$ 282,700</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(51,829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$ 230,871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Intangibles,</w:t>
            </w:r>
          </w:p>
        </w:tc>
        <w:tc>
          <w:tcPr>
            <w:tcW w:w="380" w:type="dxa"/>
            <w:vAlign w:val="bottom"/>
          </w:tcPr>
          <w:p>
            <w:pPr>
              <w:spacing w:after="0"/>
              <w:rPr>
                <w:sz w:val="24"/>
                <w:szCs w:val="2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24"/>
                <w:szCs w:val="24"/>
                <w:color w:val="auto"/>
              </w:rPr>
            </w:pPr>
          </w:p>
        </w:tc>
        <w:tc>
          <w:tcPr>
            <w:tcW w:w="7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Intangibles,</w:t>
            </w:r>
          </w:p>
        </w:tc>
        <w:tc>
          <w:tcPr>
            <w:tcW w:w="0" w:type="dxa"/>
            <w:vAlign w:val="bottom"/>
          </w:tcPr>
          <w:p>
            <w:pPr>
              <w:spacing w:after="0"/>
              <w:rPr>
                <w:sz w:val="1"/>
                <w:szCs w:val="1"/>
                <w:color w:val="auto"/>
              </w:rPr>
            </w:pPr>
          </w:p>
        </w:tc>
      </w:tr>
      <w:tr>
        <w:trPr>
          <w:trHeight w:val="171"/>
        </w:trPr>
        <w:tc>
          <w:tcPr>
            <w:tcW w:w="47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(Years)</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2"/>
        </w:trPr>
        <w:tc>
          <w:tcPr>
            <w:tcW w:w="4760" w:type="dxa"/>
            <w:vAlign w:val="bottom"/>
            <w:gridSpan w:val="3"/>
            <w:vMerge w:val="continue"/>
          </w:tcPr>
          <w:p>
            <w:pPr>
              <w:spacing w:after="0"/>
              <w:rPr>
                <w:sz w:val="12"/>
                <w:szCs w:val="12"/>
                <w:color w:val="auto"/>
              </w:rPr>
            </w:pPr>
          </w:p>
        </w:tc>
        <w:tc>
          <w:tcPr>
            <w:tcW w:w="18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$ 240,800</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(36,121)</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$ 204,679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8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41,900</w:t>
            </w:r>
          </w:p>
        </w:tc>
        <w:tc>
          <w:tcPr>
            <w:tcW w:w="4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(6,284)</w:t>
            </w:r>
          </w:p>
        </w:tc>
        <w:tc>
          <w:tcPr>
            <w:tcW w:w="1060" w:type="dxa"/>
            <w:vAlign w:val="bottom"/>
            <w:gridSpan w:val="5"/>
          </w:tcPr>
          <w:p>
            <w:pPr>
              <w:jc w:val="right"/>
              <w:ind w:right="40"/>
              <w:spacing w:after="0"/>
              <w:rPr>
                <w:sz w:val="20"/>
                <w:szCs w:val="20"/>
                <w:color w:val="auto"/>
              </w:rPr>
            </w:pPr>
            <w:r>
              <w:rPr>
                <w:rFonts w:ascii="Arial" w:cs="Arial" w:eastAsia="Arial" w:hAnsi="Arial"/>
                <w:sz w:val="18"/>
                <w:szCs w:val="18"/>
                <w:color w:val="auto"/>
              </w:rPr>
              <w:t>35,616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$ 282,700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(42,405)</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$ 240,295</w:t>
            </w:r>
          </w:p>
        </w:tc>
        <w:tc>
          <w:tcPr>
            <w:tcW w:w="0" w:type="dxa"/>
            <w:vAlign w:val="bottom"/>
          </w:tcPr>
          <w:p>
            <w:pPr>
              <w:spacing w:after="0"/>
              <w:rPr>
                <w:sz w:val="1"/>
                <w:szCs w:val="1"/>
                <w:color w:val="auto"/>
              </w:rPr>
            </w:pPr>
          </w:p>
        </w:tc>
      </w:tr>
      <w:tr>
        <w:trPr>
          <w:trHeight w:val="547"/>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(7) Long-Term Debt</w:t>
            </w:r>
          </w:p>
        </w:tc>
        <w:tc>
          <w:tcPr>
            <w:tcW w:w="18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0" w:type="dxa"/>
            <w:vAlign w:val="bottom"/>
            <w:gridSpan w:val="11"/>
          </w:tcPr>
          <w:p>
            <w:pPr>
              <w:ind w:left="440"/>
              <w:spacing w:after="0"/>
              <w:rPr>
                <w:sz w:val="20"/>
                <w:szCs w:val="20"/>
                <w:color w:val="auto"/>
              </w:rPr>
            </w:pPr>
            <w:r>
              <w:rPr>
                <w:rFonts w:ascii="Arial" w:cs="Arial" w:eastAsia="Arial" w:hAnsi="Arial"/>
                <w:sz w:val="18"/>
                <w:szCs w:val="18"/>
                <w:color w:val="auto"/>
                <w:w w:val="96"/>
              </w:rPr>
              <w:t>The balances of current and non-current portions of debt consist of the following as of June 30, 2021:</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32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4"/>
              </w:rPr>
              <w:t>Current</w:t>
            </w:r>
          </w:p>
        </w:tc>
        <w:tc>
          <w:tcPr>
            <w:tcW w:w="9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Noncurrent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$ 194,775</w:t>
            </w:r>
          </w:p>
        </w:tc>
        <w:tc>
          <w:tcPr>
            <w:tcW w:w="2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$203,963</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Revolver</w:t>
            </w:r>
          </w:p>
        </w:tc>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39,878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39,878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Debt financing fees</w:t>
            </w:r>
          </w:p>
        </w:tc>
        <w:tc>
          <w:tcPr>
            <w:tcW w:w="1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(556)</w:t>
            </w:r>
          </w:p>
        </w:tc>
        <w:tc>
          <w:tcPr>
            <w:tcW w:w="4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(1,250)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(1,806)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3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50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48,510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$ 193,525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242,035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2019 Credit Agreement</w:t>
      </w:r>
    </w:p>
    <w:p>
      <w:pPr>
        <w:spacing w:after="0" w:line="117"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On September 25, 2019, the Company entered into a credit agreement (the “2019 Credit Agreement”) that included a $210.0 million term loan (the “Term Loan Facility”) and a $40.0 million revolving credit facility (the “Revolving Credit Facility” and, together with the Term Loan Facility, the “2019 Credit Facilities”). On April 30, 2021, the Company entered into Amendment No. 1 to our 2019 Credit Agreement with the existing lenders providing for $50.0 million incremental revolving credit commitments on the same terms as our existing revolving credit facility. We accounted for this amendment as a debt modification and recorded $0.3 million of debt financing fees which will be amortized, along with previously deferred fees, over the remaining term of the Revolving Credit Facility.</w:t>
      </w:r>
    </w:p>
    <w:p>
      <w:pPr>
        <w:spacing w:after="0" w:line="84"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auto"/>
        </w:rPr>
        <w:t>Principal payments on the Term Loan Facility are due quarterly in arrears equal to installments in an aggregate annual amount equal to (i) 1.0% per annum of the original principal amount in the first year, (ii) 2.5% per annum of the original principal amount in the second year, (iii) 5.0% per annum of the original principal amount in the third year, (iv) 7.5% per annum of the original principal amount in the fourth year and (v) 10.0% per annum of the original principal amount in the fifth year, with the remaining principal due in a lump sum at the maturity date of September 25, 2024. The interest rate in effect with respect to the Term Loan Facility as of June 30, 2021 was 2.345%.</w:t>
      </w:r>
    </w:p>
    <w:p>
      <w:pPr>
        <w:spacing w:after="0" w:line="68"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The Revolving Credit Facility provides the Company with access to a $15.0 million letter of credit facility and a $5.0 million swing line facility, each of which, to the extent used, reduces borrowing availability under the Revolving Credit Facility. The Revolving Credit Facility expires on September 25, 2024, and requires a commitment fee of 0.4% on undrawn commitments paid quarterly in arrears. As of June 30, 2021, the interest rate in effect was 2.345% on outstanding borrowings under the Revolving Credit Facility. As of June 30, 2021, we had $50.1 million of borrowing availability under the Revolving Credit Facility.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560"/>
        <w:spacing w:after="0" w:line="311" w:lineRule="auto"/>
        <w:rPr>
          <w:sz w:val="20"/>
          <w:szCs w:val="20"/>
          <w:color w:val="auto"/>
        </w:rPr>
      </w:pPr>
      <w:r>
        <w:rPr>
          <w:rFonts w:ascii="Arial" w:cs="Arial" w:eastAsia="Arial" w:hAnsi="Arial"/>
          <w:sz w:val="16"/>
          <w:szCs w:val="16"/>
          <w:color w:val="auto"/>
        </w:rPr>
        <w:t>The 2019 Credit Agreement contains certain restrictive financial covenants and also limits additional borrowings, capital expenditures, and distributions. The Company was in compliance with these covenants as of June 30, 2021. Substantially all assets of TU Midco, Inc. and its material domestic subsidiaries are pledged as collateral under this agreement, subject to certain customary exceptions.</w:t>
      </w:r>
    </w:p>
    <w:p>
      <w:pPr>
        <w:spacing w:after="0" w:line="253" w:lineRule="exact"/>
        <w:rPr>
          <w:sz w:val="20"/>
          <w:szCs w:val="20"/>
          <w:color w:val="auto"/>
        </w:rPr>
      </w:pPr>
    </w:p>
    <w:p>
      <w:pPr>
        <w:ind w:left="380" w:hanging="264"/>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Proceedings</w:t>
      </w:r>
    </w:p>
    <w:p>
      <w:pPr>
        <w:spacing w:after="0" w:line="117" w:lineRule="exact"/>
        <w:rPr>
          <w:rFonts w:ascii="Arial" w:cs="Arial" w:eastAsia="Arial" w:hAnsi="Arial"/>
          <w:sz w:val="18"/>
          <w:szCs w:val="18"/>
          <w:b w:val="1"/>
          <w:bCs w:val="1"/>
          <w:i w:val="1"/>
          <w:iCs w:val="1"/>
          <w:color w:val="auto"/>
        </w:rPr>
      </w:pPr>
    </w:p>
    <w:p>
      <w:pPr>
        <w:ind w:left="110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From time to time, the Company may become subject to legal proceedings, claims, and litigation arising in the ordinary course of business. The Company is not currently a party to any material legal proceedings, nor is the Company aware of any pending or threatened litigation that would have a material adverse effect on the Company’s business, operating results, cash flows, or financial condition should such litigation be resolved unfavorably.</w:t>
      </w:r>
    </w:p>
    <w:p>
      <w:pPr>
        <w:spacing w:after="0" w:line="92" w:lineRule="exact"/>
        <w:rPr>
          <w:rFonts w:ascii="Arial" w:cs="Arial" w:eastAsia="Arial" w:hAnsi="Arial"/>
          <w:sz w:val="18"/>
          <w:szCs w:val="18"/>
          <w:b w:val="1"/>
          <w:bCs w:val="1"/>
          <w:i w:val="1"/>
          <w:iCs w:val="1"/>
          <w:color w:val="auto"/>
        </w:rPr>
      </w:pPr>
    </w:p>
    <w:p>
      <w:pPr>
        <w:ind w:left="1080" w:hanging="532"/>
        <w:spacing w:after="0"/>
        <w:tabs>
          <w:tab w:leader="none" w:pos="108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Contingent Consideratio</w:t>
      </w:r>
      <w:r>
        <w:rPr>
          <w:rFonts w:ascii="Arial" w:cs="Arial" w:eastAsia="Arial" w:hAnsi="Arial"/>
          <w:sz w:val="18"/>
          <w:szCs w:val="18"/>
          <w:color w:val="auto"/>
        </w:rPr>
        <w:t>n</w:t>
      </w:r>
    </w:p>
    <w:p>
      <w:pPr>
        <w:spacing w:after="0" w:line="117" w:lineRule="exact"/>
        <w:rPr>
          <w:rFonts w:ascii="Arial" w:cs="Arial" w:eastAsia="Arial" w:hAnsi="Arial"/>
          <w:sz w:val="18"/>
          <w:szCs w:val="18"/>
          <w:b w:val="1"/>
          <w:bCs w:val="1"/>
          <w:i w:val="1"/>
          <w:iCs w:val="1"/>
          <w:color w:val="auto"/>
        </w:rPr>
      </w:pPr>
    </w:p>
    <w:p>
      <w:pPr>
        <w:ind w:left="110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October 1, 2018, Bidco acquired 100% of the outstanding shares of TaskUs Holdings, Inc. at a purchase price of $429.4 million (the “Transaction”). As a part of the Transaction, the Company entered into a Stock Purchase Agreement, which provides that the sellers of TaskUs, Inc. are entitled to receive cash payments for certain tax benefits, if any, realized as a result of the Blackstone Acquisition that are received by the Company for a specified period after the closing date. The Company recorded a liability of $3.6 million for the expected payment to the sellers, which is included within accounts payable and accrued liabilities in the condensed consolidated balance sheets as of June 30, 2021 and December 31, 2020. The Company received payment for the tax benefits in the six months ended June 30, 2021.</w:t>
      </w:r>
    </w:p>
    <w:p>
      <w:pPr>
        <w:spacing w:after="0" w:line="268" w:lineRule="exact"/>
        <w:rPr>
          <w:rFonts w:ascii="Arial" w:cs="Arial" w:eastAsia="Arial" w:hAnsi="Arial"/>
          <w:sz w:val="18"/>
          <w:szCs w:val="18"/>
          <w:b w:val="1"/>
          <w:bCs w:val="1"/>
          <w:i w:val="1"/>
          <w:iCs w:val="1"/>
          <w:color w:val="auto"/>
        </w:rPr>
      </w:pPr>
    </w:p>
    <w:p>
      <w:pPr>
        <w:ind w:left="380" w:hanging="264"/>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Phantom Stock Plan</w:t>
      </w:r>
    </w:p>
    <w:p>
      <w:pPr>
        <w:spacing w:after="0" w:line="117"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color w:val="auto"/>
        </w:rPr>
        <w:t>On June 19, 2015, TaskUs Holdings’ board of directors officially adopted a companywide phantom stock plan and related phantom share agreements.</w:t>
      </w:r>
    </w:p>
    <w:p>
      <w:pPr>
        <w:spacing w:after="0" w:line="62"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The number of outstanding phantom shares at June 30, 2021 and December 31, 2020 were 511,489 and 651,436, respectively. There were 139,947 phantom shares forfeited during the six months ended June 30, 2021. Because the change in control became probable upon the IPO, the Company recognized expense in the amount of the expected cash settlement totaling $127.5 million recorded in selling, general, and administrative expense on the condensed consolidated statements of operations for the three and six months ended June 30, 2021. The associated liability was recorded in accrued payroll and employee-related liabilities on the condensed consolidated balance sheets as of June 30, 2021. Pursuant to the terms of the plan, payment to the phantom shareholders in settlement of their vested phantom shares must occur within 30 days following the close of the IPO, or no later than July 15, 2021, at which point there will be zero phantom shares outstanding.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left="560" w:right="180"/>
        <w:spacing w:after="0" w:line="272" w:lineRule="auto"/>
        <w:rPr>
          <w:sz w:val="20"/>
          <w:szCs w:val="20"/>
          <w:color w:val="auto"/>
        </w:rPr>
      </w:pPr>
      <w:r>
        <w:rPr>
          <w:rFonts w:ascii="Arial" w:cs="Arial" w:eastAsia="Arial" w:hAnsi="Arial"/>
          <w:sz w:val="17"/>
          <w:szCs w:val="17"/>
          <w:color w:val="auto"/>
        </w:rPr>
        <w:t>On April 16, 2019, the Company established an equity incentive plan pursuant to which the Company has granted option awards to selected executives and other key employees (the “2019 Plan”). The option awards contain service, market and performance conditions. Stock options under this plan contingently vest over a period of two years in the event of a change in control and over a period of three years in the event of an IPO (each as defined in such plan), with the vesting period beginning on the date of the performance event so long as the holder remains employed. The amount of options eligible for vesting is contingent upon Blackstone’s return on invested capital in the Company. These options have contractual lives of 10 years. Following the IPO and establishment of the 2021 Omnibus Incentive Plan (the “2021 Plan”) as further discussed below, it is not expected that any additional awards will be issued under the 2019 Plan.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40"/>
        <w:spacing w:after="0" w:line="263" w:lineRule="auto"/>
        <w:rPr>
          <w:sz w:val="20"/>
          <w:szCs w:val="20"/>
          <w:color w:val="auto"/>
        </w:rPr>
      </w:pPr>
      <w:r>
        <w:rPr>
          <w:rFonts w:ascii="Arial" w:cs="Arial" w:eastAsia="Arial" w:hAnsi="Arial"/>
          <w:sz w:val="18"/>
          <w:szCs w:val="18"/>
          <w:color w:val="auto"/>
        </w:rPr>
        <w:t>At the date of the IPO, the Company concluded that the public offering represents a qualifying liquidity event that would cause the stock option’s performance condition to be probable of occurring. As such, the Company has begun to recognize compensation expense in relation to the stock options.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117" w:lineRule="exact"/>
        <w:rPr>
          <w:sz w:val="20"/>
          <w:szCs w:val="20"/>
          <w:color w:val="auto"/>
        </w:rPr>
      </w:pPr>
    </w:p>
    <w:p>
      <w:pPr>
        <w:ind w:left="560" w:right="60"/>
        <w:spacing w:after="0" w:line="296" w:lineRule="auto"/>
        <w:rPr>
          <w:sz w:val="20"/>
          <w:szCs w:val="20"/>
          <w:color w:val="auto"/>
        </w:rPr>
      </w:pPr>
      <w:r>
        <w:rPr>
          <w:rFonts w:ascii="Arial" w:cs="Arial" w:eastAsia="Arial" w:hAnsi="Arial"/>
          <w:sz w:val="16"/>
          <w:szCs w:val="16"/>
          <w:color w:val="auto"/>
        </w:rPr>
        <w:t>In connection with the IPO, the Company adopted the 2021 Plan, which provides for the issuance of non-qualified stock options, incentive stock options, stock appreciation rights (“SARs”), restricted shares of Class A common stock, restricted stock units (“RSUs”), or other equity-based or cash-based awards. A total of 12,160,929 shares of Class A common stock were initially reserved for issuance under the 2021 Plan, subject to automatic annual evergreen increases. On June 10, 2021 in connection with the IPO, the Company granted time-based RSUs, performance-based restricted stock units (“PSUs”), and time-based stock options to its founders and certain other officers and employees under the 2021 Plan.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60" w:right="160"/>
        <w:spacing w:after="0" w:line="259" w:lineRule="auto"/>
        <w:rPr>
          <w:sz w:val="20"/>
          <w:szCs w:val="20"/>
          <w:color w:val="auto"/>
        </w:rPr>
      </w:pPr>
      <w:r>
        <w:rPr>
          <w:rFonts w:ascii="Arial" w:cs="Arial" w:eastAsia="Arial" w:hAnsi="Arial"/>
          <w:sz w:val="18"/>
          <w:szCs w:val="18"/>
          <w:color w:val="auto"/>
        </w:rPr>
        <w:t>On June 10, 2021, the Company granted 1,565,398 of stock options to its founders and certain officers and employees with a weighted-average grant date fair value of $8.15. The stock options issued to such officers and employees (including founders) generally vest quarterly or annually over four years and expire ten years from the date of the grant. The grant date fair value of the stock options was estimated using the Black-Scholes option pricing method with the following assumptions:</w:t>
      </w:r>
    </w:p>
    <w:p>
      <w:pPr>
        <w:spacing w:after="0" w:line="22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volatility (%)</w:t>
            </w:r>
          </w:p>
        </w:tc>
        <w:tc>
          <w:tcPr>
            <w:tcW w:w="3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0.8-1.1%</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Expected term (years)</w:t>
            </w:r>
          </w:p>
        </w:tc>
        <w:tc>
          <w:tcPr>
            <w:tcW w:w="3160" w:type="dxa"/>
            <w:vAlign w:val="bottom"/>
          </w:tcPr>
          <w:p>
            <w:pPr>
              <w:jc w:val="right"/>
              <w:ind w:right="110"/>
              <w:spacing w:after="0"/>
              <w:rPr>
                <w:sz w:val="20"/>
                <w:szCs w:val="20"/>
                <w:color w:val="auto"/>
              </w:rPr>
            </w:pPr>
            <w:r>
              <w:rPr>
                <w:rFonts w:ascii="Arial" w:cs="Arial" w:eastAsia="Arial" w:hAnsi="Arial"/>
                <w:sz w:val="18"/>
                <w:szCs w:val="18"/>
                <w:color w:val="auto"/>
              </w:rPr>
              <w:t>5.1-7.0</w:t>
            </w:r>
          </w:p>
        </w:tc>
      </w:tr>
    </w:tbl>
    <w:p>
      <w:pPr>
        <w:spacing w:after="0" w:line="187"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As of June 30, 2021, there were 9,139,456 options outstanding with a weighted-average exercise price of $8.23 per share. As of June 30, 2021, there was $17.3 million of unrecognized compensation expense related to the Company’s unvested stock options that is expected to be recognized over a weighted-average period of 2.3 years.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560" w:right="160"/>
        <w:spacing w:after="0" w:line="286" w:lineRule="auto"/>
        <w:rPr>
          <w:sz w:val="20"/>
          <w:szCs w:val="20"/>
          <w:color w:val="auto"/>
        </w:rPr>
      </w:pPr>
      <w:r>
        <w:rPr>
          <w:rFonts w:ascii="Arial" w:cs="Arial" w:eastAsia="Arial" w:hAnsi="Arial"/>
          <w:sz w:val="17"/>
          <w:szCs w:val="17"/>
          <w:color w:val="auto"/>
        </w:rPr>
        <w:t>On June 10, 2021, the Company granted 2,528,621 RSUs to its founders and certain officers and employees with a weighted-average grant date fair value of $23.00. The RSUs are typically subject to service-based vesting conditions and will vest in equal quarterly or annual installments over four years. The related stock-based compensation expense is recognized using a graded vesting method.</w:t>
      </w:r>
    </w:p>
    <w:p>
      <w:pPr>
        <w:spacing w:after="0" w:line="57"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As of June 30, 2021, there was $55.6 million of unrecognized compensation expense related to the Company’s unvested RSUs that is expected to be recognized over a weighted-average period of 2.2 years.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PSUs</w:t>
      </w:r>
    </w:p>
    <w:p>
      <w:pPr>
        <w:spacing w:after="0" w:line="117"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On June 10, 2021, the Company granted 3,307,060 of PSUs to its founders with a weighted-average grant date fair value of $3.98. The PSUs contain three tranches and service and market conditions. The PSUs vest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8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86" w:lineRule="auto"/>
        <w:rPr>
          <w:sz w:val="20"/>
          <w:szCs w:val="20"/>
          <w:color w:val="auto"/>
        </w:rPr>
      </w:pPr>
      <w:r>
        <w:rPr>
          <w:rFonts w:ascii="Arial" w:cs="Arial" w:eastAsia="Arial" w:hAnsi="Arial"/>
          <w:sz w:val="17"/>
          <w:szCs w:val="17"/>
          <w:color w:val="auto"/>
        </w:rPr>
        <w:t>contingently in annual installments over four years. The amount of PSUs eligible for vesting is contingent upon the achievement of certain enterprise value CAGR targets. The Company will recognize the related stock-based compensation expense using a graded vesting method. The grant date fair value of the PSUs were estimated using the Monte Carlo simulation method with the following assumptions: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Expected volatility (%)</w:t>
            </w:r>
          </w:p>
        </w:tc>
        <w:tc>
          <w:tcPr>
            <w:tcW w:w="3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0.1-0.5%</w:t>
            </w:r>
          </w:p>
        </w:tc>
      </w:tr>
    </w:tbl>
    <w:p>
      <w:pPr>
        <w:spacing w:after="0" w:line="94"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As of June 30, 2021, there was $12.8 million of unrecognized compensation expense related to the Company’s unvested PSUs that is expected to be recognized over a weighted-average period of 2.8 years.</w:t>
      </w:r>
    </w:p>
    <w:p>
      <w:pPr>
        <w:spacing w:after="0" w:line="62"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condensed consolidated statements of operations for the periods presented:</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4"/>
                <w:szCs w:val="14"/>
                <w:b w:val="1"/>
                <w:bCs w:val="1"/>
                <w:color w:val="auto"/>
                <w:w w:val="92"/>
              </w:rPr>
              <w:t>June 30,</w:t>
            </w: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7"/>
              <w:spacing w:after="0" w:line="155" w:lineRule="exact"/>
              <w:rPr>
                <w:sz w:val="20"/>
                <w:szCs w:val="20"/>
                <w:color w:val="auto"/>
              </w:rPr>
            </w:pPr>
            <w:r>
              <w:rPr>
                <w:rFonts w:ascii="Arial" w:cs="Arial" w:eastAsia="Arial" w:hAnsi="Arial"/>
                <w:sz w:val="14"/>
                <w:szCs w:val="14"/>
                <w:color w:val="auto"/>
              </w:rPr>
              <w:t>2021</w:t>
            </w:r>
          </w:p>
        </w:tc>
        <w:tc>
          <w:tcPr>
            <w:tcW w:w="340" w:type="dxa"/>
            <w:vAlign w:val="bottom"/>
          </w:tcPr>
          <w:p>
            <w:pPr>
              <w:spacing w:after="0"/>
              <w:rPr>
                <w:sz w:val="13"/>
                <w:szCs w:val="13"/>
                <w:color w:val="auto"/>
              </w:rPr>
            </w:pPr>
          </w:p>
        </w:tc>
        <w:tc>
          <w:tcPr>
            <w:tcW w:w="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2020</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color w:val="auto"/>
              </w:rPr>
              <w:t>2021</w:t>
            </w:r>
          </w:p>
        </w:tc>
        <w:tc>
          <w:tcPr>
            <w:tcW w:w="320" w:type="dxa"/>
            <w:vAlign w:val="bottom"/>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133,216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133,216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133,267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133,267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60" w:right="100"/>
        <w:spacing w:after="0" w:line="259" w:lineRule="auto"/>
        <w:rPr>
          <w:sz w:val="20"/>
          <w:szCs w:val="20"/>
          <w:color w:val="auto"/>
        </w:rPr>
      </w:pPr>
      <w:r>
        <w:rPr>
          <w:rFonts w:ascii="Arial" w:cs="Arial" w:eastAsia="Arial" w:hAnsi="Arial"/>
          <w:sz w:val="18"/>
          <w:szCs w:val="18"/>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79"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color w:val="auto"/>
        </w:rPr>
        <w:t>The Company recorded (benefit from) provision for income taxes of $(7.0) million and $1.6 million in the three months ended June, 2021 and 2020, respectively. The effective tax rate was 6.2% and 16.9% for the three months ended June 30, 2021 and 2020, respectively.</w:t>
      </w:r>
    </w:p>
    <w:p>
      <w:pPr>
        <w:spacing w:after="0" w:line="16" w:lineRule="exact"/>
        <w:rPr>
          <w:sz w:val="20"/>
          <w:szCs w:val="20"/>
          <w:color w:val="auto"/>
        </w:rPr>
      </w:pPr>
    </w:p>
    <w:p>
      <w:pPr>
        <w:ind w:left="560"/>
        <w:spacing w:after="0" w:line="273" w:lineRule="auto"/>
        <w:rPr>
          <w:sz w:val="20"/>
          <w:szCs w:val="20"/>
          <w:color w:val="auto"/>
        </w:rPr>
      </w:pPr>
      <w:r>
        <w:rPr>
          <w:rFonts w:ascii="Arial" w:cs="Arial" w:eastAsia="Arial" w:hAnsi="Arial"/>
          <w:sz w:val="17"/>
          <w:szCs w:val="17"/>
          <w:color w:val="auto"/>
        </w:rPr>
        <w:t>The Company recorded (benefit from) provision for income taxes of $(3.5) million and $2.0 million in the six months ended June, 2021 and 2020, respectively the effective tax rate was 3.7% and 17.1% for the six months ended June 30, 2021 and 2020. The difference between the effective tax rates and the 21% federal statutory rate in the six months ended June 30, 2021 was primarily due to global intangible low-taxed income (“GILTI”) inclusion, tax benefits of income tax holidays in foreign jurisdiction, and nondeductible compensation of officers. The difference between the effective tax rates and the 21% federal statutory rate in the six months ended June 30, 2020 was primarily due to GILTI inclusion, FDII deduction and tax benefits of income tax holidays in foreign jurisdiction.</w:t>
      </w:r>
    </w:p>
    <w:p>
      <w:pPr>
        <w:spacing w:after="0" w:line="70"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color w:val="auto"/>
        </w:rPr>
        <w:t>The Company is subject to income tax in the United States federal, state and various foreign jurisdictions. Federal income tax returns of the Company are subject to IRS examination for the 2017 through 2019 tax years. State income tax returns are subject to examination for the 2016 through 2019 tax years.</w:t>
      </w:r>
    </w:p>
    <w:p>
      <w:pPr>
        <w:spacing w:after="0" w:line="76" w:lineRule="exact"/>
        <w:rPr>
          <w:sz w:val="20"/>
          <w:szCs w:val="20"/>
          <w:color w:val="auto"/>
        </w:rPr>
      </w:pPr>
    </w:p>
    <w:p>
      <w:pPr>
        <w:ind w:left="560" w:right="240"/>
        <w:spacing w:after="0" w:line="263" w:lineRule="auto"/>
        <w:rPr>
          <w:sz w:val="20"/>
          <w:szCs w:val="20"/>
          <w:color w:val="auto"/>
        </w:rPr>
      </w:pPr>
      <w:r>
        <w:rPr>
          <w:rFonts w:ascii="Arial" w:cs="Arial" w:eastAsia="Arial" w:hAnsi="Arial"/>
          <w:sz w:val="18"/>
          <w:szCs w:val="18"/>
          <w:color w:val="auto"/>
        </w:rPr>
        <w:t>The Company’s practice and intention are to indefinitely reinvest the earnings of its non-U.S. subsidiaries. Determination of the amount of any unrecognized deferred income tax liability on the temporary difference is not practicable because of the complexities of the hypothetical calculation.</w:t>
      </w:r>
    </w:p>
    <w:p>
      <w:pPr>
        <w:spacing w:after="0" w:line="288" w:lineRule="exact"/>
        <w:rPr>
          <w:sz w:val="20"/>
          <w:szCs w:val="20"/>
          <w:color w:val="auto"/>
        </w:rPr>
      </w:pPr>
    </w:p>
    <w:p>
      <w:pPr>
        <w:ind w:left="560" w:right="8900" w:hanging="444"/>
        <w:spacing w:after="0" w:line="425" w:lineRule="auto"/>
        <w:tabs>
          <w:tab w:leader="none" w:pos="454"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b w:val="1"/>
          <w:bCs w:val="1"/>
          <w:i w:val="1"/>
          <w:iCs w:val="1"/>
          <w:color w:val="auto"/>
        </w:rPr>
        <w:t>Dividend Distribution</w:t>
      </w:r>
    </w:p>
    <w:p>
      <w:pPr>
        <w:ind w:left="560" w:right="380"/>
        <w:spacing w:after="0" w:line="277" w:lineRule="auto"/>
        <w:rPr>
          <w:sz w:val="20"/>
          <w:szCs w:val="20"/>
          <w:color w:val="auto"/>
        </w:rPr>
      </w:pPr>
      <w:r>
        <w:rPr>
          <w:rFonts w:ascii="Arial" w:cs="Arial" w:eastAsia="Arial" w:hAnsi="Arial"/>
          <w:sz w:val="18"/>
          <w:szCs w:val="18"/>
          <w:color w:val="auto"/>
        </w:rPr>
        <w:t>On April 9, 2021, prior to the IPO, the board of directors declared a cash dividend in the aggregate amount of $50.0 million to holders of our common stock. The cash dividend was paid on April 16, 2021.</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117"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On June 10, 2021, the Company amended and restated its certificate of incorporation to effect a ten-for-one forward stock split of its outstanding common stock and authorized three classes of ownership interests: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8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hanging="4"/>
        <w:spacing w:after="0" w:line="259" w:lineRule="auto"/>
        <w:tabs>
          <w:tab w:leader="none" w:pos="7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250,000,000 shares of Preferred Stock, par value $0.01 per share, (ii) 2,500,000,000 shares of Class A common stock, par value $0.01 per share, and (iii) 250,000,000 shares of Class B common stock, par value $0.01 per share. After giving effect to the ten-for-one stock split, all outstanding shares of common stock were reclassified into an equal number of shares of Class B common stock (the “Class B Reclassification”) and the selling shareholders participated equally in the Class B Reclassification.</w:t>
      </w:r>
    </w:p>
    <w:p>
      <w:pPr>
        <w:spacing w:after="0" w:line="79"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The rights of the holders of Class A common stock and Class B common stock are identical, except with respect to voting, transfer and conversion rights. Each share of Class A common stock is entitled to one vote per share. Each share of Class B common stock is entitled to ten votes per share and is convertible into one share of Class A common stock at any time or automatically upon certain conditions but no later than 7 years following the filing and effectiveness of the amendment on June 10, 2021.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left="560" w:right="100"/>
        <w:spacing w:after="0" w:line="255" w:lineRule="auto"/>
        <w:rPr>
          <w:sz w:val="20"/>
          <w:szCs w:val="20"/>
          <w:color w:val="auto"/>
        </w:rPr>
      </w:pPr>
      <w:r>
        <w:rPr>
          <w:rFonts w:ascii="Arial" w:cs="Arial" w:eastAsia="Arial" w:hAnsi="Arial"/>
          <w:sz w:val="18"/>
          <w:szCs w:val="18"/>
          <w:color w:val="auto"/>
        </w:rPr>
        <w:t>On June 15, 2021, the Company closed its IPO of 5,553,154 shares of Class A common stock (the “primary” offering) and selling stockholders sold 9,626,846 shares (the “secondary” offering), including shares sold by the selling stockholders pursuant to the underwriters’ full exercise of their option to purchase additional shares, at a public offering price of $23 per share. The Company received net proceeds of $120.7 million after deducting underwriting discounts and commissions, but before deducting offering expenses. The Company used the proceeds from the primary offering, together with cash on hand, to satisfy payments of approximately $127.5 million in respect of vested phantom shares in the third quarter of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(Loss) Earnings Per Share</w:t>
      </w:r>
    </w:p>
    <w:p>
      <w:pPr>
        <w:spacing w:after="0" w:line="121" w:lineRule="exact"/>
        <w:rPr>
          <w:sz w:val="20"/>
          <w:szCs w:val="20"/>
          <w:color w:val="auto"/>
        </w:rPr>
      </w:pPr>
    </w:p>
    <w:p>
      <w:pPr>
        <w:ind w:left="560" w:right="60"/>
        <w:spacing w:after="0" w:line="296" w:lineRule="auto"/>
        <w:rPr>
          <w:sz w:val="20"/>
          <w:szCs w:val="20"/>
          <w:color w:val="auto"/>
        </w:rPr>
      </w:pPr>
      <w:r>
        <w:rPr>
          <w:rFonts w:ascii="Arial" w:cs="Arial" w:eastAsia="Arial" w:hAnsi="Arial"/>
          <w:sz w:val="16"/>
          <w:szCs w:val="16"/>
          <w:color w:val="auto"/>
        </w:rPr>
        <w:t>Following the effectiveness of the amended and restated certificate of incorporation, the Class B Reclassification and the IPO, 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 The accompanying financial statements and related notes to the financial statements give retroactive effect to the stock split for all periods presented. See Note 11, “Shareholders’ Equity” for additional information.</w:t>
      </w:r>
    </w:p>
    <w:p>
      <w:pPr>
        <w:spacing w:after="0" w:line="53"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The computation of basic net (loss) income per share (“EPS”) is based on the weighted-average number of shares that were outstanding during the period, including shares of common stock that are issuable at the end of the reporting period. The computation of diluted EPS is based on the number of basic weighted-average shares outstanding plus the number of common shares that would be issued assuming the exercise of all potentially dilutive common stock equivalents. Common stock equivalents consist of shares issuable upon the exercise of stock options and vesting of RSUs and PSUs.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computation of basic and diluted EPS for the three and six months ended June 30, 2021 and 2020:</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92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Net (loss) income Available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(105,943)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(89,436)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340"/>
              <w:spacing w:after="0" w:line="201" w:lineRule="exact"/>
              <w:rPr>
                <w:sz w:val="20"/>
                <w:szCs w:val="20"/>
                <w:color w:val="auto"/>
              </w:rPr>
            </w:pPr>
            <w:r>
              <w:rPr>
                <w:rFonts w:ascii="Arial" w:cs="Arial" w:eastAsia="Arial" w:hAnsi="Arial"/>
                <w:sz w:val="18"/>
                <w:szCs w:val="18"/>
                <w:color w:val="auto"/>
              </w:rPr>
              <w:t>Weighted-average common stock outstanding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92,957,493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91,737,020</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92,347,257</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91,737,020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920" w:type="dxa"/>
            <w:vAlign w:val="bottom"/>
            <w:tcBorders>
              <w:top w:val="single" w:sz="8" w:color="auto"/>
            </w:tcBorders>
            <w:gridSpan w:val="2"/>
          </w:tcPr>
          <w:p>
            <w:pPr>
              <w:jc w:val="right"/>
              <w:ind w:right="597"/>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Since we were in a net loss position for the three and six months ended June 30, 2021, diluted EPS is equal to basic EPS for such periods as the inclusion of potential common stock equivalents would have been anti-dilutive. We excluded 58,513 and 29,256 potential common stock equivalents from the computation of diluted EPS for the three and six months ended June 30, 2021, respectively, because the effect would have been anti-dilutive. In addition, we excluded 4,599,736 and 2,299,868 potential common stock equivalents from the computation of diluted EPS for the three and six months ended June 30, 2021, respectively, since we were in a net loss position; however, these awards would have been dilutive if we were in a net income position. As of June 30, 2021, there were 5,352,056 potential common stock equivalents outstanding, with market conditions which were not met at that date, that were excluded from the calculation of diluted EPS.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Party</w:t>
      </w:r>
    </w:p>
    <w:p>
      <w:pPr>
        <w:spacing w:after="0" w:line="121"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From time to time, the Company does business with a number of other companies affiliated with Blackstone, which cannot be presumed to be carried out at an arm’s-length basis. During the periods presented, Blackstone had an interest in Alight, Inc. (“Alight”), Custom Ink and Mphasis Limited (“Mphasis”), entities that supply TaskUs with certain consulting services and promotional items. During the three months and six months ended June 30, 2021, the Company made payments of $0.1 million and $0.4 million, respectively to Alight. During the six months ended June 30, 2021, the Company made payments of $0.2 million to Custom Ink. During the six months ended June 30, 2020, the Company made payments of $0.2 million to Mphasis.</w:t>
      </w:r>
    </w:p>
    <w:p>
      <w:pPr>
        <w:spacing w:after="0" w:line="84" w:lineRule="exact"/>
        <w:rPr>
          <w:sz w:val="20"/>
          <w:szCs w:val="20"/>
          <w:color w:val="auto"/>
        </w:rPr>
      </w:pPr>
    </w:p>
    <w:p>
      <w:pPr>
        <w:ind w:left="560" w:right="160"/>
        <w:spacing w:after="0" w:line="301" w:lineRule="auto"/>
        <w:rPr>
          <w:sz w:val="20"/>
          <w:szCs w:val="20"/>
          <w:color w:val="auto"/>
        </w:rPr>
      </w:pPr>
      <w:r>
        <w:rPr>
          <w:rFonts w:ascii="Arial" w:cs="Arial" w:eastAsia="Arial" w:hAnsi="Arial"/>
          <w:sz w:val="16"/>
          <w:szCs w:val="16"/>
          <w:color w:val="auto"/>
        </w:rPr>
        <w:t>During the periods presented, Blackstone had an interest in Vivint Smart Home, Inc. (“Vivint”), North American Bancard, and Custom Ink, entities that are TaskUs customers. During the three months ended June 30, 2021, the Company received payments of $0.5 million, $0.5 million, and $0.5 million from Vivint, North American Bancard and Custom Ink, respectively. During the six months ended June 30, 2021, the Company received payments of $0.8 million, $0.6 million, and $0.7 million from Vivint, North American Bancard and Custom Ink, respectively.</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Underwriting of IPO</w:t>
      </w:r>
    </w:p>
    <w:p>
      <w:pPr>
        <w:spacing w:after="0" w:line="117" w:lineRule="exact"/>
        <w:rPr>
          <w:sz w:val="20"/>
          <w:szCs w:val="20"/>
          <w:color w:val="auto"/>
        </w:rPr>
      </w:pPr>
    </w:p>
    <w:p>
      <w:pPr>
        <w:ind w:left="560" w:right="120"/>
        <w:spacing w:after="0" w:line="342" w:lineRule="auto"/>
        <w:rPr>
          <w:sz w:val="20"/>
          <w:szCs w:val="20"/>
          <w:color w:val="auto"/>
        </w:rPr>
      </w:pPr>
      <w:r>
        <w:rPr>
          <w:rFonts w:ascii="Arial" w:cs="Arial" w:eastAsia="Arial" w:hAnsi="Arial"/>
          <w:sz w:val="16"/>
          <w:szCs w:val="16"/>
          <w:color w:val="auto"/>
        </w:rPr>
        <w:t>Blackstone Securities Partners L.P., an affiliate of Blackstone, served as underwriter of 1,380,000 of the 15,180,000 million shares of Class A common stock sold in the IPO, with underwriting discounts and commissions of $1.265 per share paid by the Company and selling stockholders.</w:t>
      </w:r>
    </w:p>
    <w:p>
      <w:pPr>
        <w:spacing w:after="0" w:line="228" w:lineRule="exact"/>
        <w:rPr>
          <w:sz w:val="20"/>
          <w:szCs w:val="20"/>
          <w:color w:val="auto"/>
        </w:rPr>
      </w:pPr>
    </w:p>
    <w:p>
      <w:pPr>
        <w:ind w:left="560" w:right="8760" w:hanging="444"/>
        <w:spacing w:after="0" w:line="425" w:lineRule="auto"/>
        <w:tabs>
          <w:tab w:leader="none" w:pos="464"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i w:val="1"/>
          <w:iCs w:val="1"/>
          <w:color w:val="auto"/>
        </w:rPr>
        <w:t>Employee Compensation</w:t>
      </w:r>
    </w:p>
    <w:p>
      <w:pPr>
        <w:ind w:left="560" w:right="380"/>
        <w:spacing w:after="0" w:line="259" w:lineRule="auto"/>
        <w:rPr>
          <w:sz w:val="20"/>
          <w:szCs w:val="20"/>
          <w:color w:val="auto"/>
        </w:rPr>
      </w:pPr>
      <w:r>
        <w:rPr>
          <w:rFonts w:ascii="Arial" w:cs="Arial" w:eastAsia="Arial" w:hAnsi="Arial"/>
          <w:sz w:val="18"/>
          <w:szCs w:val="18"/>
          <w:color w:val="auto"/>
        </w:rPr>
        <w:t>On August 5, 2021, the Company granted 895,820 equity awards under the 2021 Omnibus Incentive Plan to certain officers. On that date, the Board also authorized management to make grants and awards of cash or options or other equity securities to non-executive officers of the Company under the 2021 Omnibus Incentive Plan in compliance with the plan, of which 1,357,838 equity awards were granted on August 9, 2021.</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Phantom shares</w:t>
      </w:r>
    </w:p>
    <w:p>
      <w:pPr>
        <w:spacing w:after="0" w:line="117"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color w:val="auto"/>
        </w:rPr>
        <w:t>In the third quarter of 2021, the Company used the net proceeds received by it from the IPO, together with cash on hand, to satisfy payments relating to vested phantom shareholders that became due upon the completion of the IPO. See Note 9, “Employee Compensation” for additional information.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color w:val="auto"/>
        </w:rPr>
        <w:t>On July 9, 2021, the Company made payments of $3.6 million to the sellers of TaskUs Holdings, Inc, in relation to the contingent consideration arising from certain tax benefits realized as a result of the Blackstone Acquisition. See Note 8(b), “Commitments and Contingencies” for additional information.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related notes included in Part I, Item 1 of this Quarterly Report on Form 10-Q (this “Quarterly Report”), the financial statements and related notes included in our prospectus dated June 10, 2021 (the “prospectus”), as filed with the Securities and Exchange Commission (the “SEC”) on June 14, 2021 (the “prospectus”) and the information included under “Management’s Discussion and Analysis of Financial Condition and Results of Operations” in the prospectus.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Quarterly Report and under “Risk Factors” in the Quarterly Report and the prospectus.</w:t>
      </w:r>
    </w:p>
    <w:p>
      <w:pPr>
        <w:spacing w:after="0" w:line="17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i w:val="1"/>
          <w:iCs w:val="1"/>
          <w:color w:val="auto"/>
        </w:rPr>
        <w:t>This Quarterly Report includes certain historical consolidated financial and other data for TaskUs, Inc. (“we,” “us,” “our” or the “Company”). The following discussion provides a narrative of our results of operations and financial condition for the three and six months ended June 30, 2021 and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a digital outsourcer, focused on serving high-growth technology companies to represent, protect and grow their brands. We support some of the world’s most disruptive brands such as Zoom, Netflix, Uber, Coinbase and Oscar</w:t>
      </w:r>
      <w:r>
        <w:rPr>
          <w:rFonts w:ascii="Arial" w:cs="Arial" w:eastAsia="Arial" w:hAnsi="Arial"/>
          <w:sz w:val="18"/>
          <w:szCs w:val="18"/>
          <w:i w:val="1"/>
          <w:iCs w:val="1"/>
          <w:color w:val="auto"/>
        </w:rPr>
        <w: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global, omni-channel delivery model is focused on providing our clients three key services – Digital Customer Experience, Content Security and artificial intelligence (“AI”) Operations.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designed our platform to enable us to rapidly scale and benefit from our clients’ growth. We believe our ability to deliver “ridiculously good” outsourcing will enable us to continue to grow our client base.</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Financial Highlights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the three months ended June 30, 2021, we recorded service revenues of $180.0 million, or a 57.4% increase from $114.4 million for the three months ended June 30, 2020. For the six months ended June 30, 2021, we recorded service revenues of $332.9 million, or a 53.5% increase from $216.8 million for the six months ended June 30, 2020.</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Net (loss) income for the three months ended June 30, 2021 decreased to $(105.9) million from $8.0 million for the three months ended June 30, 2020. This decrease included expenses related to the one-time phantom shares bonuses and non-recurring teammate bonuses associated with the IPO of $133.7 million. Adjusted Net Income for the three months ended June 30, 2021 increased 84.9% to $31.4 million from $17.0 million for the three months ended June 30, 2020. Adjusted EBITDA for the three months ended June 30, 2021 increased 67.3% to $44.1 million from $26.4 million for the three months ended June 30, 2020.</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(loss) income for the six months ended June 30, 2021 decreased to $(89.4) million from $9.5 million for the six months ended June 30,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decrease included expenses related to the one-time phantom shares bonuses and non-recurring teammate bonuses associated with the IPO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$133.7 million. Adjusted Net Income for the six months ended June 30, 2021 increased 119.6% to $59.6 million from $27.1 million for the six months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ended June 30, 2020. Adjusted EBITDA for the six months ended June 30, 2021 increased 90.9% to $83.7 million from $43.8 million for the six months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ended June 30,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operating results in any period are not necessarily indicative of the results that may be expected for any future period.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Developments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June 10, 2021, our registration statement on Form S-1 relating to our initial public offering (“IPO”) was declared effective by the U.S. Securities and Exchange Commission, and our Class A common stock began trading on the NASDAQ on June 11, 2021. Our IPO closed on June 15, 2021.</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TaskUs, Inc. issued and sold 5,553,154 shares of Class A common stock (the “primary” offering) and selling stockholders sold 9,626,846 shares (the “secondary” offering), including shares sold by the selling stockholders pursuant to the underwriters’ full exercise of their option to purchase additional shares, at a public offering price of $23 per share. The Company received net proceeds of $120.7 million after deducting underwriting discounts and commissions, but before deducting offering expenses. The Company used the proceeds from the issuance, together with cash on hand, to satisfy payments of approximately $127.5 million in respect of vested phantom shares.</w:t>
      </w:r>
    </w:p>
    <w:p>
      <w:pPr>
        <w:spacing w:after="0" w:line="1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a result of becoming a public company, we expect to incur additional costs related to audit, legal, and tax-related services associated with maintaining compliance with exchange listing and SEC requirements, director and officer insurance premiums and investor relations costs associated with being a public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Prior to the completion of the IPO, we amended and restated our certificate of incorporation to effect a ten-for-one forward stock split of our outstanding common stock and authorized three classes of ownership interests: (i) 250,000,000 shares of Preferred Stock, par value $0.01 per share, (ii) 2,500,000,000 shares of Class A common stock, par value $0.01 per share, and (iii) 250,000,000 shares of Class B common stock, par value $0.01 per share. After giving effect to the ten-for-one stock split, all then outstanding shares of common stock were reclassified into an equal number of shares of Class B common stock (the “Class B Reclassification”).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At the IPO date, we concluded that our public offering represents a qualifying liquidity event that would cause the performance conditions of stock options issued under our 2019 Stock Incentive Plan to be probable of occurring. As such, we started to recognize stock-based compensation expense in relation to the stock options issued under the 2019 Stock Incentive Plan.</w:t>
      </w:r>
    </w:p>
    <w:p>
      <w:pPr>
        <w:spacing w:after="0" w:line="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connection with the IPO, we adopted the 2021 Omnibus Incentive Plan, which became effective on the date our registration statement was declared effective. Under the 2021 Omnibus Incentive Plan, we granted time-based restricted stock units (“RSUs”), performance-based restricted stock units (“PSUs”), and time-based stock options, in each case relating to shares of our Class A common stock.</w:t>
      </w:r>
    </w:p>
    <w:p>
      <w:pPr>
        <w:spacing w:after="0" w:line="5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additional information, see Note 9, “Employee Compensation” in the Notes to Unaudited Condensed Consolidated Financial Statements of this Quarterly Report.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During the first quarter of 2020, there was a global outbreak of COVID-19, which has spread to over 200 countries and territories, including all states in the United States. The global impact of the outbreak has been rapidly evolving and many countries have reacted by instituting quarantines and restrictions on travel, closing financial markets and/or restricting trading, and limiting operations of non-essential businesses. Such actions created disruption in global supply chains, increased rates of unemployment and adversely impacted many industries.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320" w:top="486" w:right="559" w:bottom="1440" w:gutter="0" w:footer="0" w:header="0"/>
        </w:sectPr>
      </w:pPr>
    </w:p>
    <w:bookmarkStart w:id="26" w:name="page27"/>
    <w:bookmarkEnd w:id="26"/>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outbreak could have a continued adverse impact on economic and market conditions, and the full extent of the impact and effects of the COVID-19 pandemic will depend on future developments, including, among other factors, the duration and spread of the outbreak, including new strains and variants of the virus, and the success of vaccination programs, along with related travel advisories, quarantines and restrictions, the recovery time of the disrupted supply chains and industries, the impact of labor market interruptions, the impact of government interventions, and uncertainty with respect to the duration of the global economic slowdown. We continue to closely monitor the outbreak and the impact on our operations and liquidity. As events continue to evolve and additional information becomes available, our estimates may change materially in the future.</w:t>
      </w:r>
    </w:p>
    <w:p>
      <w:pPr>
        <w:spacing w:after="0" w:line="16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a result of the unpredictable and evolving impact of the pandemic and measures being taken around the world to combat its spread, the timing and trajectory of the recovery remain unclear at this time, and the adverse impact of the pandemic on our operations could be material. See “Risk Factors—Risks Related to Our Business and Industry—The ongoing COVID-19 pandemic, including the resulting global economic uncertainty and measures taken in response to the pandemic, has adversely impacted our business, financial condition and results of operations, especially in the first half of 2020, and may continue to do so” in our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Operational Enablement</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early March 2020, in response to the COVID-19 pandemic, we implemented a virtual operating model to protect the health and safety of our employees, and ensure continued service for our clients. As part of the transition to working virtually, we made additional investments in our employees in the form of internet and Wi-Fi connectivity to their homes as well as hotel and shuttle costs for employees who were displaced by the pandemic.</w:t>
      </w:r>
    </w:p>
    <w:p>
      <w:pPr>
        <w:spacing w:after="0" w:line="14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February 2021, we announced the continuation of our company-wide work from home policy through October 2021. However, where there have been specific client requirements to return to our facilities and, where it has been safe to do so, we have begun transitioning some of our employees back to the office. We continued to incur operational enablement costs, however, during the three and six months ended June 30, 2021.</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and Sales Generation</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While we initially saw a reduction in spend from some clients, including ride sharing, live event ticketing, movie ticketing, travel and retail companies, our business performance rebounded in the second half of 2020 despite the uncertainty and initial impact of the pandemic. Our strong market position within our industry verticals as well as our operational agility enabled us to act as a key partner to clients in industry segments such as social media, e-commerce, streaming media, gaming, food delivery and FinTech, which saw an increase in demand driven by a surge in online commerce and content consumption. This trend has continued through the first half of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Cost Management</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Throughout 2020 and the first half of 2021 we were able to meet our liquidity needs with cash generated from operations and we do not have significant liquidity or operational concerns. We continue to closely monitor the outbreak and the impact on our operations and liquidity.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For a description of subsequent events, see Note 14, “Subsequent Events” in the Notes to Unaudited Condensed Consolidated Financial Statements included in this Quarterly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set forth certain historical consolidated financial information for the three months ended June 30, 2021 and 2020.</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Three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months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months</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Period over</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Period</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Change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$ 180,022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65,622</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64,135</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39,663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177,810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25,709</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152,101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5,815</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914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3,570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(3,570)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103,941</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189,109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324"/>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Operating (loss) income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(113,028)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10,459</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(123,487)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Financing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1,594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1,959</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(365)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(122,600)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(8,649)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(105,943)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8,008</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(113,951)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Service revenue for the three months ended June 30, 2021 and 2020 was $180.0 million and $114.4 million, respectively. Service revenue for the three months ended June 30, 2021 increased by $65.6 million or 57.4% when compared to the three months ended June 30, 2020. The period over period growth in Digital Customer Experience, Content Security and AI Operations contributed 37.0%, 10.4%, and 10.0%, respectively, of the total increase of</w:t>
      </w:r>
    </w:p>
    <w:p>
      <w:pPr>
        <w:sectPr>
          <w:pgSz w:w="11900" w:h="16849" w:orient="portrait"/>
          <w:cols w:equalWidth="0" w:num="1">
            <w:col w:w="11120"/>
          </w:cols>
          <w:pgMar w:left="320" w:top="486" w:right="459" w:bottom="0" w:gutter="0" w:footer="0" w:header="0"/>
        </w:sectPr>
      </w:pPr>
    </w:p>
    <w:bookmarkStart w:id="27" w:name="page28"/>
    <w:bookmarkEnd w:id="27"/>
    <w:p>
      <w:pPr>
        <w:spacing w:after="0" w:line="279" w:lineRule="auto"/>
        <w:rPr>
          <w:sz w:val="20"/>
          <w:szCs w:val="20"/>
          <w:color w:val="auto"/>
        </w:rPr>
      </w:pPr>
      <w:r>
        <w:rPr>
          <w:rFonts w:ascii="Arial" w:cs="Arial" w:eastAsia="Arial" w:hAnsi="Arial"/>
          <w:sz w:val="17"/>
          <w:szCs w:val="17"/>
          <w:color w:val="auto"/>
        </w:rPr>
        <w:t>57.4% for the three months ended June 30, 2021. The 59.2% growth in Digital Customer Experience was primarily driven by an increase in volume of services to our existing customers and new customer wins. The 38.4% growth in Content Security was primarily driven by an increase in the volume of services to our existing customers. Our AI Operations service offering experienced year over year growth of 95.9% during the three months ended June 30, 2021 which was driven by an increase in the volume of services to our existing customers and new customer wins.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440" w:top="125" w:right="5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service revenues by service offering for each period.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1"/>
              </w:rPr>
              <w:t>Three Months</w:t>
            </w:r>
          </w:p>
        </w:tc>
        <w:tc>
          <w:tcPr>
            <w:tcW w:w="4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Period over</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Period over</w:t>
            </w:r>
          </w:p>
        </w:tc>
        <w:tc>
          <w:tcPr>
            <w:tcW w:w="0" w:type="dxa"/>
            <w:vAlign w:val="bottom"/>
          </w:tcPr>
          <w:p>
            <w:pPr>
              <w:spacing w:after="0"/>
              <w:rPr>
                <w:sz w:val="1"/>
                <w:szCs w:val="1"/>
                <w:color w:val="auto"/>
              </w:rPr>
            </w:pPr>
          </w:p>
        </w:tc>
      </w:tr>
      <w:tr>
        <w:trPr>
          <w:trHeight w:val="148"/>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04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Period</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6280" w:type="dxa"/>
            <w:vAlign w:val="bottom"/>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June 30, 2021</w:t>
            </w:r>
          </w:p>
        </w:tc>
        <w:tc>
          <w:tcPr>
            <w:tcW w:w="4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June 30, 2020</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 xml:space="preserve">Change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Change (%)</w:t>
            </w:r>
          </w:p>
        </w:tc>
        <w:tc>
          <w:tcPr>
            <w:tcW w:w="0" w:type="dxa"/>
            <w:vAlign w:val="bottom"/>
          </w:tcPr>
          <w:p>
            <w:pPr>
              <w:spacing w:after="0"/>
              <w:rPr>
                <w:sz w:val="1"/>
                <w:szCs w:val="1"/>
                <w:color w:val="auto"/>
              </w:rPr>
            </w:pPr>
          </w:p>
        </w:tc>
      </w:tr>
      <w:tr>
        <w:trPr>
          <w:trHeight w:val="20"/>
        </w:trPr>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Digital Customer Experience</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lef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113,566</w:t>
            </w:r>
          </w:p>
        </w:tc>
        <w:tc>
          <w:tcPr>
            <w:tcW w:w="440" w:type="dxa"/>
            <w:vAlign w:val="bottom"/>
            <w:tcBorders>
              <w:lef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71,345</w:t>
            </w: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42,221</w:t>
            </w:r>
          </w:p>
        </w:tc>
        <w:tc>
          <w:tcPr>
            <w:tcW w:w="44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Content Security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42,995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31,076</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11,919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AI Operations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23,461</w:t>
            </w:r>
          </w:p>
        </w:tc>
        <w:tc>
          <w:tcPr>
            <w:tcW w:w="4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11,482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180,022</w:t>
            </w:r>
          </w:p>
        </w:tc>
        <w:tc>
          <w:tcPr>
            <w:tcW w:w="4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114,400</w:t>
            </w:r>
          </w:p>
        </w:tc>
        <w:tc>
          <w:tcPr>
            <w:tcW w:w="4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65,622</w:t>
            </w:r>
          </w:p>
        </w:tc>
        <w:tc>
          <w:tcPr>
            <w:tcW w:w="44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 by delivery geography</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breakdown of our service revenues by geographical location, based on where the services are provided.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1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0"/>
              </w:rPr>
              <w:t>Period over</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Period over</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8"/>
        </w:trPr>
        <w:tc>
          <w:tcPr>
            <w:tcW w:w="5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Period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June 30, 2021</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June 30, 2020</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 xml:space="preserve">Change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4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Philippines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95,681</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32,839</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58,930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43,429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15,501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5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25,411</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17,282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180,022</w:t>
            </w:r>
          </w:p>
        </w:tc>
        <w:tc>
          <w:tcPr>
            <w:tcW w:w="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114,400</w:t>
            </w:r>
          </w:p>
        </w:tc>
        <w:tc>
          <w:tcPr>
            <w:tcW w:w="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65,622</w:t>
            </w:r>
          </w:p>
        </w:tc>
        <w:tc>
          <w:tcPr>
            <w:tcW w:w="460" w:type="dxa"/>
            <w:vAlign w:val="bottom"/>
            <w:vMerge w:val="continue"/>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5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Revenues generated from services provided from our delivery sites in the Philippines grew from expansion in all three of our service offerings, Digital Customer Experience, Content Security and AI Operations, which contributed 32.0%, 14.7%, and 5.6% of the total increase of 52.3% in the Philippines, respectively.</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Revenues generated from services provided from the United States grew primarily from expansion in two of our service offerings, Digital Customer Experience and AI Operations, which contributed 28.8% and 13.6% of the total increase of 35.7% in the United States, respectively, partially offset by a 6.7% decrease contributed by Content Security due to the shift in revenues to the Philippines and Rest of World.</w:t>
      </w:r>
    </w:p>
    <w:p>
      <w:pPr>
        <w:spacing w:after="0" w:line="16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Revenues generated from services provided from the Rest of World grew primarily from expansion in all three of our service offerings in India and Mexico.</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services</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Cost of services for the three months ended June 30, 2021 and 2020 was $103.8 million and $64.1 million, respectively. Cost of services for the three months ended June 30, 2021 increased by $39.7 million, or 61.8%, when compared to the three months ended June 30, 2020. The change was primarily driven by an increase in personnel costs of $35.7 million related to an increase in headcount to meet the demand in services from our customers. The remaining increase included operational enablement costs incurred in response to the COVID pandemic.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Selling, general, and administrative expense for the three months ended June 30, 2021 and 2020 was $177.8 million and $25.7 million, respectively. Selling, general, and administrative expense for the three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6"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months ended June 30, 2021 increased by $152.1 million, or 591.6%, when compared to the three months ended June 30, 2020. The increase was primarily driven by higher personnel costs of $146.3 million due primarily to expenses related to the one-time phantom shares bonuses and non-recurring teammate bonuses associated with the IPO of $133.7 million, as well as increased costs across functions in support of our growth in revenue and stock-based compensation expense for equity-classified awards of $5.8 million. The remaining increase included professional fees of $2.8 million primarily related to third parties who were engaged to assist with preparation for the IPO. We expect our stock-based compensation expense for equity-classified awards to increase in future periods as we recognize expense for the full periods, as well as future grants.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Depreciation for the three months ended June 30, 2021 and 2020 was $6.7 million and $5.8 million, respectively. The increase in depreciation is a result of capital expenditures for additional technology and computers in support of our company-wide work-from-home policy.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Amortization of intangible assets for the three months ended June 30, 2021 and 2020 was $4.7 million. Amortization can be attributed to the recognition of client relationship and trade name intangible assets recognized in connection with the October 2018 transaction in which we were formed by affiliates of Blackstone as a vehicle for the acquisition of TaskUs Holdings, Inc. (the “Blackstone Acquisition”) that are being amortized on a straight-line basis.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recognized expense related to the increase in the value of a contingent consideration liability of $3.6 million for cash payments due to the sellers in the Blackstone Acquisition as a result of tax benefits that became receivable by the Company during the three months ended June 30, 2020. See Note 8(b), “Contingent Consideration” in the Notes to Unaudited Condensed Consolidated Financial Statements included in this Quarterly Report for additional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Other income for the three months ended June 30, 2021 and 2020 was $1.7 million and $1.1 million, respectively. Changes in other income are driven by our exposure to foreign currency exchange risk resulting from our operations in foreign geographies, primarily the Philippines, offset by economic hedges using foreign currency exchange rate forward contracts.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expense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Financing expense for the three months ended June 30, 2021 and 2020 was $1.6 million and $2.0 million, respectively. The decrease in financing expense is primarily driven by the decrease in the rate of LIBOR used to calculate the interest rate of the term loan. See “—Liquidity and Capital Resources—Indebtedness—2019 Credit Agreement” for additional discussion on term loan.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(Benefit from) provision for income taxes for the three months ended June 30, 2021 and 2020 was $(7.0) million and $1.6 million, respectively. The effective tax rate for the three months ended June 30, 2021 and 2020 was 6.2% and 16.9%, respectively. There are certain items included within the (benefit from) provision for income taxes calculation which are directly related to the IPO and not expected to recur in future periods, including certain phantom shares bonuses and equity awards made to officers which are not deductible under Section 162(m) of the Internal Revenue Code. Additionally, there are costs related to the issuance of stock-based compensation included within the (benefit from) provision for income taxes calculation. If those costs directly related to the IPO and stock-based compensation are removed, the provision for income taxes would have been $4.4 million and the effective tax rate would have been 19.5% for the three months ended June 30, 2021.</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effective tax rate in the future will depend upon the proportion of income before provision for income taxes earned in the United states and in jurisdictions with a tax rate lower than the U.S. statutory rate, as well as a number of other factors, including the impact of new legislation.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certain historical consolidated financial information for the six months ended June 30, 2021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Six</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Six months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months</w:t>
            </w: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Period over</w:t>
            </w: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Period 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Period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Change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Change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1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$332,893</w:t>
            </w:r>
          </w:p>
        </w:tc>
        <w:tc>
          <w:tcPr>
            <w:tcW w:w="3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$216,829</w:t>
            </w:r>
          </w:p>
        </w:tc>
        <w:tc>
          <w:tcPr>
            <w:tcW w:w="2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$ 116,064</w:t>
            </w:r>
          </w:p>
        </w:tc>
        <w:tc>
          <w:tcPr>
            <w:tcW w:w="38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191,828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125,918</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65,910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400" w:type="dxa"/>
            <w:vAlign w:val="bottom"/>
            <w:gridSpan w:val="3"/>
          </w:tcPr>
          <w:p>
            <w:pPr>
              <w:jc w:val="right"/>
              <w:ind w:right="380"/>
              <w:spacing w:after="0"/>
              <w:rPr>
                <w:sz w:val="20"/>
                <w:szCs w:val="20"/>
                <w:color w:val="auto"/>
              </w:rPr>
            </w:pPr>
            <w:r>
              <w:rPr>
                <w:rFonts w:ascii="Arial" w:cs="Arial" w:eastAsia="Arial" w:hAnsi="Arial"/>
                <w:sz w:val="18"/>
                <w:szCs w:val="18"/>
                <w:color w:val="auto"/>
              </w:rPr>
              <w:t>209,308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51,440</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157,868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12,932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10,529</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2,403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400" w:type="dxa"/>
            <w:vAlign w:val="bottom"/>
            <w:gridSpan w:val="3"/>
          </w:tcPr>
          <w:p>
            <w:pPr>
              <w:jc w:val="right"/>
              <w:ind w:right="380"/>
              <w:spacing w:after="0"/>
              <w:rPr>
                <w:sz w:val="20"/>
                <w:szCs w:val="20"/>
                <w:color w:val="auto"/>
              </w:rPr>
            </w:pPr>
            <w:r>
              <w:rPr>
                <w:rFonts w:ascii="Arial" w:cs="Arial" w:eastAsia="Arial" w:hAnsi="Arial"/>
                <w:sz w:val="18"/>
                <w:szCs w:val="18"/>
                <w:color w:val="auto"/>
              </w:rPr>
              <w:t>9,424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9,424</w:t>
            </w: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2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3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(3,570)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423,520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200,876</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222,644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Operating (loss) income</w:t>
            </w:r>
          </w:p>
        </w:tc>
        <w:tc>
          <w:tcPr>
            <w:tcW w:w="2400" w:type="dxa"/>
            <w:vAlign w:val="bottom"/>
            <w:gridSpan w:val="3"/>
          </w:tcPr>
          <w:p>
            <w:pPr>
              <w:jc w:val="right"/>
              <w:ind w:right="320"/>
              <w:spacing w:after="0"/>
              <w:rPr>
                <w:sz w:val="20"/>
                <w:szCs w:val="20"/>
                <w:color w:val="auto"/>
              </w:rPr>
            </w:pPr>
            <w:r>
              <w:rPr>
                <w:rFonts w:ascii="Arial" w:cs="Arial" w:eastAsia="Arial" w:hAnsi="Arial"/>
                <w:sz w:val="18"/>
                <w:szCs w:val="18"/>
                <w:color w:val="auto"/>
              </w:rPr>
              <w:t>(90,627)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15,953</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(106,580)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Financing expenses</w:t>
            </w:r>
          </w:p>
        </w:tc>
        <w:tc>
          <w:tcPr>
            <w:tcW w:w="13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3,175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4,202</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(1,027)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taxes</w:t>
            </w:r>
          </w:p>
        </w:tc>
        <w:tc>
          <w:tcPr>
            <w:tcW w:w="1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(92,897)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11,491</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(104,388)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3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(3,461)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1,968</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(5,429)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 (89,436)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9,523</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(98,959)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Service revenue for the six months ended June 30, 2021 and 2020 was $332.9 million and $216.8 million, respectively. Service revenue for the six months ended June 30, 2021 increased by $116.1 million or 53.5% when compared to the six months ended June 30, 2020. The year over year growth in Digital Customer Experience, Content Security and AI Operations contributed 35.4%, 9.9%, and 8.2%, respectively, of the total increase of 53.5% for the six months ended June 30, 2021. The 56.2% growth in Digital Customer Experience was primarily driven by an increase in volume of services to our existing customers and new customer wins. The 37.3% growth in Content Security was primarily driven by an increase in volume of services to our existing customers. Our AI Operations service offering experienced growth of 78.8% during the six months ended June 30, 2021 which was driven by an increase in volume of services to our existing customers and new customer wins.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service revenues by service offering for each period.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Six Months</w:t>
            </w: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Period over</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Period over</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1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Period</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354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Change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Change (%)</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Digital Customer Experience</w:t>
            </w:r>
          </w:p>
        </w:tc>
        <w:tc>
          <w:tcPr>
            <w:tcW w:w="2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$ 213,277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$ 136,562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  76,715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Content Security</w:t>
            </w:r>
          </w:p>
        </w:tc>
        <w:tc>
          <w:tcPr>
            <w:tcW w:w="3160" w:type="dxa"/>
            <w:vAlign w:val="bottom"/>
            <w:gridSpan w:val="3"/>
          </w:tcPr>
          <w:p>
            <w:pPr>
              <w:jc w:val="right"/>
              <w:ind w:right="200"/>
              <w:spacing w:after="0"/>
              <w:rPr>
                <w:sz w:val="20"/>
                <w:szCs w:val="20"/>
                <w:color w:val="auto"/>
              </w:rPr>
            </w:pPr>
            <w:r>
              <w:rPr>
                <w:rFonts w:ascii="Arial" w:cs="Arial" w:eastAsia="Arial" w:hAnsi="Arial"/>
                <w:sz w:val="18"/>
                <w:szCs w:val="18"/>
                <w:color w:val="auto"/>
              </w:rPr>
              <w:t>79,122</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57,614</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21,508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AI Operations</w:t>
            </w:r>
          </w:p>
        </w:tc>
        <w:tc>
          <w:tcPr>
            <w:tcW w:w="2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22,653</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17,841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w:t>
            </w:r>
          </w:p>
        </w:tc>
        <w:tc>
          <w:tcPr>
            <w:tcW w:w="2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$ 332,893</w:t>
            </w:r>
          </w:p>
        </w:tc>
        <w:tc>
          <w:tcPr>
            <w:tcW w:w="20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$ 216,829</w:t>
            </w:r>
          </w:p>
        </w:tc>
        <w:tc>
          <w:tcPr>
            <w:tcW w:w="420" w:type="dxa"/>
            <w:vAlign w:val="bottom"/>
            <w:vMerge w:val="continue"/>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$ 116,064</w:t>
            </w:r>
          </w:p>
        </w:tc>
        <w:tc>
          <w:tcPr>
            <w:tcW w:w="420" w:type="dxa"/>
            <w:vAlign w:val="bottom"/>
            <w:vMerge w:val="continue"/>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4"/>
                <w:szCs w:val="24"/>
                <w:color w:val="auto"/>
              </w:rPr>
            </w:pPr>
          </w:p>
        </w:tc>
        <w:tc>
          <w:tcPr>
            <w:tcW w:w="2260" w:type="dxa"/>
            <w:vAlign w:val="bottom"/>
          </w:tcPr>
          <w:p>
            <w:pPr>
              <w:jc w:val="right"/>
              <w:ind w:right="550"/>
              <w:spacing w:after="0"/>
              <w:rPr>
                <w:sz w:val="20"/>
                <w:szCs w:val="20"/>
                <w:color w:val="auto"/>
              </w:rPr>
            </w:pPr>
            <w:r>
              <w:rPr>
                <w:rFonts w:ascii="Arial" w:cs="Arial" w:eastAsia="Arial" w:hAnsi="Arial"/>
                <w:sz w:val="18"/>
                <w:szCs w:val="18"/>
                <w:color w:val="auto"/>
              </w:rPr>
              <w:t>27</w:t>
            </w: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 by delivery geography</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breakdown of our service revenues by geographical location, based on where the services are provided.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3"/>
              </w:rPr>
              <w:t>Six Months</w:t>
            </w: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Period over</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Period over</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4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Period</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5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Change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4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Change (%)</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180,259</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118,716</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61,543</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109,687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84,074</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25,613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42,947</w:t>
            </w:r>
          </w:p>
        </w:tc>
        <w:tc>
          <w:tcPr>
            <w:tcW w:w="4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14,039</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28,908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332,893</w:t>
            </w:r>
          </w:p>
        </w:tc>
        <w:tc>
          <w:tcPr>
            <w:tcW w:w="4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216,829</w:t>
            </w:r>
          </w:p>
        </w:tc>
        <w:tc>
          <w:tcPr>
            <w:tcW w:w="48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$ 116,064</w:t>
            </w:r>
          </w:p>
        </w:tc>
        <w:tc>
          <w:tcPr>
            <w:tcW w:w="460" w:type="dxa"/>
            <w:vAlign w:val="bottom"/>
            <w:vMerge w:val="continue"/>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Revenues generated from services provided from our delivery sites in the Philippines grew from expansion in all three of our service offerings, Digital Customer Experience, Content Security and AI Operations, which contributed 30.2%, 15.2%, and 6.4% of the total increase of 51.8% in the Philippines, respectively.</w:t>
      </w:r>
    </w:p>
    <w:p>
      <w:pPr>
        <w:spacing w:after="0" w:line="184"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Revenues generated from services provided from the United States growth resulted primarily from expansion in two of our service offerings, Digital Customer Experience and AI Operations, which contributed 26.0% and 9.3% of the total increase of 30.5% in the United States, respectively, partially offset by a 4.8% decrease contributed by Content Security due to the shift in revenues to the Philippines.</w:t>
      </w:r>
    </w:p>
    <w:p>
      <w:pPr>
        <w:spacing w:after="0" w:line="16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Revenues generated from services provided from the Rest of World growth was primarily driven by expansion in all three of our service offerings in India and Mexico.</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Cost of services for the six months ended June 30, 2021 and 2020 was $191.8 million and $125.9 million, respectively. Cost of services for the six months ended June 30, 2021 increased by $65.9 million, or 52.3%, when compared to the six months ended June 30, 2020. The change was primarily driven by an increase in personnel costs of $60.0 million related to an increase in headcount to meet the demand in services from our customers. The remaining increase included operational enablement costs incurred in response to the COVID pandemic.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Selling, general, and administrative expense for the six months ended June 30, 2021 and 2020 was $209.3 million and $51.4 million, respectively. Selling, general, and administrative expense for the six months ended June 30, 2021 increased by $157.9 million, or 306.9%, when compared to the six months ended June 30, 2020. The increase was primarily driven by higher personnel costs of $148.5 million due primarily to expenses related to the one-time phantom shares bonuses and non-recurring teammate bonuses associated with the IPO of $133.7 million, as well as increased costs across functions in support of our growth in revenue and stock-based compensation expense for equity-classified awards of $5.8 million. The remaining increase included professional fees of $6.7 million due primarily to third parties who were engaged to assist with preparation for the IPO. We expect our stock-based compensation expense for equity-classified awards to increase in future periods as we recognize expense for the full periods, as well as any future grants.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86"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Depreciation for the six months ended June 30, 2021 and 2020 was $12.9 million and $10.5 million, respectively. The increase in depreciation is a result of capital expenditures for additional technology and computers in support of our company-wide work-from-home policy.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Amortization of intangible assets for the six months ended June 30, 2021 and 2020 was $9.4 million. Amortization can be attributed to the recognition of client relationship and trade name intangible assets recognized in connection with the Blackstone Acquisition that are being amortized on a straight-line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recognized expense related to the increase in the value of a contingent consideration liability of $3.6 million for cash payments due to the sellers in the Blackstone Acquisition as a result of tax benefits that became receivable by the Company during the six months ended June 30, 2020. See Note 8(b), “Contingent Consideration” in the Notes to Unaudited Condensed Consolidated Financial Statements included in this Quarterly Report for additional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Other (income) expense for the six months ended June 30, 2021 and 2020 was $(0.9) million and $0.3 million, respectively. Changes in other income are driven by our exposure to foreign currency exchange risk resulting from our operations in foreign geographies, primarily the Philippines, offset by economic hedges using foreign currency exchange rate forward contracts.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expense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Financing expense for the six months ended June 30, 2021 and 2020 was $3.2 million and $4.2 million, respectively. The decrease in financing expense is primarily driven by the decrease in the rate of LIBOR used to calculate the interest rate of the term loan. See “—Liquidity and Capital Resources—Indebtedness—2019 Credit Agreement” for additional discussion on term loan.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(Benefit from) provision for income taxes for the six months ended June 30, 2021 and 2020 was $(3.5) million and $2.0 million, respectively. Our effective tax rate for the six months ended June 30, 2021 and 2020 was 3.7% and 17.1%, respectively. There are certain items included within the provision for income taxes calculation which are directly related to the IPO and not expected to recur in future periods, including certain phantom shares bonuses and equity awards made to officers which are not deductible under Section 162(m) of the Internal Revenue Code. Additionally, there are costs related to the issuance of stock-based compensation included within the (benefit from) provision for income taxes calculation. If those costs directly related to the IPO and stock-based compensation expense are removed, the provision for income taxes would have been $8.0 million and the effective tax rate would have been 18.7% for the six months ended June 30, 2021.</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6"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by Top Clients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sets forth the percentage of our total service revenues derived from our largest clients for the three months and six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and 2020:</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Percentage of Total Service Revenue</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3660" w:type="dxa"/>
            <w:vAlign w:val="bottom"/>
          </w:tcPr>
          <w:p>
            <w:pPr>
              <w:spacing w:after="0"/>
              <w:rPr>
                <w:sz w:val="10"/>
                <w:szCs w:val="10"/>
                <w:color w:val="auto"/>
              </w:rPr>
            </w:pPr>
          </w:p>
        </w:tc>
        <w:tc>
          <w:tcPr>
            <w:tcW w:w="176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Three Months</w:t>
            </w:r>
          </w:p>
        </w:tc>
        <w:tc>
          <w:tcPr>
            <w:tcW w:w="1780" w:type="dxa"/>
            <w:vAlign w:val="bottom"/>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Three Months</w:t>
            </w:r>
          </w:p>
        </w:tc>
        <w:tc>
          <w:tcPr>
            <w:tcW w:w="176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Six Months</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Six Months</w:t>
            </w:r>
          </w:p>
        </w:tc>
        <w:tc>
          <w:tcPr>
            <w:tcW w:w="200" w:type="dxa"/>
            <w:vAlign w:val="bottom"/>
          </w:tcPr>
          <w:p>
            <w:pPr>
              <w:spacing w:after="0"/>
              <w:rPr>
                <w:sz w:val="10"/>
                <w:szCs w:val="10"/>
                <w:color w:val="auto"/>
              </w:rPr>
            </w:pPr>
          </w:p>
        </w:tc>
      </w:tr>
      <w:tr>
        <w:trPr>
          <w:trHeight w:val="149"/>
        </w:trPr>
        <w:tc>
          <w:tcPr>
            <w:tcW w:w="366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Ended June 30,</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Ended June 30,</w:t>
            </w:r>
          </w:p>
        </w:tc>
      </w:tr>
      <w:tr>
        <w:trPr>
          <w:trHeight w:val="171"/>
        </w:trPr>
        <w:tc>
          <w:tcPr>
            <w:tcW w:w="36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8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8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Top ten clients</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Top twenty clients</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77%</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85%</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78%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bl>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For the three months ended June 30, 2021 and 2020, we generated 27% and 33%, respectively, of our service revenue from Facebook, our largest client, and we generated 12% and 16%, respectively, of our service revenue from our second largest client, DoorDash. For the six months ended</w:t>
      </w:r>
    </w:p>
    <w:p>
      <w:pPr>
        <w:ind w:left="120" w:right="60"/>
        <w:spacing w:after="0" w:line="260" w:lineRule="auto"/>
        <w:rPr>
          <w:sz w:val="20"/>
          <w:szCs w:val="20"/>
          <w:color w:val="auto"/>
        </w:rPr>
      </w:pPr>
      <w:r>
        <w:rPr>
          <w:rFonts w:ascii="Arial" w:cs="Arial" w:eastAsia="Arial" w:hAnsi="Arial"/>
          <w:sz w:val="18"/>
          <w:szCs w:val="18"/>
          <w:color w:val="auto"/>
        </w:rPr>
        <w:t>June 30, 2021 and 2020, we generated 28% and 32%, respectively, of our service revenue from Facebook, our largest client, and we generated 12% and 14%, respectively, of our service revenue from our second largest client, DoorDash.</w:t>
      </w:r>
    </w:p>
    <w:p>
      <w:pPr>
        <w:spacing w:after="0" w:line="18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“Quantitative and Qualitative Disclosures About Market Risk” for additional information on how foreign currency impacts our financial results.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use Adjusted Net Income, Adjusted Earnings Per Share (“EPS”), EBITDA and Adjusted EBITDA as key profitability measures to assess the performance of our business.</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Each of the profitability measures described below are not recognized under GAAP and do not purport to be an alternative to net income as a measure of our performance. Such measures have limitations as analytical tools, and you should not consider any of such measures in isolation or as substitutes for our results as reported under GAAP. Adjusted Net Income,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 from Adjusted Net Income amortization of intangible assets, offering costs, the effect of foreign currency gains and losses, losses on disposals of assets, COVID-19 related expenses, severance costs, natural disaster costs, contingent consideration, one-time payments associated with the IPO, stock-based compensation expense associated with equity-classified awards and the related effect on income taxes of certain pre-tax adjustments, which include costs that are required to be expensed in accordance with GAAP.</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86"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reconciles net income, the most directly comparable GAAP measure, to Adjusted Net Income for the three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and 2020:</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Three months</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Period over</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Period 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Change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 Change</w:t>
            </w:r>
          </w:p>
        </w:tc>
        <w:tc>
          <w:tcPr>
            <w:tcW w:w="0" w:type="dxa"/>
            <w:vAlign w:val="bottom"/>
          </w:tcPr>
          <w:p>
            <w:pPr>
              <w:spacing w:after="0"/>
              <w:rPr>
                <w:sz w:val="1"/>
                <w:szCs w:val="1"/>
                <w:color w:val="auto"/>
              </w:rPr>
            </w:pPr>
          </w:p>
        </w:tc>
      </w:tr>
      <w:tr>
        <w:trPr>
          <w:trHeight w:val="17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margin amounts)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(105,943)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(113,951)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4,712</w:t>
            </w:r>
          </w:p>
        </w:tc>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Offering costs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2,432</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 xml:space="preserve">Foreign currency gains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(481)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COVID-19 related expenses</w:t>
            </w:r>
            <w:r>
              <w:rPr>
                <w:rFonts w:ascii="Arial" w:cs="Arial" w:eastAsia="Arial" w:hAnsi="Arial"/>
                <w:sz w:val="25"/>
                <w:szCs w:val="25"/>
                <w:color w:val="auto"/>
                <w:vertAlign w:val="superscript"/>
              </w:rPr>
              <w:t>(3)</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3,711</w:t>
            </w:r>
          </w:p>
        </w:tc>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2,391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Severance costs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3,570</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(3,570)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Phantom shares bonus</w:t>
            </w:r>
            <w:r>
              <w:rPr>
                <w:rFonts w:ascii="Arial" w:cs="Arial" w:eastAsia="Arial" w:hAnsi="Arial"/>
                <w:sz w:val="25"/>
                <w:szCs w:val="25"/>
                <w:color w:val="auto"/>
                <w:vertAlign w:val="superscript"/>
              </w:rPr>
              <w:t>(5)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129,362</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129,362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Teammate IPO bonus</w:t>
            </w:r>
            <w:r>
              <w:rPr>
                <w:rFonts w:ascii="Arial" w:cs="Arial" w:eastAsia="Arial" w:hAnsi="Arial"/>
                <w:sz w:val="25"/>
                <w:szCs w:val="25"/>
                <w:color w:val="auto"/>
                <w:vertAlign w:val="superscript"/>
              </w:rPr>
              <w:t>(6)</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4,361</w:t>
            </w:r>
          </w:p>
        </w:tc>
        <w:tc>
          <w:tcPr>
            <w:tcW w:w="20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4,361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5,771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5,771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Tax impacts of adjustments</w:t>
            </w:r>
            <w:r>
              <w:rPr>
                <w:rFonts w:ascii="Arial" w:cs="Arial" w:eastAsia="Arial" w:hAnsi="Arial"/>
                <w:sz w:val="25"/>
                <w:szCs w:val="25"/>
                <w:color w:val="auto"/>
                <w:vertAlign w:val="superscript"/>
              </w:rPr>
              <w:t>(8)</w:t>
            </w: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(11,440)</w:t>
            </w:r>
          </w:p>
        </w:tc>
        <w:tc>
          <w:tcPr>
            <w:tcW w:w="20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(11,440)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31,372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16,968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14,404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line="242" w:lineRule="exact"/>
              <w:rPr>
                <w:sz w:val="20"/>
                <w:szCs w:val="20"/>
                <w:color w:val="auto"/>
              </w:rPr>
            </w:pPr>
            <w:r>
              <w:rPr>
                <w:rFonts w:ascii="Arial" w:cs="Arial" w:eastAsia="Arial" w:hAnsi="Arial"/>
                <w:sz w:val="18"/>
                <w:szCs w:val="18"/>
                <w:color w:val="auto"/>
              </w:rPr>
              <w:t>Net (Loss) Income Margin</w:t>
            </w:r>
            <w:r>
              <w:rPr>
                <w:rFonts w:ascii="Arial" w:cs="Arial" w:eastAsia="Arial" w:hAnsi="Arial"/>
                <w:sz w:val="25"/>
                <w:szCs w:val="25"/>
                <w:color w:val="auto"/>
                <w:vertAlign w:val="superscript"/>
              </w:rPr>
              <w:t>(9)</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Adjusted Net Income Margin</w:t>
            </w:r>
            <w:r>
              <w:rPr>
                <w:rFonts w:ascii="Arial" w:cs="Arial" w:eastAsia="Arial" w:hAnsi="Arial"/>
                <w:sz w:val="25"/>
                <w:szCs w:val="25"/>
                <w:color w:val="auto"/>
                <w:vertAlign w:val="superscript"/>
              </w:rPr>
              <w:t>(9)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one-time professional service fees related to the preparation for the IPO that have been expensed during the period.</w:t>
      </w:r>
    </w:p>
    <w:p>
      <w:pPr>
        <w:spacing w:after="0" w:line="23"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Realized and unrealized foreign currency gains include the effect of fair market value changes of forward contracts and remeasurement of U.S. dollar-denominated accounts to foreign currency.</w:t>
      </w:r>
    </w:p>
    <w:p>
      <w:pPr>
        <w:ind w:left="540" w:right="6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incremental expenses incurred that relate to the transition to a virtual operating model and incentive and leave pay granted to employees that are directly attributable to the COVID-19 pandemic.</w:t>
      </w: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severance payments as a result of certain cost optimization measures we undertook during the period.</w:t>
      </w:r>
    </w:p>
    <w:p>
      <w:pPr>
        <w:spacing w:after="0" w:line="9"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expense for one-time non-recurring payments of $127.5 million to vested phantom shareholders in connection with the completion of the IPO, as well as associated payroll tax and 401(k) contributions.</w:t>
      </w: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expense for non-recurring bonus payments to certain employees in connection with the completion of the IPO.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stock-based compensation expense associated with equity-classified awards.</w:t>
      </w:r>
    </w:p>
    <w:p>
      <w:pPr>
        <w:spacing w:after="0" w:line="9"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tax impacts of adjustments to net (loss) income which resulted in a tax benefit during the period. These adjustments include phantom shares bonus related to the IPO and stock-based compensation expense after the IPO.</w:t>
      </w:r>
    </w:p>
    <w:p>
      <w:pPr>
        <w:ind w:left="540" w:right="280" w:hanging="424"/>
        <w:spacing w:after="0" w:line="26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(Loss) Income Margin represents net (loss) income divided by service revenue and Adjusted Net Income Margin represents Adjusted Net Income divided by service revenue.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320" w:top="486" w:right="5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reconciles net income, the most directly comparable GAAP measure, to Adjusted Net Income for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and 2020:</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Six months</w:t>
            </w:r>
          </w:p>
        </w:tc>
        <w:tc>
          <w:tcPr>
            <w:tcW w:w="10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Six months</w:t>
            </w:r>
          </w:p>
        </w:tc>
        <w:tc>
          <w:tcPr>
            <w:tcW w:w="8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Period over</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Period 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Change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 Change</w:t>
            </w:r>
          </w:p>
        </w:tc>
        <w:tc>
          <w:tcPr>
            <w:tcW w:w="0" w:type="dxa"/>
            <w:vAlign w:val="bottom"/>
          </w:tcPr>
          <w:p>
            <w:pPr>
              <w:spacing w:after="0"/>
              <w:rPr>
                <w:sz w:val="1"/>
                <w:szCs w:val="1"/>
                <w:color w:val="auto"/>
              </w:rPr>
            </w:pPr>
          </w:p>
        </w:tc>
      </w:tr>
      <w:tr>
        <w:trPr>
          <w:trHeight w:val="17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margin amounts)</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(89,436)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(98,959)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9,424</w:t>
            </w:r>
          </w:p>
        </w:tc>
        <w:tc>
          <w:tcPr>
            <w:tcW w:w="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Offering costs</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Arial" w:cs="Arial" w:eastAsia="Arial" w:hAnsi="Arial"/>
                <w:sz w:val="18"/>
                <w:szCs w:val="18"/>
                <w:color w:val="auto"/>
              </w:rPr>
              <w:t xml:space="preserve">Foreign currency (gains) losses </w:t>
            </w:r>
            <w:r>
              <w:rPr>
                <w:rFonts w:ascii="Arial" w:cs="Arial" w:eastAsia="Arial" w:hAnsi="Arial"/>
                <w:sz w:val="25"/>
                <w:szCs w:val="25"/>
                <w:color w:val="auto"/>
                <w:vertAlign w:val="superscript"/>
              </w:rPr>
              <w:t>(2)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(1,098)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Arial" w:cs="Arial" w:eastAsia="Arial" w:hAnsi="Arial"/>
                <w:sz w:val="18"/>
                <w:szCs w:val="18"/>
                <w:color w:val="auto"/>
              </w:rPr>
              <w:t>COVID-19 related expenses</w:t>
            </w:r>
            <w:r>
              <w:rPr>
                <w:rFonts w:ascii="Arial" w:cs="Arial" w:eastAsia="Arial" w:hAnsi="Arial"/>
                <w:sz w:val="25"/>
                <w:szCs w:val="25"/>
                <w:color w:val="auto"/>
                <w:vertAlign w:val="superscript"/>
              </w:rPr>
              <w:t>(3)</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3,759</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2,346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Severance costs</w:t>
            </w:r>
            <w:r>
              <w:rPr>
                <w:rFonts w:ascii="Arial" w:cs="Arial" w:eastAsia="Arial" w:hAnsi="Arial"/>
                <w:sz w:val="25"/>
                <w:szCs w:val="25"/>
                <w:color w:val="auto"/>
                <w:vertAlign w:val="superscript"/>
              </w:rPr>
              <w:t>(4)</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Arial" w:cs="Arial" w:eastAsia="Arial" w:hAnsi="Arial"/>
                <w:sz w:val="18"/>
                <w:szCs w:val="18"/>
                <w:color w:val="auto"/>
              </w:rPr>
              <w:t>Natural disaster costs</w:t>
            </w:r>
            <w:r>
              <w:rPr>
                <w:rFonts w:ascii="Arial" w:cs="Arial" w:eastAsia="Arial" w:hAnsi="Arial"/>
                <w:sz w:val="25"/>
                <w:szCs w:val="25"/>
                <w:color w:val="auto"/>
                <w:vertAlign w:val="superscript"/>
              </w:rPr>
              <w:t>(5)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442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3,570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(3,570)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Arial" w:cs="Arial" w:eastAsia="Arial" w:hAnsi="Arial"/>
                <w:sz w:val="18"/>
                <w:szCs w:val="18"/>
                <w:color w:val="auto"/>
              </w:rPr>
              <w:t>Phantom shares bonus</w:t>
            </w:r>
            <w:r>
              <w:rPr>
                <w:rFonts w:ascii="Arial" w:cs="Arial" w:eastAsia="Arial" w:hAnsi="Arial"/>
                <w:sz w:val="25"/>
                <w:szCs w:val="25"/>
                <w:color w:val="auto"/>
                <w:vertAlign w:val="superscript"/>
              </w:rPr>
              <w:t>(6)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129,362</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129,362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Teammate IPO bonus</w:t>
            </w:r>
            <w:r>
              <w:rPr>
                <w:rFonts w:ascii="Arial" w:cs="Arial" w:eastAsia="Arial" w:hAnsi="Arial"/>
                <w:sz w:val="25"/>
                <w:szCs w:val="25"/>
                <w:color w:val="auto"/>
                <w:vertAlign w:val="superscript"/>
              </w:rPr>
              <w:t>(7)</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5,771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Tax impacts of adjustments</w:t>
            </w:r>
            <w:r>
              <w:rPr>
                <w:rFonts w:ascii="Arial" w:cs="Arial" w:eastAsia="Arial" w:hAnsi="Arial"/>
                <w:sz w:val="25"/>
                <w:szCs w:val="25"/>
                <w:color w:val="auto"/>
                <w:vertAlign w:val="superscript"/>
              </w:rPr>
              <w:t>(9)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(11,440)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(11,440)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Adjusted Net Income</w:t>
            </w:r>
          </w:p>
        </w:tc>
        <w:tc>
          <w:tcPr>
            <w:tcW w:w="8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59,570</w:t>
            </w:r>
          </w:p>
        </w:tc>
        <w:tc>
          <w:tcPr>
            <w:tcW w:w="6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27,131</w:t>
            </w:r>
          </w:p>
        </w:tc>
        <w:tc>
          <w:tcPr>
            <w:tcW w:w="6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32,439</w:t>
            </w:r>
          </w:p>
        </w:tc>
        <w:tc>
          <w:tcPr>
            <w:tcW w:w="540" w:type="dxa"/>
            <w:vAlign w:val="bottom"/>
            <w:vMerge w:val="continue"/>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Net (Loss) Income Margin</w:t>
            </w:r>
            <w:r>
              <w:rPr>
                <w:rFonts w:ascii="Arial" w:cs="Arial" w:eastAsia="Arial" w:hAnsi="Arial"/>
                <w:sz w:val="25"/>
                <w:szCs w:val="25"/>
                <w:color w:val="auto"/>
                <w:vertAlign w:val="superscript"/>
              </w:rPr>
              <w:t>(10)</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line="242" w:lineRule="exact"/>
              <w:rPr>
                <w:sz w:val="20"/>
                <w:szCs w:val="20"/>
                <w:color w:val="auto"/>
              </w:rPr>
            </w:pPr>
            <w:r>
              <w:rPr>
                <w:rFonts w:ascii="Arial" w:cs="Arial" w:eastAsia="Arial" w:hAnsi="Arial"/>
                <w:sz w:val="18"/>
                <w:szCs w:val="18"/>
                <w:color w:val="auto"/>
              </w:rPr>
              <w:t>Adjusted Net Income Margin</w:t>
            </w:r>
            <w:r>
              <w:rPr>
                <w:rFonts w:ascii="Arial" w:cs="Arial" w:eastAsia="Arial" w:hAnsi="Arial"/>
                <w:sz w:val="25"/>
                <w:szCs w:val="25"/>
                <w:color w:val="auto"/>
                <w:vertAlign w:val="superscript"/>
              </w:rPr>
              <w:t>(10)</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one-time professional service fees related to the preparation for the IPO that have been expensed during the period.</w:t>
      </w:r>
    </w:p>
    <w:p>
      <w:pPr>
        <w:spacing w:after="0" w:line="2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Realized and unrealized foreign currency (gains) losses include the effect of fair market value changes of forward contracts and remeasurement of U.S. dollar-denominated accounts to foreign currency.</w:t>
      </w:r>
    </w:p>
    <w:p>
      <w:pPr>
        <w:ind w:left="540" w:right="7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incremental expenses incurred that relate to the transition to a virtual operating model and incentive and leave pay granted to employees that are directly attributable to the COVID-19 pandemic.</w:t>
      </w: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severance payments as a result of certain cost optimization measures we undertook during the year.</w:t>
      </w:r>
    </w:p>
    <w:p>
      <w:pPr>
        <w:spacing w:after="0" w:line="9"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one-time costs associated with emergency housing, transportation costs and bonuses for our employees in connection with the natural disaster related to the severe winter storm in Texas in February 2021.</w:t>
      </w:r>
    </w:p>
    <w:p>
      <w:pPr>
        <w:ind w:left="540" w:right="14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expense for one-time non-recurring payments of $127.5 million to vested phantom shareholders in connection with the completion of the IPO, as well as associated payroll tax and 401(k) contributions.</w:t>
      </w: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expense for non-recurring bonus payments to certain employees in connection with the completion of the IPO.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stock-based compensation expense associated with equity-classified awards.</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tax impacts of adjustments to net (loss) income which resulted in a tax benefit during the period. These adjustments include phantom shares bonus related to the IPO and stock-based compensation expense after the IPO.</w:t>
      </w:r>
    </w:p>
    <w:p>
      <w:pPr>
        <w:ind w:left="540" w:right="380" w:hanging="424"/>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(Loss) Income Margin represents net (loss) income divided by service revenue and Adjusted Net Income Margin represents Adjusted Net Income divided by service revenue.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EPS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(loss) income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19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reconciles GAAP diluted EPS, the most directly comparable GAAP measure, to Adjusted EPS for the three and six months ended June 30, 2021 and 2020: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0"/>
              </w:rPr>
              <w:t>Six months</w:t>
            </w: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GAAP diluted EPS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line="216" w:lineRule="exact"/>
              <w:rPr>
                <w:sz w:val="20"/>
                <w:szCs w:val="20"/>
                <w:color w:val="auto"/>
              </w:rPr>
            </w:pPr>
            <w:r>
              <w:rPr>
                <w:rFonts w:ascii="Arial" w:cs="Arial" w:eastAsia="Arial" w:hAnsi="Arial"/>
                <w:sz w:val="18"/>
                <w:szCs w:val="18"/>
                <w:color w:val="auto"/>
              </w:rPr>
              <w:t>Per share adjustments to net (loss) income</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 share adjustments for GAAP anti-dilutive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shares</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380" w:type="dxa"/>
            <w:vAlign w:val="bottom"/>
            <w:gridSpan w:val="2"/>
          </w:tcPr>
          <w:p>
            <w:pPr>
              <w:spacing w:after="0"/>
              <w:rPr>
                <w:sz w:val="20"/>
                <w:szCs w:val="20"/>
                <w:color w:val="auto"/>
              </w:rPr>
            </w:pPr>
            <w:r>
              <w:rPr>
                <w:rFonts w:ascii="Arial" w:cs="Arial" w:eastAsia="Arial" w:hAnsi="Arial"/>
                <w:sz w:val="18"/>
                <w:szCs w:val="18"/>
                <w:color w:val="auto"/>
              </w:rPr>
              <w:t>Adjusted EPS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common stock outstanding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92,957,493</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91,737,020</w:t>
            </w: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92,347,257</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91,737,020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line="216" w:lineRule="exact"/>
              <w:rPr>
                <w:sz w:val="20"/>
                <w:szCs w:val="20"/>
                <w:color w:val="auto"/>
              </w:rPr>
            </w:pPr>
            <w:r>
              <w:rPr>
                <w:rFonts w:ascii="Arial" w:cs="Arial" w:eastAsia="Arial" w:hAnsi="Arial"/>
                <w:sz w:val="18"/>
                <w:szCs w:val="18"/>
                <w:color w:val="auto"/>
              </w:rPr>
              <w:t>GAAP anti-dilutive shares</w:t>
            </w:r>
            <w:r>
              <w:rPr>
                <w:rFonts w:ascii="Arial" w:cs="Arial" w:eastAsia="Arial" w:hAnsi="Arial"/>
                <w:sz w:val="25"/>
                <w:szCs w:val="25"/>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4,599,736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2,299,868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97,557,229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91,737,020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94,647,125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91,737,020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58"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aggregate adjustments made to reconcile Net (loss) income to Adjusted Net Income, as noted in the above table, divided by the GAAP diluted weighted-average number of shares outstanding for the relevant period.</w:t>
      </w:r>
    </w:p>
    <w:p>
      <w:pPr>
        <w:spacing w:after="0" w:line="1" w:lineRule="exact"/>
        <w:rPr>
          <w:rFonts w:ascii="Arial" w:cs="Arial" w:eastAsia="Arial" w:hAnsi="Arial"/>
          <w:sz w:val="18"/>
          <w:szCs w:val="18"/>
          <w:color w:val="auto"/>
        </w:rPr>
      </w:pPr>
    </w:p>
    <w:p>
      <w:pPr>
        <w:ind w:left="540" w:right="160" w:hanging="424"/>
        <w:spacing w:after="0" w:line="26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ectPr>
          <w:pgSz w:w="11900" w:h="16838" w:orient="portrait"/>
          <w:cols w:equalWidth="0" w:num="1">
            <w:col w:w="11120"/>
          </w:cols>
          <w:pgMar w:left="320" w:top="486" w:right="459" w:bottom="52"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188"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the effect of foreign currency gains and losses, losses on disposals of assets, COVID-19 related expenses, severance costs, natural disaster costs, contingent consideration, one-time payments associated with the IPO and stock-based compensation expense associated with equity-classified awards, which include costs that are required to be expensed in accordance with GAAP. Our management believes that the</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125"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reconciles net income, the most directly comparable GAAP measure, to EBITDA and Adjusted EBITDA for the three months ended June 30, 2021 and 2020: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6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Three months</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Period over</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Period 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Change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 Change</w:t>
            </w:r>
          </w:p>
        </w:tc>
        <w:tc>
          <w:tcPr>
            <w:tcW w:w="0" w:type="dxa"/>
            <w:vAlign w:val="bottom"/>
          </w:tcPr>
          <w:p>
            <w:pPr>
              <w:spacing w:after="0"/>
              <w:rPr>
                <w:sz w:val="1"/>
                <w:szCs w:val="1"/>
                <w:color w:val="auto"/>
              </w:rPr>
            </w:pPr>
          </w:p>
        </w:tc>
      </w:tr>
      <w:tr>
        <w:trPr>
          <w:trHeight w:val="17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margin amounts)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(105,943)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(113,951)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(7,020)</w:t>
            </w:r>
          </w:p>
        </w:tc>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(8,649)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1,594</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6,729</w:t>
            </w:r>
          </w:p>
        </w:tc>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5,815</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914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(99,928)</w:t>
            </w:r>
          </w:p>
        </w:tc>
        <w:tc>
          <w:tcPr>
            <w:tcW w:w="6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22,123</w:t>
            </w:r>
          </w:p>
        </w:tc>
        <w:tc>
          <w:tcPr>
            <w:tcW w:w="6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(122,051)</w:t>
            </w:r>
          </w:p>
        </w:tc>
        <w:tc>
          <w:tcPr>
            <w:tcW w:w="5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Offering costs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2,432</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Foreign currency gains</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(1,595)</w:t>
            </w:r>
          </w:p>
        </w:tc>
        <w:tc>
          <w:tcPr>
            <w:tcW w:w="2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(481)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COVID-19 related expenses</w:t>
            </w:r>
            <w:r>
              <w:rPr>
                <w:rFonts w:ascii="Arial" w:cs="Arial" w:eastAsia="Arial" w:hAnsi="Arial"/>
                <w:sz w:val="25"/>
                <w:szCs w:val="25"/>
                <w:color w:val="auto"/>
                <w:vertAlign w:val="superscript"/>
              </w:rPr>
              <w:t>(3)</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3,711</w:t>
            </w:r>
          </w:p>
        </w:tc>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2,391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Severance costs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3,570</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(3,570)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Phantom shares bonus</w:t>
            </w:r>
            <w:r>
              <w:rPr>
                <w:rFonts w:ascii="Arial" w:cs="Arial" w:eastAsia="Arial" w:hAnsi="Arial"/>
                <w:sz w:val="25"/>
                <w:szCs w:val="25"/>
                <w:color w:val="auto"/>
                <w:vertAlign w:val="superscript"/>
              </w:rPr>
              <w:t>(5)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129,362</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129,362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Teammate IPO bonus</w:t>
            </w:r>
            <w:r>
              <w:rPr>
                <w:rFonts w:ascii="Arial" w:cs="Arial" w:eastAsia="Arial" w:hAnsi="Arial"/>
                <w:sz w:val="25"/>
                <w:szCs w:val="25"/>
                <w:color w:val="auto"/>
                <w:vertAlign w:val="superscript"/>
              </w:rPr>
              <w:t>(6)</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4,361</w:t>
            </w:r>
          </w:p>
        </w:tc>
        <w:tc>
          <w:tcPr>
            <w:tcW w:w="20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4,361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44,115</w:t>
            </w:r>
          </w:p>
        </w:tc>
        <w:tc>
          <w:tcPr>
            <w:tcW w:w="68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26,371</w:t>
            </w: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17,744</w:t>
            </w:r>
          </w:p>
        </w:tc>
        <w:tc>
          <w:tcPr>
            <w:tcW w:w="540" w:type="dxa"/>
            <w:vAlign w:val="bottom"/>
            <w:vMerge w:val="continue"/>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Net (Loss) Income Margin</w:t>
            </w:r>
            <w:r>
              <w:rPr>
                <w:rFonts w:ascii="Arial" w:cs="Arial" w:eastAsia="Arial" w:hAnsi="Arial"/>
                <w:sz w:val="25"/>
                <w:szCs w:val="25"/>
                <w:color w:val="auto"/>
                <w:vertAlign w:val="superscript"/>
              </w:rPr>
              <w:t>(8)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line="242"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5"/>
                <w:szCs w:val="25"/>
                <w:color w:val="auto"/>
                <w:vertAlign w:val="superscript"/>
              </w:rPr>
              <w:t>(8)</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one-time professional service fees related to the preparation for the IPO that have been expensed during the period.</w:t>
      </w:r>
    </w:p>
    <w:p>
      <w:pPr>
        <w:spacing w:after="0" w:line="23"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Realized and unrealized foreign currency gains include the effect of fair market value changes of forward contracts and remeasurement of U.S. dollar-denominated accounts to foreign currency.</w:t>
      </w:r>
    </w:p>
    <w:p>
      <w:pPr>
        <w:ind w:left="540" w:right="72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incremental expenses incurred that relate to the transition to a virtual operating model and incentive and leave pay granted to employees that are directly attributable to the COVID-19 pandemic.</w:t>
      </w: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severance payments as a result of certain cost optimization measures we undertook during the period.</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expense for one-time non-recurring payments of $127.5 million to vested phantom shareholders in connection with the completion of the IPO, as well as associated payroll tax and 401(k) contributions.</w:t>
      </w: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expense for non-recurring bonus payments to certain employees in connection with the IPO.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stock-based compensation expense associated with equity-classified awards.</w:t>
      </w:r>
    </w:p>
    <w:p>
      <w:pPr>
        <w:spacing w:after="0" w:line="9" w:lineRule="exact"/>
        <w:rPr>
          <w:rFonts w:ascii="Arial" w:cs="Arial" w:eastAsia="Arial" w:hAnsi="Arial"/>
          <w:sz w:val="18"/>
          <w:szCs w:val="18"/>
          <w:color w:val="auto"/>
        </w:rPr>
      </w:pPr>
    </w:p>
    <w:p>
      <w:pPr>
        <w:ind w:left="540" w:right="120" w:hanging="424"/>
        <w:spacing w:after="0" w:line="26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(Loss) Income Margin represents net (loss) income divided by service revenue and Adjusted EBITDA Margin represents Adjusted EBITDA divided by service revenue.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86"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reconciles net income, the most directly comparable GAAP measure, to EBITDA and Adjusted EBITDA for the six months ended June 30, 2021 and 2020: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0"/>
              </w:rPr>
              <w:t>Six months</w:t>
            </w:r>
          </w:p>
        </w:tc>
        <w:tc>
          <w:tcPr>
            <w:tcW w:w="10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Six months</w:t>
            </w:r>
          </w:p>
        </w:tc>
        <w:tc>
          <w:tcPr>
            <w:tcW w:w="8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Period over</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Period over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Period Change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Period Change</w:t>
            </w:r>
          </w:p>
        </w:tc>
        <w:tc>
          <w:tcPr>
            <w:tcW w:w="0" w:type="dxa"/>
            <w:vAlign w:val="bottom"/>
          </w:tcPr>
          <w:p>
            <w:pPr>
              <w:spacing w:after="0"/>
              <w:rPr>
                <w:sz w:val="1"/>
                <w:szCs w:val="1"/>
                <w:color w:val="auto"/>
              </w:rPr>
            </w:pPr>
          </w:p>
        </w:tc>
      </w:tr>
      <w:tr>
        <w:trPr>
          <w:trHeight w:val="17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margin amounts)</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(89,436)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(98,959)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(5,429)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4,202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12,932</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10,529</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2,403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(67,366)</w:t>
            </w:r>
          </w:p>
        </w:tc>
        <w:tc>
          <w:tcPr>
            <w:tcW w:w="6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35,646</w:t>
            </w:r>
          </w:p>
        </w:tc>
        <w:tc>
          <w:tcPr>
            <w:tcW w:w="6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(103,012)</w:t>
            </w:r>
          </w:p>
        </w:tc>
        <w:tc>
          <w:tcPr>
            <w:tcW w:w="5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Offering costs</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Foreign currency (gains) losses</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(1,098)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COVID-19 related expenses</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3,759</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2,346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Severance costs</w:t>
            </w:r>
            <w:r>
              <w:rPr>
                <w:rFonts w:ascii="Arial" w:cs="Arial" w:eastAsia="Arial" w:hAnsi="Arial"/>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Natural disaster costs</w:t>
            </w:r>
            <w:r>
              <w:rPr>
                <w:rFonts w:ascii="Arial" w:cs="Arial" w:eastAsia="Arial" w:hAnsi="Arial"/>
                <w:sz w:val="25"/>
                <w:szCs w:val="25"/>
                <w:color w:val="auto"/>
                <w:vertAlign w:val="superscript"/>
              </w:rPr>
              <w:t>(5)</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442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3,570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(3,570)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Phantom shares bonus</w:t>
            </w:r>
            <w:r>
              <w:rPr>
                <w:rFonts w:ascii="Arial" w:cs="Arial" w:eastAsia="Arial" w:hAnsi="Arial"/>
                <w:sz w:val="25"/>
                <w:szCs w:val="25"/>
                <w:color w:val="auto"/>
                <w:vertAlign w:val="superscript"/>
              </w:rPr>
              <w:t>(6)</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129,362</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129,362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Teammate IPO bonus</w:t>
            </w:r>
            <w:r>
              <w:rPr>
                <w:rFonts w:ascii="Arial" w:cs="Arial" w:eastAsia="Arial" w:hAnsi="Arial"/>
                <w:sz w:val="25"/>
                <w:szCs w:val="25"/>
                <w:color w:val="auto"/>
                <w:vertAlign w:val="superscript"/>
              </w:rPr>
              <w:t>(7)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4,361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5,771</w:t>
            </w:r>
          </w:p>
        </w:tc>
        <w:tc>
          <w:tcPr>
            <w:tcW w:w="5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83,656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43,830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39,826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line="242" w:lineRule="exact"/>
              <w:rPr>
                <w:sz w:val="20"/>
                <w:szCs w:val="20"/>
                <w:color w:val="auto"/>
              </w:rPr>
            </w:pPr>
            <w:r>
              <w:rPr>
                <w:rFonts w:ascii="Arial" w:cs="Arial" w:eastAsia="Arial" w:hAnsi="Arial"/>
                <w:sz w:val="18"/>
                <w:szCs w:val="18"/>
                <w:color w:val="auto"/>
              </w:rPr>
              <w:t>Net (Loss) Income Margin</w:t>
            </w:r>
            <w:r>
              <w:rPr>
                <w:rFonts w:ascii="Arial" w:cs="Arial" w:eastAsia="Arial" w:hAnsi="Arial"/>
                <w:sz w:val="25"/>
                <w:szCs w:val="25"/>
                <w:color w:val="auto"/>
                <w:vertAlign w:val="superscript"/>
              </w:rPr>
              <w:t>(9)</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5"/>
                <w:szCs w:val="25"/>
                <w:color w:val="auto"/>
                <w:vertAlign w:val="superscript"/>
              </w:rPr>
              <w:t>(9)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one-time professional service fees related to the preparation for the IPO that have been expensed during the period.</w:t>
      </w:r>
    </w:p>
    <w:p>
      <w:pPr>
        <w:spacing w:after="0" w:line="23"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Realized and unrealized foreign currency gains include the effect of fair market value changes of forward contracts and remeasurement of U.S. dollar-denominated accounts to foreign currency.</w:t>
      </w:r>
    </w:p>
    <w:p>
      <w:pPr>
        <w:ind w:left="540" w:right="34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one time expenses related to the transition to a virtual operating model and incentive and leave pay granted to employees that are directly attributable to the COVID-19 pandemic.</w:t>
      </w: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severance payments as a result of certain cost optimization measures we undertook during the year.</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one-time costs associated with emergency housing, transportation costs and bonuses for our employees in connection with the natural disaster related to the severe winter storm in Texas in February 2021.</w:t>
      </w:r>
    </w:p>
    <w:p>
      <w:pPr>
        <w:ind w:left="540" w:right="2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expense for one-time non-recurring payments of $127.5 million to vested phantom shareholders in connection with the completion of the IPO, as well as associated payroll tax and 401(k) contributions.</w:t>
      </w: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expense for non-recurring bonus payments to certain employees in connection with the IPO.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stock-based compensation expense associated with equity-classified awards.</w:t>
      </w:r>
    </w:p>
    <w:p>
      <w:pPr>
        <w:spacing w:after="0" w:line="9"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(Loss) Income Margin represents net (loss) income divided by service revenue and Adjusted EBITDA Margin represents Adjusted EBITDA divided by service revenue.</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320" w:top="486"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June 30, 2021, our principal sources of liquidity were cash and cash equivalents totaling $195.9 million, which were held for working capital purposes, as well as the available balance of our 2019 Credit Facilities, described further below. We used the proceeds from the primary offering, together with cash on hand, to satisfy payments of approximately $127.5 million in respect of vested phantom shares in the third quarter of 2021. Historically, we have made investments in supporting the growth of our business, which were enabled in part by our positive cash flows from operations during these periods. We expect to continue to make similar investments in the future.</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financed our operations primarily through cash received from operations. We believe our existing cash and cash equivalents and our 2019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2019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spacing w:after="0" w:line="15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As market conditions warrant, we and certain of our equity holders, including Blackstone and their respective affiliates, may from time to time seek to purchase our outstanding debt securities or loans, including the notes and borrowings under our 2019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June 30, 2021, our total indebtedness was $242.0 million, including outstanding borrowings under our Revolving Credit Facility (as defined below) of $39.9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Credit Agreement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September 25, 2019, we entered into a credit agreement (the “2019 Credit Agreement”) that included a $210 million term loan (the “Term Loan Facility”) and a $40 million revolving credit facility (the “Revolving Credit Facility” and, together with the Term Loan Facility, the “2019 Credit Facilities”). On April 30, 2021, the Company entered into Amendment No. 1 to our 2019 Credit Agreement with the existing lenders providing for $50.0 million incremental revolving credit commitments on the same terms as our existing revolving credit facility. We accounted for this amendment as a debt modification and recorded $0.3 million of debt financing fees which will be amortized, along with previously deferred fees, over the remaining term of the facility.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Term Loan Facility matures on September 24, 2024 and requires quarterly principal payments of 0.25% of the original principal amount per quarter through September 30, 2020, 0.625% of the original principal amount through September 30, 2021, 1.25% of the original principal amount through September 30, 2022, 1.875% of the original principal amount through September 30, 2023 and 2.50% of the original principal amount thereafter, with any remaining principal due in a lump sum at the maturity date. As of June 30, 2021, $204.0 million was outstanding under the Term Loan Facility. The interest rate in effect for the Term Loan facility was 2.345% as of June 30, 2021.</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Revolving Credit Facility matures on September 24, 2024 and requires a commitment fee of 0.4% on undrawn commitments paid quarterly in arrears. As of June 30, 2021, the interest rate in effect was 2.345% on $39.9 million of outstanding borrowings under the Revolving Credit Facility. As of June 30, 2021, we had $50.1 million of borrowing availability under the Revolving Credit Facility.</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2019 Credit Agreement contains certain affirmative and negative covenants applicable to us and our restricted subsidiaries, including, among other things, limitations on our Consolidated Total Net Leverage Ratio (as defined in the 2019 Credit Agreement) and restrictions on changes in the nature of our business, acquisitions and other investments, indebtedness, liens, fundamental changes, dispositions, prepayment of other indebtedness, repurchases of stock, cash dividends, and other distributions. The 2019 Credit Facilities are guaranteed by our material domestic subsidiaries and are secured by substantially all of our tangible and intangible assets, including our intellectual property, and the equity interests of our subsidiaries, subject to certain exceptions.</w:t>
      </w:r>
    </w:p>
    <w:p>
      <w:pPr>
        <w:spacing w:after="0" w:line="19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See Note 7, “Long-Term Debt” in the Notes to Unaudited Condensed Consolidated Financial Statements included in this Quarterly Report for additional information regarding our debt.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a summary of our consolidated cash flows from operating, investing and financing activities for the periods indicated.</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ended June 30,</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ended June 30,</w:t>
            </w:r>
          </w:p>
        </w:tc>
        <w:tc>
          <w:tcPr>
            <w:tcW w:w="0" w:type="dxa"/>
            <w:vAlign w:val="bottom"/>
          </w:tcPr>
          <w:p>
            <w:pPr>
              <w:spacing w:after="0"/>
              <w:rPr>
                <w:sz w:val="1"/>
                <w:szCs w:val="1"/>
                <w:color w:val="auto"/>
              </w:rPr>
            </w:pPr>
          </w:p>
        </w:tc>
      </w:tr>
      <w:tr>
        <w:trPr>
          <w:trHeight w:val="171"/>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(23,453)</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(18,815)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67,733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39,353</w:t>
            </w:r>
          </w:p>
        </w:tc>
        <w:tc>
          <w:tcPr>
            <w:tcW w:w="0" w:type="dxa"/>
            <w:vAlign w:val="bottom"/>
          </w:tcPr>
          <w:p>
            <w:pPr>
              <w:spacing w:after="0"/>
              <w:rPr>
                <w:sz w:val="1"/>
                <w:szCs w:val="1"/>
                <w:color w:val="auto"/>
              </w:rPr>
            </w:pPr>
          </w:p>
        </w:tc>
      </w:tr>
      <w:tr>
        <w:trPr>
          <w:trHeight w:val="365"/>
        </w:trPr>
        <w:tc>
          <w:tcPr>
            <w:tcW w:w="3520" w:type="dxa"/>
            <w:vAlign w:val="bottom"/>
          </w:tcPr>
          <w:p>
            <w:pPr>
              <w:spacing w:after="0"/>
              <w:rPr>
                <w:sz w:val="24"/>
                <w:szCs w:val="24"/>
                <w:color w:val="auto"/>
              </w:rPr>
            </w:pPr>
          </w:p>
        </w:tc>
        <w:tc>
          <w:tcPr>
            <w:tcW w:w="2280" w:type="dxa"/>
            <w:vAlign w:val="bottom"/>
          </w:tcPr>
          <w:p>
            <w:pPr>
              <w:jc w:val="right"/>
              <w:ind w:right="14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Net cash provided by operating activities for the six months ended June 30, 2021 was $45.7 million compared to net cash provided by operating activities of $22.6 million for the six months ended June 30, 2020. Net cash provided by operating activities for the six months ended June 30, 2021 reflects changes in operating assets and liabilities of $115.0 million primarily driven by a $150.5 million change in accrued payroll and employee-related liabilities due primarily to the one-time phantom shares bonuses that were accrued but not yet paid, partially offset by a $41.2 million change in accounts receivable. These changes were partially offset by the net loss of $89.4 million, reduced by the add back for non-cash charges totaling $20.1 million primarily driven by $12.9 million in depreciation, $9.4 million of amortization related to intangibles recognized as a result of the Blackstone Acquisition, and $5.8 million of stock-based compensation expense, partially offset by deferred taxes of $10.5 million.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2021 was $23.5 million compared to net cash used in investing activities of $18.8 million for the six months ended June 30, 2020. Net cash used in investing activities primarily consisted of investments in technology and computers.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Net cash provided by financing activities for the six months ended June 30, 2021 was $67.7 million compared to net cash provided by financing activities of $39.4 million for the six months ended June 30, 2020. Net cash provided by financing activities for the six months ended June 30, 2021 consisted of proceeds from the IPO, net of underwriters’ fees, partially offset by distribution of dividends and payments on long-term debt. Net cash provided by financing activities for the six months ended June 30, 2020 consisted primarily of cash proceeds from our Revolving Credit Facility of $39.9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qualify as an emerging growth company pursuant to the provisions of the JOBS Act. The JOBS Act permits an emerging growth company like us to take advantage of an extended transition period to comply with new or revised accounting standards applicable to public companies. We have elected to use the extended transition period until we are no longer an emerging growth company or until we choose to affirmatively and irrevocably opt out of the extended transition period. As a result, our financial statements may not be comparable to companies that comply with new or revised accounting pronouncements applicable to public companies.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Except as described in Note 2, “Summary of Significant Accounting Policies in the Notes to Unaudited Condensed Consolidated Financial Statements, and discussed below, there have been no material changes to our critical accounting policies or in the underlying accounting assumptions and estimates used in such policies as reported in the prospectus.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Upon completion of the IPO, a public trading market for our common stock was established, and as a result, it is no longer necessary for our board of directors or management to estimate the fair value of our common stock in connection with our accounting for granted stock options, as the fair value of our common stock will be determined based on its trading price on Nasdaq. See Note 9, “Employee Compensation” in the Notes to Unaudited Condensed Consolidated Financial Statements, for additional information.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For additional information regarding recent accounting pronouncements adopted and under evaluation, refer to Note 2, “Summary of Significant Accounting Policies” in the Notes to Unaudited Condensed Consolidated Financial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activities expose us to a variety of financial risks: market risk (includes foreign currency), interest rate risk and credit risk.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exposure to market risk arises principally from exchange rate risk. Although substantially all of our revenues are denominated in U.S. dollars,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substantial portion of our expenses were incurred and paid in the Philippine peso in the six months ended June 30, 2020 and the six months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We also incur expenses in U.S. dollars, and currencies of the other countries in which we have operations. The exchange rates among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Philippine peso and the U.S. dollar have changed substantially in recent years and may fluctuate substantially in the future.</w:t>
      </w:r>
    </w:p>
    <w:p>
      <w:pPr>
        <w:spacing w:after="0" w:line="21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average exchange rate of the Philippine peso against the U.S. dollar decreased from 50.66 pesos during the six months ended June 30, 2020 to 48.24 pesos during the six months ended June 30, 2021, representing an appreciation of the Philippine peso of 4.8%. Based upon our level of operations during the six months ended June 30, 2021 and excluding any forward contract arrangements that we had in place during that period, a 10% appreciation/depreciation in the Philippine Peso against the U.S. dollar would have increased or decreased our expenses incurred and paid in the Philippine Peso by approximately $17.3 million or $14.2 million, respectively, in the six months ended June 30, 2021.</w:t>
      </w:r>
    </w:p>
    <w:p>
      <w:pPr>
        <w:spacing w:after="0" w:line="176"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These derivatives do not qualify as fair value hedges under ASC No. Topic 815, Derivatives and Hedging (“ASC 815”). Changes in the fair value of these derivatives are recognized in the consolidated statements of income and are included in other income.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w:t>
      </w:r>
    </w:p>
    <w:p>
      <w:pPr>
        <w:spacing w:after="0" w:line="16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For the three and six months ended June 30, 2021, we realized gains of $0.6 million and $1.4 million, respectively, resulting from the settlement of forward contracts were included within other (income) expense.</w:t>
      </w:r>
    </w:p>
    <w:p>
      <w:pPr>
        <w:spacing w:after="0" w:line="17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For the three and six months ended June 30, 2021, we had outstanding forward contracts. The forward contract receivable resulting from change in fair value was recorded under other current assets. For the three and six months ended June 30, 2021, the unrealized (gains) losses on the forward contracts of $(0.1) million and $1.7 million, respectively, were included within other (income) expense.</w:t>
      </w:r>
    </w:p>
    <w:p>
      <w:pPr>
        <w:spacing w:after="0" w:line="18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also enter into foreign currency exchange rate contracts to economically hedge our intercompany balances and other monetary assets and liabilities denominated in currencies other than functional currencies. These derivatives do not qualify as fair value hedges under ASC No. Topic 815, Derivatives and Hedging (“ASC 815”). Changes in the fair value of these derivatives are recognized in the consolidated statements of income and are included in foreign 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exposure to market risk is influenced by the changes in interest rates paid on any outstanding balance on our borrowings, mainly under our 2019 Credit Facilities. All of our borrowings outstanding under the 2019 Credit Facilities as of June 30, 2021 accrue interest at LIBOR plus 2.25%. We entered into our 2019 Credit Facilities on September 25, 2019 and our total principal balance outstanding as of June 30, 2021 was $243.8. Based on the outstanding balances and interest rates under the 2019 Credit Facilities as of June 30, 2021, a hypothetical 10.0% increase or decrease in LIBOR would cause an increase or decrease in interest expense of less than $0.1 million over the next 12 months.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of June 30, 2021, we had accounts receivable, net of allowance for doubtful accounts, of $127.9 million, of which $39.1 million was owed by two of our clients. Collectively, these clients represented approximately 30% of our accounts receivable as of June 30, 2021, and nearly 40% of our service revenue for the six months ended June 30, 2021.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Any controls and procedures, no matter how well designed and operated, can provide only reasonable assurance of achieving the desired control objectives. The Company’s management, with the participation of the Company’s Chief Executive Officer and Chief Financial Officer, has evaluated the effectiveness of the design and operation of the Company’s disclosure controls and procedures as of June 30, 2021. Based upon that evaluation, the Company’s Chief Executive Officer and Chief Financial Officer concluded that, as of June 30, 2021, the design and operation of the Company’s disclosure controls and procedures were effective to accomplish their objectives at the reasonable assurance level.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86"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From time to time, we may become subject to legal proceedings, claims, and litigation arising in the ordinary course of business. We are not currently a party to any material legal proceedings, nor are we aware of any pending or threatened litigation that would have a material adverse effect on our business, financial condition, operating results, or cash flows should such litigation be resolved unfavorably.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320" w:top="486" w:right="5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prospectus. Additional risks and uncertainties not currently known to us or that we currently deem to be immaterial may also materially adversely affect our financial position, results of operations or cash flows. There have been no material changes to the risk factors included in the prospectus. You should carefully consider the risk factors set forth in the prospectus and the other information set forth elsewhere in this Quarterly Report on Form 10-Q.</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86" w:right="479" w:bottom="1440" w:gutter="0" w:footer="0" w:header="0"/>
        </w:sectPr>
      </w:pPr>
    </w:p>
    <w:bookmarkStart w:id="46" w:name="page47"/>
    <w:bookmarkEnd w:id="4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June 15, 2021, we completed our initial public offering of our Class A Common Stock, which consisted of (i) 5,553,154 shares of Class A Common Stock issued and sold by the Company and (ii) 9,626,846 shares of Class A Common Stock sold by certain selling stockholders (including 1,980,000 shares of Class A Common Stock pursuant to the full exercise of the underwriters’ option to purchase additional shares). The shares sold in the offering were registered under the Securities Act pursuant to our Registration Statement on Form S-1 (File No. 333-255190) which was declared effective by the SEC on June 10, 2021. Our shares of Class A Common Stock were sold at an initial offering price of $23.000 per share ($21.735 per share, after deducting underwriting discounts and commissions), which generated net proceeds to us of approximately $120.7 million after deducting underwriting discounts and commissions of approximately $7.0 million. We incurred offering expenses of approximately $30.5 million, including costs associated with the offering by the selling stockholders. In the third quarter of 2021, we used the proceeds from the offering, together with cash on hand, to satisfy payments of approximately $127.5 million in respect of vested phantom shares, including $23.5 million in respect of vested phantom shares held by certain of our executive officers, that became due upon the completion of the offering, including $10.1 million in deferred dividend payments in respect of such vested phantom shares. We did not receive any proceeds from the sale of shares of our Class A Common Stock in the offering by the selling stockholders.</w:t>
      </w:r>
    </w:p>
    <w:p>
      <w:pPr>
        <w:spacing w:after="0" w:line="17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Goldman Sachs &amp; Co. LLC and J.P. Morgan Securities LLC acted as lead book-running managers and representatives of the underwriters for the offering. BofA Securities, Inc., Morgan Stanley &amp; Co. LLC, Robert W. Baird &amp; Co. Incorporated, RBC Capital Markets, LLC, Wells Fargo Securities, LLC and William Blair &amp; Company, L.L.C. acted as joint book-runners for the offering. Blackstone Securities Partners L.P., TD Securities (USA) LLC, BTIG, LLC, Fifth Third Securities, Inc., AmeriVet Securities, Inc., Blaylock Van, LLC, C.L. King &amp; Associates, Inc. and Penserra Securities LLC acted as co-managers for the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entered into an employment agreement with each of Jarrod Johnson, our Chief Customer Officer, and Balaji Sekar, our Chief Financial Officer. Mr. Johnson’s agreement supersedes his previous offer letter, which contained a severance provision. Mr. Sekar did not previously have an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Johnson Employment Agreement</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TaskUs Holdings, Inc. entered into an Employment Agreement with Mr. Johnson on August 5, 2021 (the “Johnson Employment Agreement”) pursuant to which Mr. Johnson continues to serve as our Chief Customer Officer. The Johnson Employment Agreement is effective from July 22, 2021 through July 1, 2025, after which it will automatically be extended for successive one-year terms, until terminated, which termination may be made by either us or Mr. Johnson. Pursuant to the Johnson Employment Agreement, Mr. Johnson is entitled to receive an annual base salary of $350,000 and is eligible to receive an annual incentive bonus, subject to the terms of the annual bonus plan under which it is granted. Under the Johnson Employment Agreement, Mr. Johnson received certain long-term incentive awards under our 2021 Omnibus Incentive Plan, as described below.</w:t>
      </w:r>
    </w:p>
    <w:p>
      <w:pPr>
        <w:spacing w:after="0" w:line="16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the event Mr. Johnson’s employment is terminated by us without “cause”, or Mr. Johnson resigns from employment with “good reason”, in each case as defined in the Johnson Employment Agreement, subject to his execution of an effective release of claims in favor of the Company, he is entitled to receive separation pay in an amount equal to the sum of his annual base salary and target annual bonus for the year in which such termination of employment occurs.</w:t>
      </w:r>
    </w:p>
    <w:p>
      <w:pPr>
        <w:spacing w:after="0" w:line="187" w:lineRule="exact"/>
        <w:rPr>
          <w:sz w:val="20"/>
          <w:szCs w:val="20"/>
          <w:color w:val="auto"/>
        </w:rPr>
      </w:pPr>
    </w:p>
    <w:p>
      <w:pPr>
        <w:jc w:val="both"/>
        <w:ind w:left="120" w:right="420"/>
        <w:spacing w:after="0" w:line="311" w:lineRule="auto"/>
        <w:rPr>
          <w:sz w:val="20"/>
          <w:szCs w:val="20"/>
          <w:color w:val="auto"/>
        </w:rPr>
      </w:pPr>
      <w:r>
        <w:rPr>
          <w:rFonts w:ascii="Arial" w:cs="Arial" w:eastAsia="Arial" w:hAnsi="Arial"/>
          <w:sz w:val="16"/>
          <w:szCs w:val="16"/>
          <w:color w:val="auto"/>
        </w:rPr>
        <w:t>The Johnson Employment Agreement prohibits Mr. Johnson from competing with our business during employment and for one year following the termination of Mr. Johnson’s employment for any reason. The Johnson Employment Agreement further prohibits Mr. Johnson from soliciting our employees or clients during employment and for two years following the termination of Mr. Johnson’s employment for any reason.</w:t>
      </w:r>
    </w:p>
    <w:p>
      <w:pPr>
        <w:spacing w:after="0" w:line="14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Mr. Johnson is also party to a confidential information and invention assignment agreement which contains a perpetual confidentiality covenant and an intellectual property assignment provision in favor of TaskUs Holdings, Inc.</w:t>
      </w:r>
    </w:p>
    <w:p>
      <w:pPr>
        <w:spacing w:after="0" w:line="170"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foregoing description of the Johnson Employment Agreement does not purport to be complete and is qualified in its entirety by reference to the full text of the Johnson Employment Agreement, which is attached hereto as Exhibit 10.8, and is incorporated herein by reference.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Sekar Employment Agreement</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TaskUs Holdings, Inc. entered into an Employment Agreement with Mr. Sekar on August 5, 2021 (the “Sekar Employment Agreement”) pursuant to which Mr. Sekar continues to serve as our Chief Financial Officer. The Sekar Employment Agreement is effective from July 22, 2021 through July 1, 2025, after which it will automatically be extended for successive one-year terms, until terminated, which termination may be made by either us or Mr. Sekar. Pursuant to the Sekar Employment Agreement, Mr. Sekar is entitled to receive an annual base salary of $350,000 and is eligible to receive an annual incentive bonus, subject to the terms of the annual bonus plan under which it is granted. Under the Sekar Employment Agreement, Mr. Sekar received certain long-term equity incentive awards under our 2021 Omnibus Incentive Plan, as described below.</w:t>
      </w:r>
    </w:p>
    <w:p>
      <w:pPr>
        <w:spacing w:after="0" w:line="164"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In the event Mr. Sekar’s employment is terminated by us without “cause” or Mr. Sekar resigns from employment with “good reason”, in each case as defined in the Sekar Employment Agreement, subject to his execution of an effective release of claims in favor of the Company, he is entitled to receive</w:t>
      </w:r>
    </w:p>
    <w:p>
      <w:pPr>
        <w:sectPr>
          <w:pgSz w:w="11900" w:h="16848" w:orient="portrait"/>
          <w:cols w:equalWidth="0" w:num="1">
            <w:col w:w="11080"/>
          </w:cols>
          <w:pgMar w:left="320" w:top="486" w:right="499" w:bottom="0" w:gutter="0" w:footer="0" w:header="0"/>
        </w:sectPr>
      </w:pPr>
    </w:p>
    <w:bookmarkStart w:id="47" w:name="page48"/>
    <w:bookmarkEnd w:id="47"/>
    <w:p>
      <w:pPr>
        <w:ind w:right="240"/>
        <w:spacing w:after="0" w:line="277" w:lineRule="auto"/>
        <w:rPr>
          <w:sz w:val="20"/>
          <w:szCs w:val="20"/>
          <w:color w:val="auto"/>
        </w:rPr>
      </w:pPr>
      <w:r>
        <w:rPr>
          <w:rFonts w:ascii="Arial" w:cs="Arial" w:eastAsia="Arial" w:hAnsi="Arial"/>
          <w:sz w:val="18"/>
          <w:szCs w:val="18"/>
          <w:color w:val="auto"/>
        </w:rPr>
        <w:t>separation pay in an amount equal to the sum of his annual base salary and target annual bonus for the year in which such termination of employment occurs.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Sekar Employment Agreement prohibits Mr. Sekar from competing with our business during employment and for one year following the termination of Mr. Sekar’s employment for any reason. The Sekar Employment Agreement further prohibits Mr. Sekar from soliciting our employees or clients during employment and for two years following the termination of Mr. Sekar’s employment for any reason.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Mr. Sekar is also party to a confidential information and invention assignment agreement which contains a perpetual confidentiality covenant and an intellectual property assignment provision in favor of TaskUs Holdings, Inc.</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foregoing description of the Sekar Employment Agreement does not purport to be complete and is qualified in its entirety by reference to the full text of the Sekar Employment Agreement, which is attached hereto as Exhibit 10.9, and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employment agreements described above, on August 5, 2021, our board of directors granted Messrs. Johnson and Sekar certain long-term equity incentive awards under the TaskUs, Inc. 2021 Omnibus Incentive Plan (the “Omnibus Incentive Plan”). Our board of directors granted Mr. Johnson (i) 199,071 time-based restricted stock units (“RSUs”), (ii) 232,250 time-based stock options, and (iii) 66,357 performance-based restricted stock units (“PSUs”). Our board granted Mr. Sekar (i) 199,071 RSUs and (ii) 199,071 time-based stock options.</w:t>
      </w:r>
    </w:p>
    <w:p>
      <w:pPr>
        <w:spacing w:after="0" w:line="17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As a condition to receiving each of the long-term incentive awards described above, Messrs. Johnson and Sekar were required to enter into award agreements with us that governs the rights of Messrs. Johnson and Sekar with respect to the long-term incentive awards.</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RSU award agreements provide that 20% of the RSUs vest on each of the first three anniversaries of the vesting reference date, and the remaining 40% on the fourth anniversary of the vesting reference date, such that they will be fully vested on the fourth anniversary of the grant date, subject to continuous service through each vesting date. The vesting commencement date for the RSUs awarded to each of Messrs. Sekar and Johnson is August 5, 2021.</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stock option award agreements provide that 20% of the stock options vest on each of the first three anniversaries of the vesting reference date, and the remaining 40% on the fourth anniversary of the vesting reference date, such that they will be fully vested on the fourth anniversary of the grant date, subject to continuous service through each vesting date. The vesting commencement date for the stock options awarded to each of Messrs. Sekar and Johnson is August 5, 2021 and the exercise price is $30.14, which was the closing price per share of our common stock on the Nasdaq Global Select Market on August 5, 2021.</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Mr. Johnson’s PSU award agreement provides that his PSU award will remain outstanding and eligible to vest on the fourth anniversary of the grant date, based on the achievement of market capitalization CAGR levels. 50% of the PSUs will vest if we achieve a market capitalization CAGR of at least 25.1% for the four-year period beginning on the grant date and ending on the fourth anniversary of the grant date (the “Performance Period”). 100% of the PSUs will vest if we achieve a market capitalization CAGR of at least 35.1% for the Performance Period. None of the PSUs will vest if we fail to achieve a market capitalization CAGR of at least 25.1%.</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foregoing description of the long-term incentive awards does not purport to be complete and is qualified in its entirety by reference to the full text of the forms of award agreement, which are attached hereto as Exhibits 10.10, 10.11 and 10.12, and are incorporated herein by reference.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125"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0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4"/>
                <w:szCs w:val="14"/>
                <w:b w:val="1"/>
                <w:bCs w:val="1"/>
                <w:color w:val="auto"/>
              </w:rPr>
              <w:t>No.</w:t>
            </w:r>
          </w:p>
        </w:tc>
        <w:tc>
          <w:tcPr>
            <w:tcW w:w="990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100" w:type="dxa"/>
            <w:vAlign w:val="bottom"/>
          </w:tcPr>
          <w:p>
            <w:pPr>
              <w:ind w:left="80"/>
              <w:spacing w:after="0"/>
              <w:rPr>
                <w:sz w:val="20"/>
                <w:szCs w:val="20"/>
                <w:color w:val="auto"/>
              </w:rPr>
            </w:pPr>
            <w:r>
              <w:rPr>
                <w:rFonts w:ascii="Arial" w:cs="Arial" w:eastAsia="Arial" w:hAnsi="Arial"/>
                <w:sz w:val="18"/>
                <w:szCs w:val="18"/>
                <w:color w:val="auto"/>
              </w:rPr>
              <w:t>3.1</w:t>
            </w:r>
          </w:p>
        </w:tc>
        <w:tc>
          <w:tcPr>
            <w:tcW w:w="9480" w:type="dxa"/>
            <w:vAlign w:val="bottom"/>
            <w:tcBorders>
              <w:bottom w:val="single" w:sz="8" w:color="0000EE"/>
            </w:tcBorders>
            <w:gridSpan w:val="20"/>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Second Amended and Restated Certificate of Incorporation of TaskUs, Inc., dated as of June 10, 2021 (incorporated by reference to</w:t>
              </w:r>
            </w:hyperlink>
          </w:p>
        </w:tc>
        <w:tc>
          <w:tcPr>
            <w:tcW w:w="42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7"/>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Exhibit 3.1 to the Company’s Current Report on Form 8-K filed on June 15, 2021).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w:t>
            </w:r>
          </w:p>
        </w:tc>
        <w:tc>
          <w:tcPr>
            <w:tcW w:w="9900" w:type="dxa"/>
            <w:vAlign w:val="bottom"/>
            <w:gridSpan w:val="27"/>
          </w:tcPr>
          <w:p>
            <w:pP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Second Amended and Restated Bylaws of TaskUs, Inc., dated as of June 10, 2021 (incorporated by reference to Exhibit 3.2 to the</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Company’s Current Report on Form 8-K filed on June 15, 2021).</w:t>
              </w:r>
            </w:hyperlink>
          </w:p>
        </w:tc>
        <w:tc>
          <w:tcPr>
            <w:tcW w:w="4620" w:type="dxa"/>
            <w:vAlign w:val="bottom"/>
            <w:tcBorders>
              <w:top w:val="single" w:sz="8" w:color="0000EE"/>
            </w:tcBorders>
            <w:gridSpan w:val="13"/>
          </w:tcPr>
          <w:p>
            <w:pPr>
              <w:spacing w:after="0"/>
              <w:rPr>
                <w:sz w:val="17"/>
                <w:szCs w:val="17"/>
                <w:color w:val="auto"/>
              </w:rPr>
            </w:pPr>
          </w:p>
        </w:tc>
        <w:tc>
          <w:tcPr>
            <w:tcW w:w="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600" w:type="dxa"/>
            <w:vAlign w:val="bottom"/>
            <w:tcBorders>
              <w:bottom w:val="single" w:sz="8" w:color="0000EE"/>
            </w:tcBorders>
            <w:gridSpan w:val="24"/>
          </w:tcPr>
          <w:p>
            <w:pPr>
              <w:spacing w:after="0"/>
              <w:rPr>
                <w:rFonts w:ascii="Arial" w:cs="Arial" w:eastAsia="Arial" w:hAnsi="Arial"/>
                <w:sz w:val="18"/>
                <w:szCs w:val="18"/>
                <w:color w:val="0000EE"/>
                <w:w w:val="88"/>
              </w:rPr>
            </w:pPr>
            <w:hyperlink r:id="rId68">
              <w:r>
                <w:rPr>
                  <w:rFonts w:ascii="Arial" w:cs="Arial" w:eastAsia="Arial" w:hAnsi="Arial"/>
                  <w:sz w:val="18"/>
                  <w:szCs w:val="18"/>
                  <w:color w:val="0000EE"/>
                  <w:w w:val="88"/>
                </w:rPr>
                <w:t>Amended and Restated Stockholders Agreement, dated as of June 15, 2021, by and among the Company and the other parties thereto</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(incorporated by reference to Exhibit 10.1 to the Company’s Current Report on Form 8-K filed on June 15, 2021).</w:t>
              </w:r>
            </w:hyperlink>
          </w:p>
        </w:tc>
        <w:tc>
          <w:tcPr>
            <w:tcW w:w="16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9580" w:type="dxa"/>
            <w:vAlign w:val="bottom"/>
            <w:tcBorders>
              <w:bottom w:val="single" w:sz="8" w:color="0000EE"/>
            </w:tcBorders>
            <w:gridSpan w:val="23"/>
          </w:tcPr>
          <w:p>
            <w:pPr>
              <w:spacing w:after="0"/>
              <w:rPr>
                <w:rFonts w:ascii="Arial" w:cs="Arial" w:eastAsia="Arial" w:hAnsi="Arial"/>
                <w:sz w:val="18"/>
                <w:szCs w:val="18"/>
                <w:color w:val="0000EE"/>
                <w:w w:val="89"/>
              </w:rPr>
            </w:pPr>
            <w:hyperlink r:id="rId69">
              <w:r>
                <w:rPr>
                  <w:rFonts w:ascii="Arial" w:cs="Arial" w:eastAsia="Arial" w:hAnsi="Arial"/>
                  <w:sz w:val="18"/>
                  <w:szCs w:val="18"/>
                  <w:color w:val="0000EE"/>
                  <w:w w:val="89"/>
                </w:rPr>
                <w:t>Registration Rights Agreement, dated as of June 15, 2021, by and among the Company and the other parties thereto (incorporated by</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9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reference to Exhibit 10.2 to the Company’s Current Report on Form 8-K filed on June 15, 2021).</w:t>
              </w:r>
            </w:hyperlink>
          </w:p>
        </w:tc>
        <w:tc>
          <w:tcPr>
            <w:tcW w:w="29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9600" w:type="dxa"/>
            <w:vAlign w:val="bottom"/>
            <w:tcBorders>
              <w:bottom w:val="single" w:sz="8" w:color="0000EE"/>
            </w:tcBorders>
            <w:gridSpan w:val="24"/>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TaskUs, Inc. 2021 Omnibus Incentive Plan (incorporated by reference to Exhibit 10.3 to the Company’s Current Report on Form 8-K</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filed on June 15, 2021).</w:t>
              </w:r>
            </w:hyperlink>
          </w:p>
        </w:tc>
        <w:tc>
          <w:tcPr>
            <w:tcW w:w="8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tcBorders>
              <w:bottom w:val="single" w:sz="8" w:color="0000EE"/>
            </w:tcBorders>
            <w:gridSpan w:val="22"/>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Amended and Restated 2019 TaskUs, Inc. Stock Incentive Plan (incorporated by reference to Exhibit 10.4 to the Company’s Current</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3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Report on Form 8-K filed on June 15, 2021).</w:t>
              </w:r>
            </w:hyperlink>
          </w:p>
        </w:tc>
        <w:tc>
          <w:tcPr>
            <w:tcW w:w="66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9900" w:type="dxa"/>
            <w:vAlign w:val="bottom"/>
            <w:gridSpan w:val="27"/>
          </w:tcPr>
          <w:p>
            <w:pPr>
              <w:spacing w:after="0"/>
              <w:rPr>
                <w:rFonts w:ascii="Arial" w:cs="Arial" w:eastAsia="Arial" w:hAnsi="Arial"/>
                <w:sz w:val="18"/>
                <w:szCs w:val="18"/>
                <w:color w:val="0000EE"/>
                <w:w w:val="97"/>
              </w:rPr>
            </w:pPr>
            <w:hyperlink r:id="rId72">
              <w:r>
                <w:rPr>
                  <w:rFonts w:ascii="Arial" w:cs="Arial" w:eastAsia="Arial" w:hAnsi="Arial"/>
                  <w:sz w:val="18"/>
                  <w:szCs w:val="18"/>
                  <w:color w:val="0000EE"/>
                  <w:w w:val="97"/>
                </w:rPr>
                <w:t>Form of Restricted Stock Unit Agreement (Founder’s Award) under TaskUs, Inc. 2021 Omnibus Incentive Plan (incorporated by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reference to Exhibit 10.4 to the Company’s Registration Statement on Form S-1/A filed on May 6, 2021).</w:t>
              </w:r>
            </w:hyperlink>
          </w:p>
        </w:tc>
        <w:tc>
          <w:tcPr>
            <w:tcW w:w="1660" w:type="dxa"/>
            <w:vAlign w:val="bottom"/>
            <w:tcBorders>
              <w:top w:val="single" w:sz="8" w:color="0000EE"/>
            </w:tcBorders>
            <w:gridSpan w:val="4"/>
          </w:tcPr>
          <w:p>
            <w:pPr>
              <w:spacing w:after="0"/>
              <w:rPr>
                <w:sz w:val="17"/>
                <w:szCs w:val="17"/>
                <w:color w:val="auto"/>
              </w:rPr>
            </w:pPr>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9900" w:type="dxa"/>
            <w:vAlign w:val="bottom"/>
            <w:gridSpan w:val="27"/>
          </w:tcPr>
          <w:p>
            <w:pPr>
              <w:spacing w:after="0"/>
              <w:rPr>
                <w:rFonts w:ascii="Arial" w:cs="Arial" w:eastAsia="Arial" w:hAnsi="Arial"/>
                <w:sz w:val="18"/>
                <w:szCs w:val="18"/>
                <w:color w:val="0000EE"/>
                <w:w w:val="93"/>
              </w:rPr>
            </w:pPr>
            <w:hyperlink r:id="rId73">
              <w:r>
                <w:rPr>
                  <w:rFonts w:ascii="Arial" w:cs="Arial" w:eastAsia="Arial" w:hAnsi="Arial"/>
                  <w:sz w:val="18"/>
                  <w:szCs w:val="18"/>
                  <w:color w:val="0000EE"/>
                  <w:w w:val="93"/>
                </w:rPr>
                <w:t>Form of Option Agreement (Founder’s Award) under TaskUs, Inc. 2021 Omnibus Incentive Plan (incorporated by reference to Exhibit</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r>
                <w:rPr>
                  <w:rFonts w:ascii="Arial" w:cs="Arial" w:eastAsia="Arial" w:hAnsi="Arial"/>
                  <w:sz w:val="18"/>
                  <w:szCs w:val="18"/>
                  <w:color w:val="0000EE"/>
                  <w:w w:val="91"/>
                </w:rPr>
                <w:t xml:space="preserve"> to the Company’s Registration Statement Form S-1/A filed on May 6, 2021).</w:t>
              </w:r>
            </w:hyperlink>
          </w:p>
        </w:tc>
        <w:tc>
          <w:tcPr>
            <w:tcW w:w="3780" w:type="dxa"/>
            <w:vAlign w:val="bottom"/>
            <w:tcBorders>
              <w:top w:val="single" w:sz="8" w:color="0000EE"/>
            </w:tcBorders>
            <w:gridSpan w:val="18"/>
          </w:tcPr>
          <w:p>
            <w:pPr>
              <w:spacing w:after="0"/>
              <w:rPr>
                <w:sz w:val="17"/>
                <w:szCs w:val="17"/>
                <w:color w:val="auto"/>
              </w:rPr>
            </w:pPr>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9460" w:type="dxa"/>
            <w:vAlign w:val="bottom"/>
            <w:tcBorders>
              <w:bottom w:val="single" w:sz="8" w:color="0000EE"/>
            </w:tcBorders>
            <w:gridSpan w:val="19"/>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Form of Performance Stock Unit Agreement (Founder’s Award) under TaskUs, Inc. 2021 Omnibus Incentive Plan (incorporated by</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7"/>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reference to Exhibit 10.6 to the Company’s Registration Statement on Form S-1/A filed on May 6, 2021)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9900" w:type="dxa"/>
            <w:vAlign w:val="bottom"/>
            <w:gridSpan w:val="2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Executive Employment Agreement, dated as of August 5, 2021, by and between the Company and Jarrod Johnson.</w:t>
              </w:r>
            </w:hyperlink>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80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Executive Employment Agreement, dated as of August 5. 2021, by and between the Company and Balaji Sekar.</w:t>
              </w:r>
            </w:hyperlink>
          </w:p>
        </w:tc>
        <w:tc>
          <w:tcPr>
            <w:tcW w:w="200" w:type="dxa"/>
            <w:vAlign w:val="bottom"/>
            <w:tcBorders>
              <w:top w:val="single" w:sz="8" w:color="0000EE"/>
            </w:tcBorders>
            <w:gridSpan w:val="2"/>
          </w:tcPr>
          <w:p>
            <w:pPr>
              <w:spacing w:after="0"/>
              <w:rPr>
                <w:sz w:val="24"/>
                <w:szCs w:val="24"/>
                <w:color w:val="auto"/>
              </w:rPr>
            </w:pPr>
          </w:p>
        </w:tc>
        <w:tc>
          <w:tcPr>
            <w:tcW w:w="1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9900" w:type="dxa"/>
            <w:vAlign w:val="bottom"/>
            <w:gridSpan w:val="2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Form of Restricted Stock Unit Agreement under TaskUs, Inc. 2021 Omnibus Incentive Plan.</w:t>
              </w:r>
            </w:hyperlink>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56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Form of Option Agreement under TaskUs, Inc. 2021 Omnibus Incentive Plan.</w:t>
              </w:r>
            </w:hyperlink>
          </w:p>
        </w:tc>
        <w:tc>
          <w:tcPr>
            <w:tcW w:w="1040" w:type="dxa"/>
            <w:vAlign w:val="bottom"/>
            <w:tcBorders>
              <w:top w:val="single" w:sz="8" w:color="0000EE"/>
            </w:tcBorders>
            <w:gridSpan w:val="3"/>
          </w:tcPr>
          <w:p>
            <w:pPr>
              <w:spacing w:after="0"/>
              <w:rPr>
                <w:sz w:val="24"/>
                <w:szCs w:val="24"/>
                <w:color w:val="auto"/>
              </w:rPr>
            </w:pPr>
          </w:p>
        </w:tc>
        <w:tc>
          <w:tcPr>
            <w:tcW w:w="32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9900" w:type="dxa"/>
            <w:vAlign w:val="bottom"/>
            <w:gridSpan w:val="2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Form of Performance Stock Unit Agreement under TaskUs, Inc. 2021 Omnibus Incentive Plan</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40" w:type="dxa"/>
            <w:vAlign w:val="bottom"/>
            <w:gridSpan w:val="7"/>
            <w:shd w:val="clear" w:color="auto" w:fill="0000EE"/>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Certification of Principal Executive Officer pursuant to Exchange Act Rules 13a-14(a) and 15d-14(a), as adopted pursuant to Section 302</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27"/>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of the Sarbanes-Oxley Act of 2002.</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gridSpan w:val="27"/>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of Principal Financial Officer pursuant to Exchange Act Rules 13a-14(a) and 15d-14(a), as adopted pursuant to Section 302</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8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of the Sarbanes-Oxley 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54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Oxley Act of 2002.</w:t>
              </w:r>
            </w:hyperlink>
          </w:p>
        </w:tc>
        <w:tc>
          <w:tcPr>
            <w:tcW w:w="85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900" w:type="dxa"/>
            <w:vAlign w:val="bottom"/>
            <w:gridSpan w:val="27"/>
          </w:tcPr>
          <w:p>
            <w:pPr>
              <w:spacing w:after="0"/>
              <w:rPr>
                <w:rFonts w:ascii="Arial" w:cs="Arial" w:eastAsia="Arial" w:hAnsi="Arial"/>
                <w:sz w:val="18"/>
                <w:szCs w:val="18"/>
                <w:color w:val="0000EE"/>
                <w:w w:val="94"/>
              </w:rPr>
            </w:pPr>
            <w:hyperlink w:anchor="page108">
              <w:r>
                <w:rPr>
                  <w:rFonts w:ascii="Arial" w:cs="Arial" w:eastAsia="Arial" w:hAnsi="Arial"/>
                  <w:sz w:val="18"/>
                  <w:szCs w:val="18"/>
                  <w:color w:val="0000EE"/>
                  <w:w w:val="94"/>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Oxley Act of 2002.</w:t>
              </w:r>
            </w:hyperlink>
          </w:p>
        </w:tc>
        <w:tc>
          <w:tcPr>
            <w:tcW w:w="8080" w:type="dxa"/>
            <w:vAlign w:val="bottom"/>
            <w:tcBorders>
              <w:top w:val="single" w:sz="8" w:color="0000EE"/>
            </w:tcBorders>
            <w:gridSpan w:val="19"/>
          </w:tcPr>
          <w:p>
            <w:pPr>
              <w:spacing w:after="0"/>
              <w:rPr>
                <w:sz w:val="17"/>
                <w:szCs w:val="17"/>
                <w:color w:val="auto"/>
              </w:rPr>
            </w:pPr>
          </w:p>
        </w:tc>
        <w:tc>
          <w:tcPr>
            <w:tcW w:w="4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27"/>
          </w:tcPr>
          <w:p>
            <w:pPr>
              <w:spacing w:after="0"/>
              <w:rPr>
                <w:sz w:val="20"/>
                <w:szCs w:val="20"/>
                <w:color w:val="auto"/>
              </w:rPr>
            </w:pPr>
            <w:r>
              <w:rPr>
                <w:rFonts w:ascii="Arial" w:cs="Arial" w:eastAsia="Arial" w:hAnsi="Arial"/>
                <w:sz w:val="18"/>
                <w:szCs w:val="18"/>
                <w:color w:val="auto"/>
                <w:w w:val="94"/>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9900" w:type="dxa"/>
            <w:vAlign w:val="bottom"/>
            <w:gridSpan w:val="2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2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3360" w:hanging="4"/>
        <w:spacing w:after="0" w:line="485" w:lineRule="auto"/>
        <w:tabs>
          <w:tab w:leader="none" w:pos="12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Furnished herewith.</w:t>
      </w:r>
    </w:p>
    <w:p>
      <w:pPr>
        <w:ind w:left="120" w:right="60"/>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pgSz w:w="11900" w:h="16838" w:orient="portrait"/>
          <w:cols w:equalWidth="0" w:num="1">
            <w:col w:w="11120"/>
          </w:cols>
          <w:pgMar w:left="320" w:top="486" w:right="45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86" w:right="4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20"/>
        <w:spacing w:after="0"/>
        <w:tabs>
          <w:tab w:leader="none" w:pos="640" w:val="left"/>
          <w:tab w:leader="none" w:pos="5960" w:val="left"/>
          <w:tab w:leader="none" w:pos="6380" w:val="left"/>
        </w:tabs>
        <w:rPr>
          <w:sz w:val="20"/>
          <w:szCs w:val="20"/>
          <w:color w:val="auto"/>
        </w:rPr>
      </w:pPr>
      <w:r>
        <w:rPr>
          <w:rFonts w:ascii="Arial" w:cs="Arial" w:eastAsia="Arial" w:hAnsi="Arial"/>
          <w:sz w:val="18"/>
          <w:szCs w:val="18"/>
          <w:color w:val="auto"/>
        </w:rPr>
        <w:t>Date:</w:t>
        <w:tab/>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003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Balaji Sekar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(Authorized Signatory)</w:t>
      </w:r>
    </w:p>
    <w:p>
      <w:pPr>
        <w:spacing w:after="0" w:line="211" w:lineRule="exact"/>
        <w:rPr>
          <w:sz w:val="20"/>
          <w:szCs w:val="20"/>
          <w:color w:val="auto"/>
        </w:rPr>
      </w:pPr>
    </w:p>
    <w:p>
      <w:pPr>
        <w:ind w:left="120"/>
        <w:spacing w:after="0"/>
        <w:tabs>
          <w:tab w:leader="none" w:pos="640" w:val="left"/>
          <w:tab w:leader="none" w:pos="5960" w:val="left"/>
          <w:tab w:leader="none" w:pos="6380" w:val="left"/>
        </w:tabs>
        <w:rPr>
          <w:sz w:val="20"/>
          <w:szCs w:val="20"/>
          <w:color w:val="auto"/>
        </w:rPr>
      </w:pPr>
      <w:r>
        <w:rPr>
          <w:rFonts w:ascii="Arial" w:cs="Arial" w:eastAsia="Arial" w:hAnsi="Arial"/>
          <w:sz w:val="18"/>
          <w:szCs w:val="18"/>
          <w:color w:val="auto"/>
        </w:rPr>
        <w:t>Date:</w:t>
        <w:tab/>
        <w:t>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Amaya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003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Amaya</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Accounting Officer)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380"/>
          </w:cols>
          <w:pgMar w:left="320" w:top="486" w:right="11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25" w:lineRule="exact"/>
        <w:rPr>
          <w:sz w:val="20"/>
          <w:szCs w:val="20"/>
          <w:color w:val="auto"/>
        </w:rPr>
      </w:pPr>
    </w:p>
    <w:p>
      <w:pPr>
        <w:ind w:right="480" w:firstLine="991"/>
        <w:spacing w:after="0" w:line="282"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August 5, 2021 by and between Jarrod Johnson (the “</w:t>
      </w:r>
      <w:r>
        <w:rPr>
          <w:rFonts w:ascii="Arial" w:cs="Arial" w:eastAsia="Arial" w:hAnsi="Arial"/>
          <w:sz w:val="18"/>
          <w:szCs w:val="18"/>
          <w:b w:val="1"/>
          <w:bCs w:val="1"/>
          <w:color w:val="auto"/>
        </w:rPr>
        <w:t>Executive</w:t>
      </w:r>
      <w:r>
        <w:rPr>
          <w:rFonts w:ascii="Arial" w:cs="Arial" w:eastAsia="Arial" w:hAnsi="Arial"/>
          <w:sz w:val="18"/>
          <w:szCs w:val="18"/>
          <w:color w:val="auto"/>
        </w:rPr>
        <w:t>”) and TaskUs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Company desires to employ the Executive on the terms and conditions set forth herein;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Executive desires to be employed by the Company on such terms and conditions.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NOW, THEREFORE, in consideration of the mutual covenants, promises, and obligations set forth herein, the parties agree as follows:</w:t>
      </w:r>
    </w:p>
    <w:p>
      <w:pPr>
        <w:spacing w:after="0" w:line="275" w:lineRule="exact"/>
        <w:rPr>
          <w:sz w:val="20"/>
          <w:szCs w:val="20"/>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0"/>
        <w:spacing w:after="0" w:line="275" w:lineRule="auto"/>
        <w:rPr>
          <w:rFonts w:ascii="Arial" w:cs="Arial" w:eastAsia="Arial" w:hAnsi="Arial"/>
          <w:sz w:val="18"/>
          <w:szCs w:val="18"/>
          <w:color w:val="auto"/>
        </w:rPr>
      </w:pPr>
      <w:r>
        <w:rPr>
          <w:rFonts w:ascii="Arial" w:cs="Arial" w:eastAsia="Arial" w:hAnsi="Arial"/>
          <w:sz w:val="17"/>
          <w:szCs w:val="17"/>
          <w:color w:val="auto"/>
        </w:rPr>
        <w:t>Subject to 5 of this Agreement, the Executive’s initial term of employment hereunder shall be from the period beginning on July 22, 2021 (the “Effective Date”) through July 1, 2025 (the “Initial Term”). Thereafter, the Agreement shall be deemed to be automatically extended, upon the same terms and conditions, for successive periods of one year, unless either party provides written notice of its intention not to extend the term at least 90 days prior to the end of the Initial Term or one-year extension thereof. The period during which the Executive is employed by the Company hereunder is hereinafter referred to as the “Employment Term.”</w:t>
      </w:r>
    </w:p>
    <w:p>
      <w:pPr>
        <w:spacing w:after="0" w:line="203"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During the Employment Term, the Executive shall serve as the Chief Customer Officer of the Company, reporting to the Chief Executive Officer. In this position, the Executive shall have such duties, authority, and responsibilities as are consistent with the Executive’s position, including but not limited to responsibility for global Sales and Client Services. Executive’s reporting structure may change in the event of a change in control of the Company.</w:t>
      </w:r>
    </w:p>
    <w:p>
      <w:pPr>
        <w:spacing w:after="0" w:line="9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300"/>
        <w:spacing w:after="0" w:line="259" w:lineRule="auto"/>
        <w:rPr>
          <w:rFonts w:ascii="Arial" w:cs="Arial" w:eastAsia="Arial" w:hAnsi="Arial"/>
          <w:sz w:val="18"/>
          <w:szCs w:val="18"/>
          <w:color w:val="auto"/>
        </w:rPr>
      </w:pPr>
      <w:r>
        <w:rPr>
          <w:rFonts w:ascii="Arial" w:cs="Arial" w:eastAsia="Arial" w:hAnsi="Arial"/>
          <w:sz w:val="18"/>
          <w:szCs w:val="18"/>
          <w:color w:val="auto"/>
        </w:rPr>
        <w:t>During the Employment Term, the Executive shall devote substantially all of his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Place of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8"/>
          <w:szCs w:val="18"/>
          <w:color w:val="auto"/>
        </w:rPr>
        <w:t>The principal place of Executive’s employment shall be Dallas, Texas; provided that, the Executive may be required to travel on Company business during the Employment Term.</w:t>
      </w:r>
    </w:p>
    <w:p>
      <w:pPr>
        <w:sectPr>
          <w:pgSz w:w="11900" w:h="16838" w:orient="portrait"/>
          <w:cols w:equalWidth="0" w:num="1">
            <w:col w:w="11020"/>
          </w:cols>
          <w:pgMar w:left="440" w:top="121" w:right="439" w:bottom="1440" w:gutter="0" w:footer="0" w:header="0"/>
        </w:sectPr>
      </w:pPr>
    </w:p>
    <w:bookmarkStart w:id="51" w:name="page52"/>
    <w:bookmarkEnd w:id="51"/>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spacing w:after="0" w:line="257" w:lineRule="auto"/>
        <w:rPr>
          <w:rFonts w:ascii="Arial" w:cs="Arial" w:eastAsia="Arial" w:hAnsi="Arial"/>
          <w:sz w:val="18"/>
          <w:szCs w:val="18"/>
          <w:color w:val="auto"/>
        </w:rPr>
      </w:pPr>
      <w:r>
        <w:rPr>
          <w:rFonts w:ascii="Arial" w:cs="Arial" w:eastAsia="Arial" w:hAnsi="Arial"/>
          <w:sz w:val="18"/>
          <w:szCs w:val="18"/>
          <w:color w:val="auto"/>
        </w:rPr>
        <w:t>The Company shall pay the Executive an annual rate of base salary of $350,000 in periodic installments in accordance with the Company’s customary payroll practices and applicable wage payment laws, but no less frequently than monthly. The Executive’s base salary shall be reviewed at least annually by the Compensation Committee of the Board (the “Compensation Committee”) and the Compensation Committee may increase the Executive’s base salary during the Employment Term. The Executive’s annual base salary, as in effect from time to time, is hereinafter referred to as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Annual Bonus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540" w:right="20" w:hanging="533"/>
        <w:spacing w:after="0" w:line="266"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each fiscal year of the Employment Term, the Executive shall be eligible to receive an annual bonus (the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Bonus</w:t>
      </w:r>
      <w:r>
        <w:rPr>
          <w:rFonts w:ascii="Arial" w:cs="Arial" w:eastAsia="Arial" w:hAnsi="Arial"/>
          <w:sz w:val="18"/>
          <w:szCs w:val="18"/>
          <w:color w:val="auto"/>
        </w:rPr>
        <w:t>”). However, the decision to provide any Annual Bonus and the amount and terms of any Annual Bonus shall be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and absolute discretion of the Compensation Committee.</w:t>
      </w:r>
    </w:p>
    <w:p>
      <w:pPr>
        <w:spacing w:after="0" w:line="85" w:lineRule="exact"/>
        <w:rPr>
          <w:rFonts w:ascii="Arial" w:cs="Arial" w:eastAsia="Arial" w:hAnsi="Arial"/>
          <w:sz w:val="18"/>
          <w:szCs w:val="18"/>
          <w:color w:val="auto"/>
        </w:rPr>
      </w:pPr>
    </w:p>
    <w:p>
      <w:pPr>
        <w:ind w:left="1540" w:hanging="533"/>
        <w:spacing w:after="0"/>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Annual Bonus will be subject to the terms of the Company annual bonus plan under which it is granted.</w:t>
      </w:r>
    </w:p>
    <w:p>
      <w:pPr>
        <w:spacing w:after="0" w:line="130" w:lineRule="exact"/>
        <w:rPr>
          <w:rFonts w:ascii="Arial" w:cs="Arial" w:eastAsia="Arial" w:hAnsi="Arial"/>
          <w:sz w:val="18"/>
          <w:szCs w:val="18"/>
          <w:color w:val="auto"/>
        </w:rPr>
      </w:pPr>
    </w:p>
    <w:p>
      <w:pPr>
        <w:ind w:left="1540" w:right="500" w:hanging="533"/>
        <w:spacing w:after="0" w:line="277" w:lineRule="auto"/>
        <w:tabs>
          <w:tab w:leader="none" w:pos="1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order to be eligible to receive an Annual Bonus, the Executive must be employed by the Company on the day of the applicable date that Annual Bonuses are paid.</w:t>
      </w:r>
    </w:p>
    <w:p>
      <w:pPr>
        <w:spacing w:after="0" w:line="7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Equity Awards</w:t>
      </w:r>
      <w:r>
        <w:rPr>
          <w:rFonts w:ascii="Arial" w:cs="Arial" w:eastAsia="Arial" w:hAnsi="Arial"/>
          <w:sz w:val="16"/>
          <w:szCs w:val="16"/>
          <w:color w:val="auto"/>
        </w:rPr>
        <w:t>.</w:t>
      </w:r>
    </w:p>
    <w:p>
      <w:pPr>
        <w:spacing w:after="0" w:line="117" w:lineRule="exact"/>
        <w:rPr>
          <w:sz w:val="20"/>
          <w:szCs w:val="20"/>
          <w:color w:val="auto"/>
        </w:rPr>
      </w:pPr>
    </w:p>
    <w:p>
      <w:pPr>
        <w:ind w:left="560" w:right="360"/>
        <w:spacing w:after="0" w:line="263" w:lineRule="auto"/>
        <w:rPr>
          <w:sz w:val="20"/>
          <w:szCs w:val="20"/>
          <w:color w:val="auto"/>
        </w:rPr>
      </w:pPr>
      <w:r>
        <w:rPr>
          <w:rFonts w:ascii="Arial" w:cs="Arial" w:eastAsia="Arial" w:hAnsi="Arial"/>
          <w:sz w:val="18"/>
          <w:szCs w:val="18"/>
          <w:color w:val="auto"/>
        </w:rPr>
        <w:t>The Executive shall be eligible to participate in the TaskUs, Inc. 2021 Omnibus Incentive Plan (the “Omnibus Plan”) or any successor plan, subject to the terms of the Omnibus Plan or successor plan, as determined by the Board or the Compensation Committee, in its discretion.</w:t>
      </w:r>
    </w:p>
    <w:p>
      <w:pPr>
        <w:spacing w:after="0" w:line="89" w:lineRule="exact"/>
        <w:rPr>
          <w:sz w:val="20"/>
          <w:szCs w:val="20"/>
          <w:color w:val="auto"/>
        </w:rPr>
      </w:pPr>
    </w:p>
    <w:p>
      <w:pPr>
        <w:ind w:left="1540" w:right="20" w:hanging="533"/>
        <w:spacing w:after="0" w:line="275" w:lineRule="auto"/>
        <w:tabs>
          <w:tab w:leader="none" w:pos="1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consideration of the Executive entering into this Agreement, and subject to approval by the Compensation Committee, the Company will grant to the Executive the number of Restricted Stock Units set forth below. The Restricted Stock Units are subject to all of the terms and conditions contained in the Restricted Stock Unit Agreement (to be provided upon approval by the Compensation Committee), and in the Omnibus Plan, all of which are incorporated herein in their entirety. Capitalized terms not otherwise defined herein shall have the meaning set forth in the Plan.</w:t>
      </w:r>
    </w:p>
    <w:p>
      <w:pPr>
        <w:spacing w:after="0" w:line="81" w:lineRule="exact"/>
        <w:rPr>
          <w:rFonts w:ascii="Arial" w:cs="Arial" w:eastAsia="Arial" w:hAnsi="Arial"/>
          <w:sz w:val="17"/>
          <w:szCs w:val="17"/>
          <w:color w:val="auto"/>
        </w:rPr>
      </w:pPr>
    </w:p>
    <w:p>
      <w:pPr>
        <w:ind w:left="1980" w:right="40" w:hanging="433"/>
        <w:spacing w:after="0" w:line="277" w:lineRule="auto"/>
        <w:tabs>
          <w:tab w:leader="none" w:pos="1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Restricted Stock Units: a number equivalent to $6,000,000 in value, to be determined by the Compensation Committee as of August 5, 2021.</w:t>
      </w:r>
    </w:p>
    <w:p>
      <w:pPr>
        <w:spacing w:after="0" w:line="75" w:lineRule="exact"/>
        <w:rPr>
          <w:rFonts w:ascii="Arial" w:cs="Arial" w:eastAsia="Arial" w:hAnsi="Arial"/>
          <w:sz w:val="18"/>
          <w:szCs w:val="18"/>
          <w:color w:val="auto"/>
        </w:rPr>
      </w:pPr>
    </w:p>
    <w:p>
      <w:pPr>
        <w:ind w:left="1980" w:hanging="433"/>
        <w:spacing w:after="0"/>
        <w:tabs>
          <w:tab w:leader="none" w:pos="1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Vesting Schedule: Provided the Executive has not undergone a Termination at the time of the applicable vesting date</w:t>
      </w:r>
    </w:p>
    <w:p>
      <w:pPr>
        <w:spacing w:after="0" w:line="46" w:lineRule="exact"/>
        <w:rPr>
          <w:rFonts w:ascii="Arial" w:cs="Arial" w:eastAsia="Arial" w:hAnsi="Arial"/>
          <w:sz w:val="16"/>
          <w:szCs w:val="16"/>
          <w:color w:val="auto"/>
        </w:rPr>
      </w:pPr>
    </w:p>
    <w:p>
      <w:pPr>
        <w:ind w:left="1980" w:right="60"/>
        <w:spacing w:after="0" w:line="252" w:lineRule="auto"/>
        <w:rPr>
          <w:rFonts w:ascii="Arial" w:cs="Arial" w:eastAsia="Arial" w:hAnsi="Arial"/>
          <w:sz w:val="16"/>
          <w:szCs w:val="16"/>
          <w:color w:val="auto"/>
        </w:rPr>
      </w:pPr>
      <w:r>
        <w:rPr>
          <w:rFonts w:ascii="Arial" w:cs="Arial" w:eastAsia="Arial" w:hAnsi="Arial"/>
          <w:sz w:val="18"/>
          <w:szCs w:val="18"/>
          <w:color w:val="auto"/>
        </w:rPr>
        <w:t>(or event): 1/5 of the Restricted Stock Units (rounded down to the nearest whole share) will vest on the date that is one year following the Vesting Reference Date; 1/5 of the Restricted Stock Units (rounded down to the nearest whole share) will vest on the date that is two years following the Vesting Reference Date; 1/5 of the Restricted Stock Units (rounded down to the nearest whole share) will vest on the date that is three years following the Vesting Reference Date; and the remaining Restricted Stock Units will vest on the date that is four years following the Vesting Reference Date.</w:t>
      </w:r>
    </w:p>
    <w:p>
      <w:pPr>
        <w:spacing w:after="0" w:line="99" w:lineRule="exact"/>
        <w:rPr>
          <w:rFonts w:ascii="Arial" w:cs="Arial" w:eastAsia="Arial" w:hAnsi="Arial"/>
          <w:sz w:val="16"/>
          <w:szCs w:val="16"/>
          <w:color w:val="auto"/>
        </w:rPr>
      </w:pPr>
    </w:p>
    <w:p>
      <w:pPr>
        <w:ind w:left="1540" w:right="40" w:hanging="533"/>
        <w:spacing w:after="0" w:line="273" w:lineRule="auto"/>
        <w:tabs>
          <w:tab w:leader="none" w:pos="1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consideration of the Executive entering into this Agreement, and subject to approval by the Compensation Committee, the Company will grant to the Executive the number of Options (each Option representing the right to purchase one share of Class A Common Stock) set forth below, at an Exercise Price per share as set forth below. The Options are subject to all of the terms and conditions as set forth herein, in the Option Agreement (to be provided upon approval by the Compensation Committee), and in the Plan, all of which are incorporated herein in their entirety. Capitalized terms not otherwise defined herein shall have the meaning set forth in the Plan.</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60" w:top="274" w:right="459" w:bottom="1440" w:gutter="0" w:footer="0" w:header="0"/>
        </w:sectPr>
      </w:pPr>
    </w:p>
    <w:bookmarkStart w:id="52" w:name="page53"/>
    <w:bookmarkEnd w:id="52"/>
    <w:p>
      <w:pPr>
        <w:ind w:left="1400" w:right="60" w:hanging="433"/>
        <w:spacing w:after="0" w:line="277" w:lineRule="auto"/>
        <w:tabs>
          <w:tab w:leader="none" w:pos="1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Options: a number equivalent to $7,000,000 in value, to be determined by the Compensation Committee as of August 5, 2021.</w:t>
      </w:r>
    </w:p>
    <w:p>
      <w:pPr>
        <w:spacing w:after="0" w:line="75" w:lineRule="exact"/>
        <w:rPr>
          <w:rFonts w:ascii="Arial" w:cs="Arial" w:eastAsia="Arial" w:hAnsi="Arial"/>
          <w:sz w:val="18"/>
          <w:szCs w:val="18"/>
          <w:color w:val="auto"/>
        </w:rPr>
      </w:pPr>
    </w:p>
    <w:p>
      <w:pPr>
        <w:ind w:left="1400" w:right="40" w:hanging="433"/>
        <w:spacing w:after="0" w:line="277" w:lineRule="auto"/>
        <w:tabs>
          <w:tab w:leader="none" w:pos="1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Exercise Price: to be determined by the Compensation Committee based upon the Fair Market Value of the Company’s Class A Common Stock on the date of grant.</w:t>
      </w:r>
    </w:p>
    <w:p>
      <w:pPr>
        <w:spacing w:after="0" w:line="75" w:lineRule="exact"/>
        <w:rPr>
          <w:rFonts w:ascii="Arial" w:cs="Arial" w:eastAsia="Arial" w:hAnsi="Arial"/>
          <w:sz w:val="18"/>
          <w:szCs w:val="18"/>
          <w:color w:val="auto"/>
        </w:rPr>
      </w:pPr>
    </w:p>
    <w:p>
      <w:pPr>
        <w:ind w:left="1400" w:hanging="433"/>
        <w:spacing w:after="0"/>
        <w:tabs>
          <w:tab w:leader="none" w:pos="1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Option Period Expiration Date: 10th anniversary of Grant Date</w:t>
      </w:r>
    </w:p>
    <w:p>
      <w:pPr>
        <w:spacing w:after="0" w:line="130" w:lineRule="exact"/>
        <w:rPr>
          <w:rFonts w:ascii="Arial" w:cs="Arial" w:eastAsia="Arial" w:hAnsi="Arial"/>
          <w:sz w:val="18"/>
          <w:szCs w:val="18"/>
          <w:color w:val="auto"/>
        </w:rPr>
      </w:pPr>
    </w:p>
    <w:p>
      <w:pPr>
        <w:ind w:left="1400" w:hanging="433"/>
        <w:spacing w:after="0"/>
        <w:tabs>
          <w:tab w:leader="none" w:pos="1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Option: Non-Qualified Stock Option</w:t>
      </w:r>
    </w:p>
    <w:p>
      <w:pPr>
        <w:spacing w:after="0" w:line="130" w:lineRule="exact"/>
        <w:rPr>
          <w:rFonts w:ascii="Arial" w:cs="Arial" w:eastAsia="Arial" w:hAnsi="Arial"/>
          <w:sz w:val="18"/>
          <w:szCs w:val="18"/>
          <w:color w:val="auto"/>
        </w:rPr>
      </w:pPr>
    </w:p>
    <w:p>
      <w:pPr>
        <w:ind w:left="1400" w:hanging="433"/>
        <w:spacing w:after="0"/>
        <w:tabs>
          <w:tab w:leader="none" w:pos="14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Vesting Schedule: Provided the Participant has not undergone a Termination at the time of the applicable vesting date</w:t>
      </w:r>
    </w:p>
    <w:p>
      <w:pPr>
        <w:spacing w:after="0" w:line="46" w:lineRule="exact"/>
        <w:rPr>
          <w:rFonts w:ascii="Arial" w:cs="Arial" w:eastAsia="Arial" w:hAnsi="Arial"/>
          <w:sz w:val="16"/>
          <w:szCs w:val="16"/>
          <w:color w:val="auto"/>
        </w:rPr>
      </w:pPr>
    </w:p>
    <w:p>
      <w:pPr>
        <w:ind w:left="1400"/>
        <w:spacing w:after="0" w:line="271" w:lineRule="auto"/>
        <w:rPr>
          <w:rFonts w:ascii="Arial" w:cs="Arial" w:eastAsia="Arial" w:hAnsi="Arial"/>
          <w:sz w:val="16"/>
          <w:szCs w:val="16"/>
          <w:color w:val="auto"/>
        </w:rPr>
      </w:pPr>
      <w:r>
        <w:rPr>
          <w:rFonts w:ascii="Arial" w:cs="Arial" w:eastAsia="Arial" w:hAnsi="Arial"/>
          <w:sz w:val="17"/>
          <w:szCs w:val="17"/>
          <w:color w:val="auto"/>
        </w:rPr>
        <w:t>(or event): 1/5 of the Options (rounded down to the nearest whole share) will vest on the date that is one year following the Vesting Reference Date; 1/5 of the Options (rounded down to the nearest whole share) will vest on the date that is two years following the Vesting Reference Date; 1/5 of the Options (rounded down to the nearest whole share) will vest on the date that is three years following the Vesting Reference Date; and the remaining Options will vest on the date that is four years following the Vesting Reference Date.</w:t>
      </w:r>
    </w:p>
    <w:p>
      <w:pPr>
        <w:spacing w:after="0" w:line="83" w:lineRule="exact"/>
        <w:rPr>
          <w:rFonts w:ascii="Arial" w:cs="Arial" w:eastAsia="Arial" w:hAnsi="Arial"/>
          <w:sz w:val="16"/>
          <w:szCs w:val="16"/>
          <w:color w:val="auto"/>
        </w:rPr>
      </w:pPr>
    </w:p>
    <w:p>
      <w:pPr>
        <w:ind w:left="960" w:right="40" w:hanging="533"/>
        <w:spacing w:after="0" w:line="296"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consideration of the Executive entering into this Agreement, and subject to approval by the Compensation Committee, the Company will grant to the Executive the number of Performance Stock Units set forth below. The Performance Stock Units are subject to all of the terms and conditions contained in the Performance Stock Unit Agreement (to be provided upon approval by the Compensation Committee), and the Omnibus Plan, all of which are incorporated herein in their entirety. Capitalized terms not otherwise defined herein shall have the meaning set forth in the Plan.</w:t>
      </w:r>
    </w:p>
    <w:p>
      <w:pPr>
        <w:spacing w:after="0" w:line="66" w:lineRule="exact"/>
        <w:rPr>
          <w:rFonts w:ascii="Arial" w:cs="Arial" w:eastAsia="Arial" w:hAnsi="Arial"/>
          <w:sz w:val="16"/>
          <w:szCs w:val="16"/>
          <w:color w:val="auto"/>
        </w:rPr>
      </w:pPr>
    </w:p>
    <w:p>
      <w:pPr>
        <w:ind w:left="1400" w:right="700" w:hanging="433"/>
        <w:spacing w:after="0" w:line="308" w:lineRule="auto"/>
        <w:tabs>
          <w:tab w:leader="none" w:pos="14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Performance Stock Units: a number equivalent to $2,000,000 in value, to be determined by the Compensation Committee as of August 5, 2021, subject to the vesting requirements set forth below.</w:t>
      </w:r>
    </w:p>
    <w:p>
      <w:pPr>
        <w:spacing w:after="0" w:line="51" w:lineRule="exact"/>
        <w:rPr>
          <w:rFonts w:ascii="Arial" w:cs="Arial" w:eastAsia="Arial" w:hAnsi="Arial"/>
          <w:sz w:val="17"/>
          <w:szCs w:val="17"/>
          <w:color w:val="auto"/>
        </w:rPr>
      </w:pPr>
    </w:p>
    <w:p>
      <w:pPr>
        <w:ind w:left="1400" w:hanging="433"/>
        <w:spacing w:after="0" w:line="263" w:lineRule="auto"/>
        <w:tabs>
          <w:tab w:leader="none" w:pos="1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Vesting Requirements: The Performance Stock Units will vest on the date that is four years following the Date of Grant based on the achievement of the specified Market Cap CAGR levels (the “Levels of Achievement”), as defined in the Performance Stock Unit Agreement, illustrated as follows:</w:t>
      </w:r>
    </w:p>
    <w:p>
      <w:pPr>
        <w:spacing w:after="0" w:line="202" w:lineRule="exact"/>
        <w:rPr>
          <w:sz w:val="20"/>
          <w:szCs w:val="20"/>
          <w:color w:val="auto"/>
        </w:rPr>
      </w:pPr>
    </w:p>
    <w:tbl>
      <w:tblPr>
        <w:tblLayout w:type="fixed"/>
        <w:tblInd w:w="1740" w:type="dxa"/>
        <w:tblCellMar>
          <w:top w:w="0" w:type="dxa"/>
          <w:left w:w="0" w:type="dxa"/>
          <w:bottom w:w="0" w:type="dxa"/>
          <w:right w:w="0" w:type="dxa"/>
        </w:tblCellMar>
      </w:tblPr>
      <w:tr>
        <w:trPr>
          <w:trHeight w:val="178"/>
        </w:trPr>
        <w:tc>
          <w:tcPr>
            <w:tcW w:w="1080" w:type="dxa"/>
            <w:vAlign w:val="bottom"/>
          </w:tcPr>
          <w:p>
            <w:pPr>
              <w:spacing w:after="0"/>
              <w:rPr>
                <w:sz w:val="15"/>
                <w:szCs w:val="15"/>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Performance Condition</w:t>
            </w:r>
          </w:p>
        </w:tc>
        <w:tc>
          <w:tcPr>
            <w:tcW w:w="1420" w:type="dxa"/>
            <w:vAlign w:val="bottom"/>
          </w:tcPr>
          <w:p>
            <w:pPr>
              <w:spacing w:after="0"/>
              <w:rPr>
                <w:sz w:val="15"/>
                <w:szCs w:val="15"/>
                <w:color w:val="auto"/>
              </w:rPr>
            </w:pPr>
          </w:p>
        </w:tc>
        <w:tc>
          <w:tcPr>
            <w:tcW w:w="1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Level of Achievement</w:t>
            </w:r>
          </w:p>
        </w:tc>
      </w:tr>
      <w:tr>
        <w:trPr>
          <w:trHeight w:val="149"/>
        </w:trPr>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First</w:t>
            </w:r>
          </w:p>
        </w:tc>
        <w:tc>
          <w:tcPr>
            <w:tcW w:w="6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Second</w:t>
            </w:r>
          </w:p>
        </w:tc>
      </w:tr>
      <w:tr>
        <w:trPr>
          <w:trHeight w:val="209"/>
        </w:trPr>
        <w:tc>
          <w:tcPr>
            <w:tcW w:w="10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Market Cap CAGR</w:t>
            </w:r>
          </w:p>
        </w:tc>
        <w:tc>
          <w:tcPr>
            <w:tcW w:w="1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25.1%</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35.1%</w:t>
            </w:r>
          </w:p>
        </w:tc>
      </w:tr>
    </w:tbl>
    <w:p>
      <w:pPr>
        <w:spacing w:after="0" w:line="94" w:lineRule="exact"/>
        <w:rPr>
          <w:sz w:val="20"/>
          <w:szCs w:val="20"/>
          <w:color w:val="auto"/>
        </w:rPr>
      </w:pPr>
    </w:p>
    <w:p>
      <w:pPr>
        <w:ind w:left="1520" w:right="360"/>
        <w:spacing w:after="0" w:line="263" w:lineRule="auto"/>
        <w:rPr>
          <w:sz w:val="20"/>
          <w:szCs w:val="20"/>
          <w:color w:val="auto"/>
        </w:rPr>
      </w:pPr>
      <w:r>
        <w:rPr>
          <w:rFonts w:ascii="Arial" w:cs="Arial" w:eastAsia="Arial" w:hAnsi="Arial"/>
          <w:sz w:val="18"/>
          <w:szCs w:val="18"/>
          <w:color w:val="auto"/>
        </w:rPr>
        <w:t>Provided that the Executive has not undergone a Termination, the Performance Stock Units that become earned Performance Stock Units in accordance with the Performance Condition Level of Achievements indicated above shall become vested as follows:</w:t>
      </w:r>
    </w:p>
    <w:p>
      <w:pPr>
        <w:spacing w:after="0" w:line="190"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Level of Achievement</w:t>
            </w:r>
          </w:p>
        </w:tc>
        <w:tc>
          <w:tcPr>
            <w:tcW w:w="16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of Vesting Eligible</w:t>
            </w:r>
          </w:p>
        </w:tc>
        <w:tc>
          <w:tcPr>
            <w:tcW w:w="0" w:type="dxa"/>
            <w:vAlign w:val="bottom"/>
          </w:tcPr>
          <w:p>
            <w:pPr>
              <w:spacing w:after="0"/>
              <w:rPr>
                <w:sz w:val="1"/>
                <w:szCs w:val="1"/>
                <w:color w:val="auto"/>
              </w:rPr>
            </w:pPr>
          </w:p>
        </w:tc>
      </w:tr>
      <w:tr>
        <w:trPr>
          <w:trHeight w:val="178"/>
        </w:trPr>
        <w:tc>
          <w:tcPr>
            <w:tcW w:w="7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620" w:type="dxa"/>
            <w:vAlign w:val="bottom"/>
          </w:tcPr>
          <w:p>
            <w:pPr>
              <w:spacing w:after="0"/>
              <w:rPr>
                <w:sz w:val="15"/>
                <w:szCs w:val="15"/>
                <w:color w:val="auto"/>
              </w:rPr>
            </w:pPr>
          </w:p>
        </w:tc>
        <w:tc>
          <w:tcPr>
            <w:tcW w:w="1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PSUs Earned</w:t>
            </w:r>
          </w:p>
        </w:tc>
        <w:tc>
          <w:tcPr>
            <w:tcW w:w="0" w:type="dxa"/>
            <w:vAlign w:val="bottom"/>
          </w:tcPr>
          <w:p>
            <w:pPr>
              <w:spacing w:after="0"/>
              <w:rPr>
                <w:sz w:val="1"/>
                <w:szCs w:val="1"/>
                <w:color w:val="auto"/>
              </w:rPr>
            </w:pPr>
          </w:p>
        </w:tc>
      </w:tr>
      <w:tr>
        <w:trPr>
          <w:trHeight w:val="203"/>
        </w:trPr>
        <w:tc>
          <w:tcPr>
            <w:tcW w:w="7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Below First</w:t>
            </w:r>
          </w:p>
        </w:tc>
        <w:tc>
          <w:tcPr>
            <w:tcW w:w="16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First</w:t>
            </w:r>
          </w:p>
        </w:tc>
        <w:tc>
          <w:tcPr>
            <w:tcW w:w="3460" w:type="dxa"/>
            <w:vAlign w:val="bottom"/>
            <w:gridSpan w:val="2"/>
          </w:tcPr>
          <w:p>
            <w:pPr>
              <w:jc w:val="center"/>
              <w:ind w:left="15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Second</w:t>
            </w:r>
          </w:p>
        </w:tc>
        <w:tc>
          <w:tcPr>
            <w:tcW w:w="3460" w:type="dxa"/>
            <w:vAlign w:val="bottom"/>
            <w:gridSpan w:val="2"/>
            <w:shd w:val="clear" w:color="auto" w:fill="CCEEFF"/>
          </w:tcPr>
          <w:p>
            <w:pPr>
              <w:jc w:val="center"/>
              <w:ind w:left="155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Above Second</w:t>
            </w:r>
          </w:p>
        </w:tc>
        <w:tc>
          <w:tcPr>
            <w:tcW w:w="3460" w:type="dxa"/>
            <w:vAlign w:val="bottom"/>
            <w:gridSpan w:val="2"/>
          </w:tcPr>
          <w:p>
            <w:pPr>
              <w:jc w:val="center"/>
              <w:ind w:left="155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350"/>
        </w:trPr>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color w:val="auto"/>
              </w:rPr>
              <w:t>3</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00"/>
          </w:cols>
          <w:pgMar w:left="1440" w:top="274" w:right="459" w:bottom="1440" w:gutter="0" w:footer="0" w:header="0"/>
        </w:sectPr>
      </w:pPr>
    </w:p>
    <w:bookmarkStart w:id="53" w:name="page54"/>
    <w:bookmarkEnd w:id="53"/>
    <w:p>
      <w:pPr>
        <w:ind w:left="5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4.4</w:t>
      </w:r>
      <w:r>
        <w:rPr>
          <w:sz w:val="20"/>
          <w:szCs w:val="20"/>
          <w:color w:val="auto"/>
        </w:rPr>
        <w:tab/>
      </w:r>
      <w:r>
        <w:rPr>
          <w:rFonts w:ascii="Arial" w:cs="Arial" w:eastAsia="Arial" w:hAnsi="Arial"/>
          <w:sz w:val="16"/>
          <w:szCs w:val="16"/>
          <w:u w:val="single" w:color="auto"/>
          <w:color w:val="auto"/>
        </w:rPr>
        <w:t>Fringe Benefits and Perquisites</w:t>
      </w:r>
      <w:r>
        <w:rPr>
          <w:rFonts w:ascii="Arial" w:cs="Arial" w:eastAsia="Arial" w:hAnsi="Arial"/>
          <w:sz w:val="16"/>
          <w:szCs w:val="16"/>
          <w:color w:val="auto"/>
        </w:rPr>
        <w:t>.</w:t>
      </w:r>
    </w:p>
    <w:p>
      <w:pPr>
        <w:spacing w:after="0" w:line="117"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During the Employment Term, the Executive shall be entitled to fringe benefits and perquisites consistent with those provided to similarly situated executives of the Company.</w:t>
      </w:r>
    </w:p>
    <w:p>
      <w:pPr>
        <w:spacing w:after="0" w:line="7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117" w:lineRule="exact"/>
        <w:rPr>
          <w:sz w:val="20"/>
          <w:szCs w:val="20"/>
          <w:color w:val="auto"/>
        </w:rPr>
      </w:pPr>
    </w:p>
    <w:p>
      <w:pPr>
        <w:jc w:val="both"/>
        <w:ind w:left="560" w:right="600"/>
        <w:spacing w:after="0" w:line="301" w:lineRule="auto"/>
        <w:rPr>
          <w:sz w:val="20"/>
          <w:szCs w:val="20"/>
          <w:color w:val="auto"/>
        </w:rPr>
      </w:pPr>
      <w:r>
        <w:rPr>
          <w:rFonts w:ascii="Arial" w:cs="Arial" w:eastAsia="Arial" w:hAnsi="Arial"/>
          <w:sz w:val="16"/>
          <w:szCs w:val="16"/>
          <w:color w:val="auto"/>
        </w:rPr>
        <w:t>During the Employment Term, the Executive shall be entitled to participate in all employee benefit plans, practices, and programs maintained by the Company, as in effect from time to time (collectively, “</w:t>
      </w:r>
      <w:r>
        <w:rPr>
          <w:rFonts w:ascii="Arial" w:cs="Arial" w:eastAsia="Arial" w:hAnsi="Arial"/>
          <w:sz w:val="16"/>
          <w:szCs w:val="16"/>
          <w:b w:val="1"/>
          <w:bCs w:val="1"/>
          <w:color w:val="auto"/>
        </w:rPr>
        <w:t>Employee Benefit Plans</w:t>
      </w:r>
      <w:r>
        <w:rPr>
          <w:rFonts w:ascii="Arial" w:cs="Arial" w:eastAsia="Arial" w:hAnsi="Arial"/>
          <w:sz w:val="16"/>
          <w:szCs w:val="16"/>
          <w:color w:val="auto"/>
        </w:rPr>
        <w:t>”),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63"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Vacation; Paid Time Off</w:t>
      </w:r>
      <w:r>
        <w:rPr>
          <w:rFonts w:ascii="Arial" w:cs="Arial" w:eastAsia="Arial" w:hAnsi="Arial"/>
          <w:sz w:val="16"/>
          <w:szCs w:val="16"/>
          <w:color w:val="auto"/>
        </w:rPr>
        <w:t>.</w:t>
      </w:r>
    </w:p>
    <w:p>
      <w:pPr>
        <w:spacing w:after="0" w:line="11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During the Employment Term, the Executive shall be entitled to paid time off in accordance with the Company’s policies for executive officers as such policies may exist from time to time and as required by applicable law.</w:t>
      </w:r>
    </w:p>
    <w:p>
      <w:pPr>
        <w:spacing w:after="0" w:line="7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Business Expenses</w:t>
      </w:r>
      <w:r>
        <w:rPr>
          <w:rFonts w:ascii="Arial" w:cs="Arial" w:eastAsia="Arial" w:hAnsi="Arial"/>
          <w:sz w:val="15"/>
          <w:szCs w:val="15"/>
          <w:color w:val="auto"/>
        </w:rPr>
        <w:t>.</w:t>
      </w:r>
    </w:p>
    <w:p>
      <w:pPr>
        <w:spacing w:after="0" w:line="117"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Subject to the Company’s expense reimbursement policies, Executive will have the opportunity to modify or pay out-of-pocket for any expenses that are not eligible for reimbursement submitted by mistake without disciplinary action.</w:t>
      </w:r>
    </w:p>
    <w:p>
      <w:pPr>
        <w:spacing w:after="0" w:line="93"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Clawback Provisions</w:t>
      </w:r>
      <w:r>
        <w:rPr>
          <w:rFonts w:ascii="Arial" w:cs="Arial" w:eastAsia="Arial" w:hAnsi="Arial"/>
          <w:sz w:val="16"/>
          <w:szCs w:val="16"/>
          <w:color w:val="auto"/>
        </w:rPr>
        <w:t>.</w:t>
      </w:r>
    </w:p>
    <w:p>
      <w:pPr>
        <w:spacing w:after="0" w:line="117" w:lineRule="exact"/>
        <w:rPr>
          <w:sz w:val="20"/>
          <w:szCs w:val="20"/>
          <w:color w:val="auto"/>
        </w:rPr>
      </w:pPr>
    </w:p>
    <w:p>
      <w:pPr>
        <w:ind w:left="560" w:right="140"/>
        <w:spacing w:after="0" w:line="257" w:lineRule="auto"/>
        <w:rPr>
          <w:sz w:val="20"/>
          <w:szCs w:val="20"/>
          <w:color w:val="auto"/>
        </w:rPr>
      </w:pPr>
      <w:r>
        <w:rPr>
          <w:rFonts w:ascii="Arial" w:cs="Arial" w:eastAsia="Arial" w:hAnsi="Arial"/>
          <w:sz w:val="18"/>
          <w:szCs w:val="18"/>
          <w:color w:val="auto"/>
        </w:rPr>
        <w:t>Any amounts payable under this Agreement are subject to any policy (whether in existence as of the Effective Date or later adopted) established by the Company providing for clawback or recovery of amounts that were paid to the Executive. Further, amounts paid under Section 5.2(a) below shall be forfeited and repaid to the Company in the event Executive breaches the restrictive covenants contained in Section 7 below. The Company will make any determination for clawback or recovery in its sole discretion and in accordance with any applicable law or regulation.</w:t>
      </w:r>
    </w:p>
    <w:p>
      <w:pPr>
        <w:spacing w:after="0" w:line="215"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0"/>
        <w:spacing w:after="0" w:line="296" w:lineRule="auto"/>
        <w:rPr>
          <w:rFonts w:ascii="Arial" w:cs="Arial" w:eastAsia="Arial" w:hAnsi="Arial"/>
          <w:sz w:val="18"/>
          <w:szCs w:val="18"/>
          <w:color w:val="auto"/>
        </w:rPr>
      </w:pPr>
      <w:r>
        <w:rPr>
          <w:rFonts w:ascii="Arial" w:cs="Arial" w:eastAsia="Arial" w:hAnsi="Arial"/>
          <w:sz w:val="16"/>
          <w:szCs w:val="16"/>
          <w:color w:val="auto"/>
        </w:rPr>
        <w:t>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90 days advance written notice of any termination of the Executive’s employment. Upon termination of the Executive’s employment during the Employment Term, the Executive shall be entitled to the compensation and benefits described in this 5 and shall have no further rights to any compensation or any other benefits from the Company or any of its affiliates.</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54" w:name="page55"/>
    <w:bookmarkEnd w:id="54"/>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5.1</w:t>
      </w:r>
      <w:r>
        <w:rPr>
          <w:sz w:val="20"/>
          <w:szCs w:val="20"/>
          <w:color w:val="auto"/>
        </w:rPr>
        <w:tab/>
      </w:r>
      <w:r>
        <w:rPr>
          <w:rFonts w:ascii="Arial" w:cs="Arial" w:eastAsia="Arial" w:hAnsi="Arial"/>
          <w:sz w:val="16"/>
          <w:szCs w:val="16"/>
          <w:u w:val="single" w:color="auto"/>
          <w:color w:val="auto"/>
        </w:rPr>
        <w:t>For Cause or Without Good Reason</w:t>
      </w:r>
      <w:r>
        <w:rPr>
          <w:rFonts w:ascii="Arial" w:cs="Arial" w:eastAsia="Arial" w:hAnsi="Arial"/>
          <w:sz w:val="16"/>
          <w:szCs w:val="16"/>
          <w:color w:val="auto"/>
        </w:rPr>
        <w:t>.</w:t>
      </w:r>
    </w:p>
    <w:p>
      <w:pPr>
        <w:spacing w:after="0" w:line="131" w:lineRule="exact"/>
        <w:rPr>
          <w:sz w:val="20"/>
          <w:szCs w:val="20"/>
          <w:color w:val="auto"/>
        </w:rPr>
      </w:pPr>
    </w:p>
    <w:p>
      <w:pPr>
        <w:ind w:left="980" w:right="240" w:hanging="533"/>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employment hereunder may be terminated by the Company for Cause, or by the Executive without Good Reason and the Executive shall be entitled to receive:</w:t>
      </w:r>
    </w:p>
    <w:p>
      <w:pPr>
        <w:spacing w:after="0" w:line="75" w:lineRule="exact"/>
        <w:rPr>
          <w:rFonts w:ascii="Arial" w:cs="Arial" w:eastAsia="Arial" w:hAnsi="Arial"/>
          <w:sz w:val="18"/>
          <w:szCs w:val="18"/>
          <w:color w:val="auto"/>
        </w:rPr>
      </w:pPr>
    </w:p>
    <w:p>
      <w:pPr>
        <w:ind w:left="1420" w:right="680" w:hanging="433"/>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accrued but unpaid Base Salary which shall be paid in accordance with the Company’s customary payroll procedures;</w:t>
      </w:r>
    </w:p>
    <w:p>
      <w:pPr>
        <w:spacing w:after="0" w:line="75" w:lineRule="exact"/>
        <w:rPr>
          <w:rFonts w:ascii="Arial" w:cs="Arial" w:eastAsia="Arial" w:hAnsi="Arial"/>
          <w:sz w:val="18"/>
          <w:szCs w:val="18"/>
          <w:color w:val="auto"/>
        </w:rPr>
      </w:pPr>
    </w:p>
    <w:p>
      <w:pPr>
        <w:ind w:left="1420" w:right="140" w:hanging="433"/>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shall be subject to and paid in accordance with the Company’s expense reimbursement policy; and</w:t>
      </w:r>
    </w:p>
    <w:p>
      <w:pPr>
        <w:spacing w:after="0" w:line="75" w:lineRule="exact"/>
        <w:rPr>
          <w:rFonts w:ascii="Arial" w:cs="Arial" w:eastAsia="Arial" w:hAnsi="Arial"/>
          <w:sz w:val="18"/>
          <w:szCs w:val="18"/>
          <w:color w:val="auto"/>
        </w:rPr>
      </w:pPr>
    </w:p>
    <w:p>
      <w:pPr>
        <w:ind w:left="1420" w:right="240" w:hanging="433"/>
        <w:spacing w:after="0" w:line="259"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Items 5.1(a)(i) through 5.1(a)(iv) are referred to herein collectively as the “</w:t>
      </w:r>
      <w:r>
        <w:rPr>
          <w:rFonts w:ascii="Arial" w:cs="Arial" w:eastAsia="Arial" w:hAnsi="Arial"/>
          <w:sz w:val="18"/>
          <w:szCs w:val="18"/>
          <w:b w:val="1"/>
          <w:bCs w:val="1"/>
          <w:color w:val="auto"/>
        </w:rPr>
        <w:t>Accrued Amounts</w:t>
      </w:r>
      <w:r>
        <w:rPr>
          <w:rFonts w:ascii="Arial" w:cs="Arial" w:eastAsia="Arial" w:hAnsi="Arial"/>
          <w:sz w:val="18"/>
          <w:szCs w:val="18"/>
          <w:color w:val="auto"/>
        </w:rPr>
        <w:t>.”</w:t>
      </w:r>
    </w:p>
    <w:p>
      <w:pPr>
        <w:spacing w:after="0" w:line="131" w:lineRule="exact"/>
        <w:rPr>
          <w:sz w:val="20"/>
          <w:szCs w:val="20"/>
          <w:color w:val="auto"/>
        </w:rPr>
      </w:pPr>
    </w:p>
    <w:p>
      <w:pPr>
        <w:ind w:left="980" w:hanging="53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shall mean:</w:t>
      </w:r>
    </w:p>
    <w:p>
      <w:pPr>
        <w:spacing w:after="0" w:line="134" w:lineRule="exact"/>
        <w:rPr>
          <w:rFonts w:ascii="Arial" w:cs="Arial" w:eastAsia="Arial" w:hAnsi="Arial"/>
          <w:sz w:val="18"/>
          <w:szCs w:val="18"/>
          <w:color w:val="auto"/>
        </w:rPr>
      </w:pPr>
    </w:p>
    <w:p>
      <w:pPr>
        <w:ind w:left="1420" w:right="100" w:hanging="433"/>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Executive’s engagement in dishonesty, illegal conduct, or material misconduct, which is, in each case, injurious to the Company or its affiliates;</w:t>
      </w:r>
    </w:p>
    <w:p>
      <w:pPr>
        <w:spacing w:after="0" w:line="75" w:lineRule="exact"/>
        <w:rPr>
          <w:rFonts w:ascii="Arial" w:cs="Arial" w:eastAsia="Arial" w:hAnsi="Arial"/>
          <w:sz w:val="18"/>
          <w:szCs w:val="18"/>
          <w:color w:val="auto"/>
        </w:rPr>
      </w:pPr>
    </w:p>
    <w:p>
      <w:pPr>
        <w:ind w:left="1420" w:right="100" w:hanging="433"/>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Executive’s embezzlement, misappropriation, or fraud, whether or not related to the Executive’s employment with the Company;</w:t>
      </w:r>
    </w:p>
    <w:p>
      <w:pPr>
        <w:spacing w:after="0" w:line="75" w:lineRule="exact"/>
        <w:rPr>
          <w:rFonts w:ascii="Arial" w:cs="Arial" w:eastAsia="Arial" w:hAnsi="Arial"/>
          <w:sz w:val="18"/>
          <w:szCs w:val="18"/>
          <w:color w:val="auto"/>
        </w:rPr>
      </w:pPr>
    </w:p>
    <w:p>
      <w:pPr>
        <w:ind w:left="1420" w:right="420" w:hanging="433"/>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Executive’s conviction of or plea of guilty or nolo contendere to a crime that constitutes a felony (or state law equivalent) or a crime that constitutes a misdemeanor involving moral turpitude;</w:t>
      </w:r>
    </w:p>
    <w:p>
      <w:pPr>
        <w:spacing w:after="0" w:line="75" w:lineRule="exact"/>
        <w:rPr>
          <w:rFonts w:ascii="Arial" w:cs="Arial" w:eastAsia="Arial" w:hAnsi="Arial"/>
          <w:sz w:val="18"/>
          <w:szCs w:val="18"/>
          <w:color w:val="auto"/>
        </w:rPr>
      </w:pPr>
    </w:p>
    <w:p>
      <w:pPr>
        <w:ind w:left="1420" w:right="280" w:hanging="433"/>
        <w:spacing w:after="0" w:line="342"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29" w:lineRule="exact"/>
        <w:rPr>
          <w:rFonts w:ascii="Arial" w:cs="Arial" w:eastAsia="Arial" w:hAnsi="Arial"/>
          <w:sz w:val="16"/>
          <w:szCs w:val="16"/>
          <w:color w:val="auto"/>
        </w:rPr>
      </w:pPr>
    </w:p>
    <w:p>
      <w:pPr>
        <w:ind w:left="1420" w:right="260" w:hanging="433"/>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Executive’s material breach of any obligation under this Agreement or any other written agreement between the Executive and the Company; or</w:t>
      </w:r>
    </w:p>
    <w:p>
      <w:pPr>
        <w:spacing w:after="0" w:line="75" w:lineRule="exact"/>
        <w:rPr>
          <w:rFonts w:ascii="Arial" w:cs="Arial" w:eastAsia="Arial" w:hAnsi="Arial"/>
          <w:sz w:val="18"/>
          <w:szCs w:val="18"/>
          <w:color w:val="auto"/>
        </w:rPr>
      </w:pPr>
    </w:p>
    <w:p>
      <w:pPr>
        <w:ind w:left="1420" w:right="160" w:hanging="433"/>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Executive’s engagement in conduct that brings or is reasonably likely to bring the Company negative publicity or into public disgrace, embarrassment, or disrepute.</w:t>
      </w:r>
    </w:p>
    <w:p>
      <w:pPr>
        <w:spacing w:after="0" w:line="62"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If the Company anticipates terminating the Executive for Cause, and the conduct giving rise to such termination for Cause is capable of being cured by Executive, the Company shall provide written notice to the Executive of the existence of the circumstances providing grounds for termination for Cause within 10 days from the time the Company’s Chief Executive Officer’s becomes aware of the existence of such grounds and the Executive has at least 10 days from the date on which such notice is provided to cure such circumstances.</w:t>
      </w:r>
    </w:p>
    <w:p>
      <w:pPr>
        <w:spacing w:after="0" w:line="1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00"/>
          </w:cols>
          <w:pgMar w:left="1420" w:top="274" w:right="479" w:bottom="1440" w:gutter="0" w:footer="0" w:header="0"/>
        </w:sectPr>
      </w:pPr>
    </w:p>
    <w:bookmarkStart w:id="55" w:name="page56"/>
    <w:bookmarkEnd w:id="55"/>
    <w:p>
      <w:pPr>
        <w:ind w:left="980" w:right="100" w:hanging="533"/>
        <w:spacing w:after="0" w:line="282"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in each case during the Employment Term without the Executive’s prior written consent:</w:t>
      </w:r>
    </w:p>
    <w:p>
      <w:pPr>
        <w:spacing w:after="0" w:line="71" w:lineRule="exact"/>
        <w:rPr>
          <w:rFonts w:ascii="Arial" w:cs="Arial" w:eastAsia="Arial" w:hAnsi="Arial"/>
          <w:sz w:val="18"/>
          <w:szCs w:val="18"/>
          <w:color w:val="auto"/>
        </w:rPr>
      </w:pPr>
    </w:p>
    <w:p>
      <w:pPr>
        <w:ind w:left="1420" w:right="20" w:hanging="433"/>
        <w:spacing w:after="0" w:line="308" w:lineRule="auto"/>
        <w:tabs>
          <w:tab w:leader="none" w:pos="14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 material reduction in the Executive’s Base Salary and Target Bonus other than a general reduction in Base Salary and Target Bonus that affects all similarly situated executives in substantially the same proportions;</w:t>
      </w:r>
    </w:p>
    <w:p>
      <w:pPr>
        <w:spacing w:after="0" w:line="51" w:lineRule="exact"/>
        <w:rPr>
          <w:rFonts w:ascii="Arial" w:cs="Arial" w:eastAsia="Arial" w:hAnsi="Arial"/>
          <w:sz w:val="17"/>
          <w:szCs w:val="17"/>
          <w:color w:val="auto"/>
        </w:rPr>
      </w:pPr>
    </w:p>
    <w:p>
      <w:pPr>
        <w:ind w:left="1420" w:hanging="433"/>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material breach by the Company of any material provision of this Agreement;</w:t>
      </w:r>
    </w:p>
    <w:p>
      <w:pPr>
        <w:spacing w:after="0" w:line="130" w:lineRule="exact"/>
        <w:rPr>
          <w:rFonts w:ascii="Arial" w:cs="Arial" w:eastAsia="Arial" w:hAnsi="Arial"/>
          <w:sz w:val="18"/>
          <w:szCs w:val="18"/>
          <w:color w:val="auto"/>
        </w:rPr>
      </w:pPr>
    </w:p>
    <w:p>
      <w:pPr>
        <w:jc w:val="both"/>
        <w:ind w:left="1420" w:hanging="433"/>
        <w:spacing w:after="0" w:line="263"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 or</w:t>
      </w:r>
    </w:p>
    <w:p>
      <w:pPr>
        <w:spacing w:after="0" w:line="89" w:lineRule="exact"/>
        <w:rPr>
          <w:rFonts w:ascii="Arial" w:cs="Arial" w:eastAsia="Arial" w:hAnsi="Arial"/>
          <w:sz w:val="18"/>
          <w:szCs w:val="18"/>
          <w:color w:val="auto"/>
        </w:rPr>
      </w:pPr>
    </w:p>
    <w:p>
      <w:pPr>
        <w:ind w:left="1420" w:right="340" w:hanging="433"/>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material, adverse change in the Executive’s authority, duties, or responsibilities (other than temporarily while the Executive is physically or mentally incapacitated or as required by applicable law).</w:t>
      </w:r>
    </w:p>
    <w:p>
      <w:pPr>
        <w:spacing w:after="0" w:line="62" w:lineRule="exact"/>
        <w:rPr>
          <w:sz w:val="20"/>
          <w:szCs w:val="20"/>
          <w:color w:val="auto"/>
        </w:rPr>
      </w:pPr>
    </w:p>
    <w:p>
      <w:pPr>
        <w:jc w:val="both"/>
        <w:ind w:left="440" w:right="240"/>
        <w:spacing w:after="0" w:line="296" w:lineRule="auto"/>
        <w:rPr>
          <w:sz w:val="20"/>
          <w:szCs w:val="20"/>
          <w:color w:val="auto"/>
        </w:rPr>
      </w:pPr>
      <w:r>
        <w:rPr>
          <w:rFonts w:ascii="Arial" w:cs="Arial" w:eastAsia="Arial" w:hAnsi="Arial"/>
          <w:sz w:val="16"/>
          <w:szCs w:val="16"/>
          <w:color w:val="auto"/>
        </w:rPr>
        <w:t>To terminate his employment for Good Reason, the Executive must provide written notice to the Company of the existence of the circumstances providing grounds for termination for Good Reason within 30 days of the initial existence of such grounds and the Company must have at least 15 days from the date on which such notice is provided to cure such circumstances. If the Executive does not terminate his employment for Good Reason within 45 days after the first occurrence of the applicable grounds, then the Executive will be deemed to have waived his right to terminate for Good Reason with respect to such grounds.</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Non-Renewal by the Company, Without Cause or for Good Reason</w:t>
      </w:r>
      <w:r>
        <w:rPr>
          <w:rFonts w:ascii="Arial" w:cs="Arial" w:eastAsia="Arial" w:hAnsi="Arial"/>
          <w:sz w:val="16"/>
          <w:szCs w:val="16"/>
          <w:color w:val="auto"/>
        </w:rPr>
        <w:t>.</w:t>
      </w:r>
    </w:p>
    <w:p>
      <w:pPr>
        <w:spacing w:after="0" w:line="11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The Employment Term and the Executive’s employment hereunder may be terminated by the Executive for Good Reason or by the Company without Cause or on account of the Company’s failure to renew the Agreement in accordance with 1. In the event of such termination, the Executive shall be entitled to receive the Accrued Amounts and subject to the Executive’s compliance with 6 of this Agreement and his execution, within 45 days following receipt, of a release of claims in favor of the Company, its affiliates and their respective officers and directors in a form provided by the Company (the “</w:t>
      </w:r>
      <w:r>
        <w:rPr>
          <w:rFonts w:ascii="Arial" w:cs="Arial" w:eastAsia="Arial" w:hAnsi="Arial"/>
          <w:sz w:val="16"/>
          <w:szCs w:val="16"/>
          <w:b w:val="1"/>
          <w:bCs w:val="1"/>
          <w:color w:val="auto"/>
        </w:rPr>
        <w:t>Release</w:t>
      </w:r>
      <w:r>
        <w:rPr>
          <w:rFonts w:ascii="Arial" w:cs="Arial" w:eastAsia="Arial" w:hAnsi="Arial"/>
          <w:sz w:val="16"/>
          <w:szCs w:val="16"/>
          <w:color w:val="auto"/>
        </w:rPr>
        <w:t>”) (such 45-day period, the “</w:t>
      </w:r>
      <w:r>
        <w:rPr>
          <w:rFonts w:ascii="Arial" w:cs="Arial" w:eastAsia="Arial" w:hAnsi="Arial"/>
          <w:sz w:val="16"/>
          <w:szCs w:val="16"/>
          <w:b w:val="1"/>
          <w:bCs w:val="1"/>
          <w:color w:val="auto"/>
        </w:rPr>
        <w:t>Release Execution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and the Release becoming effective according to its terms, the Executive shall be entitled to receive the following:</w:t>
      </w:r>
    </w:p>
    <w:p>
      <w:pPr>
        <w:spacing w:after="0" w:line="70" w:lineRule="exact"/>
        <w:rPr>
          <w:sz w:val="20"/>
          <w:szCs w:val="20"/>
          <w:color w:val="auto"/>
        </w:rPr>
      </w:pPr>
    </w:p>
    <w:p>
      <w:pPr>
        <w:jc w:val="both"/>
        <w:ind w:left="980" w:right="120" w:hanging="533"/>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equal installment payments payable in accordance with the Company’s normal payroll practices, but no less frequently than monthly, which are in the aggregate equal the sum of one year of the Executive’s Base Salary and Target Bonus for the year in which Executive’s termination occurs.</w:t>
      </w:r>
    </w:p>
    <w:p>
      <w:pPr>
        <w:spacing w:after="0" w:line="89" w:lineRule="exact"/>
        <w:rPr>
          <w:rFonts w:ascii="Arial" w:cs="Arial" w:eastAsia="Arial" w:hAnsi="Arial"/>
          <w:sz w:val="18"/>
          <w:szCs w:val="18"/>
          <w:color w:val="auto"/>
        </w:rPr>
      </w:pPr>
    </w:p>
    <w:p>
      <w:pPr>
        <w:ind w:left="980" w:right="180" w:hanging="533"/>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treatment of any outstanding equity awards shall be determined in accordance with the terms of the Omnibus Plan and the applicable award agreements.</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Death or Disability</w:t>
      </w:r>
      <w:r>
        <w:rPr>
          <w:rFonts w:ascii="Arial" w:cs="Arial" w:eastAsia="Arial" w:hAnsi="Arial"/>
          <w:sz w:val="16"/>
          <w:szCs w:val="16"/>
          <w:color w:val="auto"/>
        </w:rPr>
        <w:t>.</w:t>
      </w:r>
    </w:p>
    <w:p>
      <w:pPr>
        <w:spacing w:after="0" w:line="131" w:lineRule="exact"/>
        <w:rPr>
          <w:sz w:val="20"/>
          <w:szCs w:val="20"/>
          <w:color w:val="auto"/>
        </w:rPr>
      </w:pPr>
    </w:p>
    <w:p>
      <w:pPr>
        <w:ind w:left="980" w:right="260" w:hanging="533"/>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Executive’s employment hereunder shall terminate automatically upon the Executive’s death during the Employment Term, and the Company may terminate the Executive’s employment on account of the Executive’s Disability or death.</w:t>
      </w:r>
    </w:p>
    <w:p>
      <w:pPr>
        <w:spacing w:after="0" w:line="29" w:lineRule="exact"/>
        <w:rPr>
          <w:rFonts w:ascii="Arial" w:cs="Arial" w:eastAsia="Arial" w:hAnsi="Arial"/>
          <w:sz w:val="16"/>
          <w:szCs w:val="16"/>
          <w:color w:val="auto"/>
        </w:rPr>
      </w:pPr>
    </w:p>
    <w:p>
      <w:pPr>
        <w:ind w:left="980" w:right="60" w:hanging="533"/>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29" w:lineRule="exact"/>
        <w:rPr>
          <w:rFonts w:ascii="Arial" w:cs="Arial" w:eastAsia="Arial" w:hAnsi="Arial"/>
          <w:sz w:val="16"/>
          <w:szCs w:val="16"/>
          <w:color w:val="auto"/>
        </w:rPr>
      </w:pPr>
    </w:p>
    <w:p>
      <w:pPr>
        <w:ind w:left="1420" w:hanging="433"/>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Accrued Amounts; and</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20" w:top="270" w:right="479" w:bottom="1440" w:gutter="0" w:footer="0" w:header="0"/>
        </w:sectPr>
      </w:pPr>
    </w:p>
    <w:bookmarkStart w:id="56" w:name="page57"/>
    <w:bookmarkEnd w:id="56"/>
    <w:p>
      <w:pPr>
        <w:ind w:left="1980" w:right="220" w:hanging="433"/>
        <w:spacing w:after="0" w:line="311" w:lineRule="auto"/>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w:t>
      </w:r>
    </w:p>
    <w:p>
      <w:pPr>
        <w:spacing w:after="0" w:line="41" w:lineRule="exact"/>
        <w:rPr>
          <w:sz w:val="20"/>
          <w:szCs w:val="20"/>
          <w:color w:val="auto"/>
        </w:rPr>
      </w:pPr>
    </w:p>
    <w:p>
      <w:pPr>
        <w:ind w:left="1000" w:right="380"/>
        <w:spacing w:after="0" w:line="277" w:lineRule="auto"/>
        <w:rPr>
          <w:sz w:val="20"/>
          <w:szCs w:val="20"/>
          <w:color w:val="auto"/>
        </w:rPr>
      </w:pPr>
      <w:r>
        <w:rPr>
          <w:rFonts w:ascii="Arial" w:cs="Arial" w:eastAsia="Arial" w:hAnsi="Arial"/>
          <w:sz w:val="18"/>
          <w:szCs w:val="18"/>
          <w:color w:val="auto"/>
        </w:rPr>
        <w:t>Notwithstanding any other provision contained herein, all payments made in connection with the Executive’s Disability shall be provided in a manner which is consistent with federal and state law.</w:t>
      </w:r>
    </w:p>
    <w:p>
      <w:pPr>
        <w:spacing w:after="0" w:line="72" w:lineRule="exact"/>
        <w:rPr>
          <w:sz w:val="20"/>
          <w:szCs w:val="20"/>
          <w:color w:val="auto"/>
        </w:rPr>
      </w:pPr>
    </w:p>
    <w:p>
      <w:pPr>
        <w:ind w:left="1540" w:right="40" w:hanging="533"/>
        <w:spacing w:after="0" w:line="294" w:lineRule="auto"/>
        <w:tabs>
          <w:tab w:leader="none" w:pos="1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Disability</w:t>
      </w:r>
      <w:r>
        <w:rPr>
          <w:rFonts w:ascii="Arial" w:cs="Arial" w:eastAsia="Arial" w:hAnsi="Arial"/>
          <w:sz w:val="16"/>
          <w:szCs w:val="16"/>
          <w:color w:val="auto"/>
        </w:rPr>
        <w:t>” shall mean the Executive is entitled to receive long-term disability benefits under the Company’s long-term disability plan. Any question as to the existence of the Executive’s Disability as to which the Executive and the Company cannot agree shall be determined in writing by a qualified independent physician mutually acceptable to the Executive and the Company. The determination of Disability shall be made in writing to the Company and the Executive and shall be final and conclusive for all purposes of this Agreement. In the event of Disability, treatment of Equity Awards granted pursuant to Section 4.3 above shall be governed according to the Omnibus Plan.</w:t>
      </w:r>
    </w:p>
    <w:p>
      <w:pPr>
        <w:spacing w:after="0" w:line="69"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Notice of Termination</w:t>
      </w:r>
      <w:r>
        <w:rPr>
          <w:rFonts w:ascii="Arial" w:cs="Arial" w:eastAsia="Arial" w:hAnsi="Arial"/>
          <w:sz w:val="16"/>
          <w:szCs w:val="16"/>
          <w:color w:val="auto"/>
        </w:rPr>
        <w:t>.</w:t>
      </w:r>
    </w:p>
    <w:p>
      <w:pPr>
        <w:spacing w:after="0" w:line="117"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Any termination of the Executive’s employment hereunder by the Company or by the Executive during the Employment Term (other than termination pursuant to 5.3(a) on account of the Executive’s death) shall be communicated by written notice of termination (“</w:t>
      </w:r>
      <w:r>
        <w:rPr>
          <w:rFonts w:ascii="Arial" w:cs="Arial" w:eastAsia="Arial" w:hAnsi="Arial"/>
          <w:sz w:val="18"/>
          <w:szCs w:val="18"/>
          <w:b w:val="1"/>
          <w:bCs w:val="1"/>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w:t>
      </w:r>
      <w:r>
        <w:rPr>
          <w:rFonts w:ascii="Arial" w:cs="Arial" w:eastAsia="Arial" w:hAnsi="Arial"/>
          <w:sz w:val="18"/>
          <w:szCs w:val="18"/>
          <w:color w:val="auto"/>
        </w:rPr>
        <w:t>”) to the other party. The Notice of Termination shall specify:</w:t>
      </w:r>
    </w:p>
    <w:p>
      <w:pPr>
        <w:spacing w:after="0" w:line="89" w:lineRule="exact"/>
        <w:rPr>
          <w:sz w:val="20"/>
          <w:szCs w:val="20"/>
          <w:color w:val="auto"/>
        </w:rPr>
      </w:pPr>
    </w:p>
    <w:p>
      <w:pPr>
        <w:ind w:left="1540" w:hanging="533"/>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termination provision of this Agreement relied upon; and</w:t>
      </w:r>
    </w:p>
    <w:p>
      <w:pPr>
        <w:spacing w:after="0" w:line="130" w:lineRule="exact"/>
        <w:rPr>
          <w:rFonts w:ascii="Arial" w:cs="Arial" w:eastAsia="Arial" w:hAnsi="Arial"/>
          <w:sz w:val="18"/>
          <w:szCs w:val="18"/>
          <w:color w:val="auto"/>
        </w:rPr>
      </w:pPr>
    </w:p>
    <w:p>
      <w:pPr>
        <w:ind w:left="1540" w:right="920" w:hanging="533"/>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applicable, the facts and circumstances claimed to provide a basis for termination of the Executive’s employment under the provision so indicated.</w:t>
      </w:r>
    </w:p>
    <w:p>
      <w:pPr>
        <w:spacing w:after="0" w:line="7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w:t>
      </w:r>
    </w:p>
    <w:p>
      <w:pPr>
        <w:spacing w:after="0" w:line="117"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Upon termination of the Executive’s employment hereunder for any reason, the Executive agrees to resign or shall be deemed to have resigned from all positions that the Executive holds as an officer or member of the Board (or a committee thereof) of the Company or any of its affiliates.</w:t>
      </w:r>
    </w:p>
    <w:p>
      <w:pPr>
        <w:spacing w:after="0" w:line="207"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p>
    <w:p>
      <w:pPr>
        <w:spacing w:after="0" w:line="13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Definition of Confidential 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spacing w:after="0" w:line="269" w:lineRule="auto"/>
        <w:rPr>
          <w:rFonts w:ascii="Arial" w:cs="Arial" w:eastAsia="Arial" w:hAnsi="Arial"/>
          <w:sz w:val="18"/>
          <w:szCs w:val="18"/>
          <w:color w:val="auto"/>
        </w:rPr>
      </w:pPr>
      <w:r>
        <w:rPr>
          <w:rFonts w:ascii="Arial" w:cs="Arial" w:eastAsia="Arial" w:hAnsi="Arial"/>
          <w:sz w:val="17"/>
          <w:szCs w:val="17"/>
          <w:color w:val="auto"/>
        </w:rPr>
        <w:t>“Confidential Information” refers to an item of information, or a compilation of information, in any form (tangible or intangible), related to the Company’s business that the Company has not made public or authorized public disclosure of, and that is not through proper means readily available to persons outside the Company who are under no obligation to keep it confidential. Confidential Information will not lose its protected status under this Agreement if it becomes known to other persons through improper means such as the unauthorized use or disclosure of the information by Executive or another person. Confidential Information includes, but is not limited to: (i) information related to the Company’s methods of operations, financial information, strategic planning, operations budgets and strategies, payroll data, management systems, programs, computer systems, marketing plans and strategies, and merger and acquisition strategies; (ii) the Company’s business plans and analysis, customer and prospect lists, research and development data, buying practices, methods, techniques, technical data, know-how, innovations, unpatented inventions, and trade secrets; and (iii) information about the business affairs of third parties (including, but not limited to, clients and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00"/>
          </w:cols>
          <w:pgMar w:left="860" w:top="274" w:right="439" w:bottom="1440" w:gutter="0" w:footer="0" w:header="0"/>
        </w:sectPr>
      </w:pPr>
    </w:p>
    <w:bookmarkStart w:id="57" w:name="page58"/>
    <w:bookmarkEnd w:id="5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targets) that such third parties provide to the Company in confidence. Confidential Information will include trade secrets, but an item of Confidential Information need not qualify as a trade secret to be protected by this Agreement. the Company’s confidential exchange of information with a third party for business purposes will not remove it from protection under this Agreement. The presence of non-confidential items of information within an otherwise confidential compilation of information will not remove the compilation itself from the protection of this Agreement. Executive acknowledges that items of Confidential Information are the Company’s valuable assets and have economic value, actual or potential, because they are not generally known by the public or others who could use them to their own economic benefit and/or to the competitive disadvantage of the Company, and thus, should be treated as the Company’s trade secrets.</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Unauthorized Use or Disclosure</w:t>
      </w:r>
      <w:r>
        <w:rPr>
          <w:rFonts w:ascii="Arial" w:cs="Arial" w:eastAsia="Arial" w:hAnsi="Arial"/>
          <w:sz w:val="16"/>
          <w:szCs w:val="16"/>
          <w:color w:val="auto"/>
        </w:rPr>
        <w:t>.</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Executive agrees to hold the Company’s Confidential Information in confidence and trust, and not to engage in any unauthorized use or disclosure of such information for so long thereafter as such information qualifies as Confidential Information. If disclosure is compelled by law, Executive will give the Company as much written notice as possible under the circumstances, will refrain from use or disclosure for as long as the law allows, and will cooperate with the Company to protect such information, including taking every reasonable step to protect against unnecessary disclosure. Executive agrees that if he becomes aware of an unauthorized use or disclosure of the Company’s Confidential Information, he will immediately notify TaskUss Legal Department. Nothing contained in this Agreement precludes Executive, or any individual, from communicating with any government agency, including the Securities &amp; Exchange Commission (SEC). This Agreement is intended to supplement and not supersede Executive’s Confidentiality and Inventions Assignment Agreement with the Company.</w:t>
      </w:r>
    </w:p>
    <w:p>
      <w:pPr>
        <w:spacing w:after="0" w:line="8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b w:val="1"/>
          <w:bCs w:val="1"/>
          <w:u w:val="single" w:color="auto"/>
          <w:color w:val="auto"/>
        </w:rPr>
        <w:t>Third Party Confidential Information</w:t>
      </w:r>
      <w:r>
        <w:rPr>
          <w:rFonts w:ascii="Arial" w:cs="Arial" w:eastAsia="Arial" w:hAnsi="Arial"/>
          <w:sz w:val="17"/>
          <w:szCs w:val="17"/>
          <w:color w:val="auto"/>
        </w:rPr>
        <w:t>.</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Executive recognizes that TaskUs has received and in the future will receive from third parties their confidential or proprietary information (“</w:t>
      </w:r>
      <w:r>
        <w:rPr>
          <w:rFonts w:ascii="Arial" w:cs="Arial" w:eastAsia="Arial" w:hAnsi="Arial"/>
          <w:sz w:val="17"/>
          <w:szCs w:val="17"/>
          <w:u w:val="single" w:color="auto"/>
          <w:color w:val="auto"/>
        </w:rPr>
        <w:t>Third Party Confidential Information</w:t>
      </w:r>
      <w:r>
        <w:rPr>
          <w:rFonts w:ascii="Arial" w:cs="Arial" w:eastAsia="Arial" w:hAnsi="Arial"/>
          <w:sz w:val="17"/>
          <w:szCs w:val="17"/>
          <w:color w:val="auto"/>
        </w:rPr>
        <w:t>”) subject to a duty on TaskUs’ behalf to maintain the confidentiality of such information and to use it only for certain limited purposes. Executive agrees to hold each such Third Party Confidential Information in the strictest confidence and not to disclose it to any person, firm, corporation, or entity in whatever form, or to use it except as necessary in carrying out work for TaskUs consistent with the Company’s agreement with any such third party.</w:t>
      </w:r>
    </w:p>
    <w:p>
      <w:pPr>
        <w:spacing w:after="0" w:line="7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u w:val="single" w:color="auto"/>
          <w:color w:val="auto"/>
        </w:rPr>
        <w:t>Assignment of Inventions</w:t>
      </w:r>
      <w:r>
        <w:rPr>
          <w:rFonts w:ascii="Arial" w:cs="Arial" w:eastAsia="Arial" w:hAnsi="Arial"/>
          <w:sz w:val="15"/>
          <w:szCs w:val="15"/>
          <w:u w:val="single" w:color="auto"/>
          <w:color w:val="auto"/>
        </w:rPr>
        <w:t>.</w:t>
      </w:r>
    </w:p>
    <w:p>
      <w:pPr>
        <w:spacing w:after="0" w:line="12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Executive hereby acknowledges that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Executive discovered, invented or originated during Executive ’s employment with the Company, or any predecessor entity, either alone or with others and whether or not during working hours or by the use of the facilities of the Company,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are the exclusive property of TaskUs and Executive hereby irrevocably assigns all right, title and interest in and to all Inventions to TaskUs Executive hereby agrees to execute at the request of TaskUs any assignments or other documents that the Company may deem necessary to protect or perfect the rights of the Company therein, and Executive will assist TaskUs at TaskUs’s expense, in obtaining, defending and enforcing TaskUs’ rights therein.</w:t>
      </w:r>
    </w:p>
    <w:p>
      <w:pPr>
        <w:spacing w:after="0" w:line="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20"/>
          </w:cols>
          <w:pgMar w:left="1420" w:top="274" w:right="459" w:bottom="1440" w:gutter="0" w:footer="0" w:header="0"/>
        </w:sectPr>
      </w:pPr>
    </w:p>
    <w:bookmarkStart w:id="58" w:name="page59"/>
    <w:bookmarkEnd w:id="58"/>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Post-Employment Restrictions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color w:val="auto"/>
        </w:rPr>
      </w:pPr>
    </w:p>
    <w:p>
      <w:pPr>
        <w:ind w:left="1540" w:right="360" w:hanging="533"/>
        <w:spacing w:after="0" w:line="263"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Look Back Period</w:t>
      </w:r>
      <w:r>
        <w:rPr>
          <w:rFonts w:ascii="Arial" w:cs="Arial" w:eastAsia="Arial" w:hAnsi="Arial"/>
          <w:sz w:val="18"/>
          <w:szCs w:val="18"/>
          <w:color w:val="auto"/>
        </w:rPr>
        <w:t>” shall mean the final two years of employment. References to the end of Executive’s employment or termination of employment in this Agreement refer to the end of employment, regardless of which party terminates the relationship or the reason(s) for such termination.</w:t>
      </w:r>
    </w:p>
    <w:p>
      <w:pPr>
        <w:spacing w:after="0" w:line="89" w:lineRule="exact"/>
        <w:rPr>
          <w:rFonts w:ascii="Arial" w:cs="Arial" w:eastAsia="Arial" w:hAnsi="Arial"/>
          <w:sz w:val="18"/>
          <w:szCs w:val="18"/>
          <w:color w:val="auto"/>
        </w:rPr>
      </w:pPr>
    </w:p>
    <w:p>
      <w:pPr>
        <w:ind w:left="1540" w:hanging="533"/>
        <w:spacing w:after="0" w:line="286"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Area</w:t>
      </w:r>
      <w:r>
        <w:rPr>
          <w:rFonts w:ascii="Arial" w:cs="Arial" w:eastAsia="Arial" w:hAnsi="Arial"/>
          <w:sz w:val="17"/>
          <w:szCs w:val="17"/>
          <w:color w:val="auto"/>
        </w:rPr>
        <w:t>” shall mean the territory or territories that Executive was assigned, had responsibilities or duties for, or called on Covered Customers (defined below) within the Look Back Period. If this definition is inapplicable, then “Restricted Area” refers to the United States and each additional country where the Company does business.</w:t>
      </w:r>
    </w:p>
    <w:p>
      <w:pPr>
        <w:spacing w:after="0" w:line="70" w:lineRule="exact"/>
        <w:rPr>
          <w:rFonts w:ascii="Arial" w:cs="Arial" w:eastAsia="Arial" w:hAnsi="Arial"/>
          <w:sz w:val="17"/>
          <w:szCs w:val="17"/>
          <w:color w:val="auto"/>
        </w:rPr>
      </w:pPr>
    </w:p>
    <w:p>
      <w:pPr>
        <w:ind w:left="1540" w:right="40" w:hanging="533"/>
        <w:spacing w:after="0" w:line="259"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w:t>
      </w:r>
      <w:r>
        <w:rPr>
          <w:rFonts w:ascii="Arial" w:cs="Arial" w:eastAsia="Arial" w:hAnsi="Arial"/>
          <w:sz w:val="18"/>
          <w:szCs w:val="18"/>
          <w:color w:val="auto"/>
        </w:rPr>
        <w:t>” and related terms such as “Soliciting” shall mean to knowingly engage in acts or communications, in person or through others, that are intended to cause, or can reasonably be expected to induce or encourage, a particular responsive action (such as buying a good or service or hiring), regardless of which party first initiates the communication or whether the communication is response to an inquiry or not</w:t>
      </w:r>
      <w:r>
        <w:rPr>
          <w:rFonts w:ascii="Arial" w:cs="Arial" w:eastAsia="Arial" w:hAnsi="Arial"/>
          <w:sz w:val="18"/>
          <w:szCs w:val="18"/>
          <w:b w:val="1"/>
          <w:bCs w:val="1"/>
          <w:color w:val="auto"/>
        </w:rPr>
        <w:t>.</w:t>
      </w:r>
    </w:p>
    <w:p>
      <w:pPr>
        <w:spacing w:after="0" w:line="92" w:lineRule="exact"/>
        <w:rPr>
          <w:rFonts w:ascii="Arial" w:cs="Arial" w:eastAsia="Arial" w:hAnsi="Arial"/>
          <w:sz w:val="18"/>
          <w:szCs w:val="18"/>
          <w:color w:val="auto"/>
        </w:rPr>
      </w:pPr>
    </w:p>
    <w:p>
      <w:pPr>
        <w:ind w:left="1540" w:right="80" w:hanging="533"/>
        <w:spacing w:after="0" w:line="301" w:lineRule="auto"/>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Client</w:t>
      </w:r>
      <w:r>
        <w:rPr>
          <w:rFonts w:ascii="Arial" w:cs="Arial" w:eastAsia="Arial" w:hAnsi="Arial"/>
          <w:sz w:val="16"/>
          <w:szCs w:val="16"/>
          <w:color w:val="auto"/>
        </w:rPr>
        <w:t>” shall mean an established client of the Company (person or entity) as to which Executive had business-related contact or dealings or received Confidential Information about during Executive’s employment with the Company. A client will be presumed to be established where actual sales and/or services have occurred or been performed, there is an active proposal for sales or services pending, or sales or services were being negotiated during the Look Back Period.</w:t>
      </w:r>
    </w:p>
    <w:p>
      <w:pPr>
        <w:spacing w:after="0" w:line="62" w:lineRule="exact"/>
        <w:rPr>
          <w:rFonts w:ascii="Arial" w:cs="Arial" w:eastAsia="Arial" w:hAnsi="Arial"/>
          <w:sz w:val="16"/>
          <w:szCs w:val="16"/>
          <w:color w:val="auto"/>
        </w:rPr>
      </w:pPr>
    </w:p>
    <w:p>
      <w:pPr>
        <w:ind w:left="1540" w:hanging="533"/>
        <w:spacing w:after="0" w:line="287" w:lineRule="auto"/>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Conflicting Product or Service</w:t>
      </w:r>
      <w:r>
        <w:rPr>
          <w:rFonts w:ascii="Arial" w:cs="Arial" w:eastAsia="Arial" w:hAnsi="Arial"/>
          <w:sz w:val="16"/>
          <w:szCs w:val="16"/>
          <w:color w:val="auto"/>
        </w:rPr>
        <w:t>” shall mean a product and/or service provided by a person or entity other than TaskUs that would replace or compete with a TaskUs product or service (existing or under development) that Executive had material involvement with or was provided Confidential Information about during Executive’s employment with the Company. By way of example, the products and services the Company provides to its clients that Executive is involved in may include but are not limited to content moderation services, digital customer experience services, artificial intelligence operations services, trust and safety services, including anti-money laundering and KYC services, other digital business process outsourcing services, and the provision of information technology or information services to the extent necessary to provide the foregoing. For the sake of clarity, a Conflicting Products or Service is a product or service actually offered or provided by TaskUs to its clients or one that it has plans to offer or provide during Executive’s employment with the Company. Conflicting Products or Services do not include a product or service of TaskUs if TaskUs is no longer in the business of providing such product or service to its customers at the relevant time of enforcement.</w:t>
      </w:r>
    </w:p>
    <w:p>
      <w:pPr>
        <w:spacing w:after="0" w:line="77" w:lineRule="exact"/>
        <w:rPr>
          <w:rFonts w:ascii="Arial" w:cs="Arial" w:eastAsia="Arial" w:hAnsi="Arial"/>
          <w:sz w:val="16"/>
          <w:szCs w:val="16"/>
          <w:color w:val="auto"/>
        </w:rPr>
      </w:pPr>
    </w:p>
    <w:p>
      <w:pPr>
        <w:ind w:left="1540" w:right="80" w:hanging="533"/>
        <w:spacing w:after="0" w:line="271"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Activities</w:t>
      </w:r>
      <w:r>
        <w:rPr>
          <w:rFonts w:ascii="Arial" w:cs="Arial" w:eastAsia="Arial" w:hAnsi="Arial"/>
          <w:sz w:val="17"/>
          <w:szCs w:val="17"/>
          <w:color w:val="auto"/>
        </w:rPr>
        <w:t>” shall mean any activities or services undertaken on behalf of a competitor (which is understood to mean any person or entity engaged in the business of providing a Conflicting Product or Service) that are: (i) the same or similar in function or purpose to those Executive performed for the Company during the Look Back Period, or (ii) otherwise likely to result in the use or disclosure of Confidential Information. Competing Activities are understood to exclude: activities on behalf of an independently operated subsidiary, division, or unit of a diversified corporation or similar business that has common ownership with a competitor so long as the independently operated business unit does not involve a Conflicting Product or Service; and, a passive and non-controlling ownership interest in a competitor through ownership of less than 2% of the stock in a publicly traded company.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60" w:top="270" w:right="459" w:bottom="1440" w:gutter="0" w:footer="0" w:header="0"/>
        </w:sectPr>
      </w:pPr>
    </w:p>
    <w:bookmarkStart w:id="59" w:name="page60"/>
    <w:bookmarkEnd w:id="59"/>
    <w:p>
      <w:pPr>
        <w:ind w:left="5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Arial" w:cs="Arial" w:eastAsia="Arial" w:hAnsi="Arial"/>
          <w:sz w:val="16"/>
          <w:szCs w:val="16"/>
          <w:u w:val="single" w:color="auto"/>
          <w:color w:val="auto"/>
        </w:rPr>
        <w:t>Restriction on Unfair Competition</w:t>
      </w:r>
      <w:r>
        <w:rPr>
          <w:rFonts w:ascii="Arial" w:cs="Arial" w:eastAsia="Arial" w:hAnsi="Arial"/>
          <w:sz w:val="16"/>
          <w:szCs w:val="16"/>
          <w:b w:val="1"/>
          <w:bCs w:val="1"/>
          <w:color w:val="auto"/>
        </w:rPr>
        <w:t>.</w:t>
      </w:r>
    </w:p>
    <w:p>
      <w:pPr>
        <w:spacing w:after="0" w:line="117" w:lineRule="exact"/>
        <w:rPr>
          <w:sz w:val="20"/>
          <w:szCs w:val="20"/>
          <w:color w:val="auto"/>
        </w:rPr>
      </w:pPr>
    </w:p>
    <w:p>
      <w:pPr>
        <w:ind w:left="560" w:right="40"/>
        <w:spacing w:after="0" w:line="261" w:lineRule="auto"/>
        <w:rPr>
          <w:sz w:val="20"/>
          <w:szCs w:val="20"/>
          <w:color w:val="auto"/>
        </w:rPr>
      </w:pPr>
      <w:r>
        <w:rPr>
          <w:rFonts w:ascii="Arial" w:cs="Arial" w:eastAsia="Arial" w:hAnsi="Arial"/>
          <w:sz w:val="18"/>
          <w:szCs w:val="18"/>
          <w:color w:val="auto"/>
        </w:rPr>
        <w:t>Executive agrees that during Executive</w:t>
      </w:r>
      <w:r>
        <w:rPr>
          <w:rFonts w:ascii="Arial" w:cs="Arial" w:eastAsia="Arial" w:hAnsi="Arial"/>
          <w:sz w:val="18"/>
          <w:szCs w:val="18"/>
          <w:b w:val="1"/>
          <w:bCs w:val="1"/>
          <w:color w:val="auto"/>
        </w:rPr>
        <w:t>’s</w:t>
      </w:r>
      <w:r>
        <w:rPr>
          <w:rFonts w:ascii="Arial" w:cs="Arial" w:eastAsia="Arial" w:hAnsi="Arial"/>
          <w:sz w:val="18"/>
          <w:szCs w:val="18"/>
          <w:color w:val="auto"/>
        </w:rPr>
        <w:t xml:space="preserve"> employment with the Company and for a period of one year thereafter, Executive will not participate in, supervise, or manage (as an employee, consultant, contractor, officer, owner, director, or otherwise) Competing Activities in the Restricted Area. The Parties agree this restriction is necessary to protect trade secrets, Confidential Information, goodwill, and other legitimate business interests of the Company.</w:t>
      </w:r>
    </w:p>
    <w:p>
      <w:pPr>
        <w:spacing w:after="0" w:line="89"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Restriction on Interfering with Employee Relationships</w:t>
      </w:r>
      <w:r>
        <w:rPr>
          <w:rFonts w:ascii="Arial" w:cs="Arial" w:eastAsia="Arial" w:hAnsi="Arial"/>
          <w:sz w:val="16"/>
          <w:szCs w:val="16"/>
          <w:color w:val="auto"/>
        </w:rPr>
        <w:t>.</w:t>
      </w:r>
    </w:p>
    <w:p>
      <w:pPr>
        <w:spacing w:after="0" w:line="117"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color w:val="auto"/>
        </w:rPr>
        <w:t>Executive agrees that during Executive’s employment with the Company and for a period of two (2) years thereafter, Executive will not Solicit any employee of the Company that Executive has knowledge of through employment with the Company to terminate his or her employment with the Company. The restriction in this Section is necessary to protect Confidential Information, workforce stability, and other legitimate business interests, and to prevent unfair competition. Nothing herein is intended to be construed as a prohibition against general advertising such as “help wanted” ads that are not targeted at TaskUs’ employees. The Parties agree this restriction is inherently reasonable in geography because it is limited to the places or locations where the employees that Executive has knowledge of are located; however, if an additional geographic limitation is needed in order for the foregoing restriction to be enforceable, then it shall be considered limited to the Restricted Area. In the event TaskUs loses an employee due, in whole or in part, to conduct by Executive that violates this Agreement prior to the issuance of injunctive relief, Executive shall pay the Company a sum equal to thirty percent (30%) of the annual wages of the person(s) who were improperly solicited and left TaskUs, based on such person’s last rate of pay with TaskUs. This payment shall not preclude or act as a substitute for any remedy that would otherwise be available, including but not limited to, injunctive relief to prevent further violations.</w:t>
      </w:r>
    </w:p>
    <w:p>
      <w:pPr>
        <w:spacing w:after="0" w:line="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Restriction on Interfering with Customer Relationships</w:t>
      </w:r>
      <w:r>
        <w:rPr>
          <w:rFonts w:ascii="Arial" w:cs="Arial" w:eastAsia="Arial" w:hAnsi="Arial"/>
          <w:sz w:val="16"/>
          <w:szCs w:val="16"/>
          <w:color w:val="auto"/>
        </w:rPr>
        <w:t>.</w:t>
      </w:r>
    </w:p>
    <w:p>
      <w:pPr>
        <w:spacing w:after="0" w:line="117" w:lineRule="exact"/>
        <w:rPr>
          <w:sz w:val="20"/>
          <w:szCs w:val="20"/>
          <w:color w:val="auto"/>
        </w:rPr>
      </w:pPr>
    </w:p>
    <w:p>
      <w:pPr>
        <w:ind w:left="560"/>
        <w:spacing w:after="0" w:line="293" w:lineRule="auto"/>
        <w:rPr>
          <w:sz w:val="20"/>
          <w:szCs w:val="20"/>
          <w:color w:val="auto"/>
        </w:rPr>
      </w:pPr>
      <w:r>
        <w:rPr>
          <w:rFonts w:ascii="Arial" w:cs="Arial" w:eastAsia="Arial" w:hAnsi="Arial"/>
          <w:sz w:val="16"/>
          <w:szCs w:val="16"/>
          <w:color w:val="auto"/>
        </w:rPr>
        <w:t>Executive agrees that during Executive’s employment with the Company and for a period of two (2) years thereafter, Executive will not directly or indirectly, Solicit a Covered Client to (i) cease or reduce doing business with TaskUs or (ii) purchase a Conflicting Product or Service. Executive understands and agrees that this restriction is necessary to protect trade secrets, Confidential Information, goodwill, and other legitimate business interests of the Company. The parties agree this restriction is inherently reasonable in geography because it is limited to the places or locations where the Covered Customer is doing business at the time; however, if an additional geographic limitation is needed in order for the foregoing restriction to be enforceable, then it shall be considered limited to the Restricted Area.</w:t>
      </w:r>
    </w:p>
    <w:p>
      <w:pPr>
        <w:spacing w:after="0" w:line="7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u w:val="single" w:color="auto"/>
          <w:color w:val="auto"/>
        </w:rPr>
        <w:t>Reasonableness of Covenants</w:t>
      </w:r>
      <w:r>
        <w:rPr>
          <w:rFonts w:ascii="Arial" w:cs="Arial" w:eastAsia="Arial" w:hAnsi="Arial"/>
          <w:sz w:val="15"/>
          <w:szCs w:val="15"/>
          <w:color w:val="auto"/>
        </w:rPr>
        <w:t>.</w:t>
      </w:r>
    </w:p>
    <w:p>
      <w:pPr>
        <w:spacing w:after="0" w:line="117"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Executive acknowledges and agrees that the covenants in this Agreement are reasonable and valid in geographical and temporal scope and in all other respects.</w:t>
      </w:r>
    </w:p>
    <w:p>
      <w:pPr>
        <w:spacing w:after="0" w:line="7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Tolling</w:t>
      </w:r>
      <w:r>
        <w:rPr>
          <w:rFonts w:ascii="Arial" w:cs="Arial" w:eastAsia="Arial" w:hAnsi="Arial"/>
          <w:sz w:val="17"/>
          <w:szCs w:val="17"/>
          <w:color w:val="auto"/>
        </w:rPr>
        <w:t>.</w:t>
      </w:r>
    </w:p>
    <w:p>
      <w:pPr>
        <w:spacing w:after="0" w:line="117"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color w:val="auto"/>
        </w:rPr>
        <w:t>If Executive violates one of the restrictions in this Agreement that contains a time limitation, the time period for the restriction at issue shall be extended by one day for each day Executive remains in violation of the restriction; provided, however, that this extension of time shall be capped so that once Executive has complied with the restriction for the originally proscribed length of time it shall expire.</w:t>
      </w:r>
    </w:p>
    <w:p>
      <w:pPr>
        <w:spacing w:after="0" w:line="17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p>
    <w:p>
      <w:pPr>
        <w:spacing w:after="0" w:line="117" w:lineRule="exact"/>
        <w:rPr>
          <w:sz w:val="20"/>
          <w:szCs w:val="20"/>
          <w:color w:val="auto"/>
        </w:rPr>
      </w:pPr>
    </w:p>
    <w:p>
      <w:pPr>
        <w:ind w:left="20" w:right="80"/>
        <w:spacing w:after="0" w:line="266" w:lineRule="auto"/>
        <w:rPr>
          <w:sz w:val="20"/>
          <w:szCs w:val="20"/>
          <w:color w:val="auto"/>
        </w:rPr>
      </w:pPr>
      <w:r>
        <w:rPr>
          <w:rFonts w:ascii="Arial" w:cs="Arial" w:eastAsia="Arial" w:hAnsi="Arial"/>
          <w:sz w:val="18"/>
          <w:szCs w:val="18"/>
          <w:b w:val="1"/>
          <w:bCs w:val="1"/>
          <w:color w:val="auto"/>
        </w:rPr>
        <w:t xml:space="preserve">Before </w:t>
      </w:r>
      <w:r>
        <w:rPr>
          <w:rFonts w:ascii="Arial" w:cs="Arial" w:eastAsia="Arial" w:hAnsi="Arial"/>
          <w:sz w:val="18"/>
          <w:szCs w:val="18"/>
          <w:color w:val="auto"/>
        </w:rPr>
        <w:t>accepting new employment, Executive will advise any such future employer of the restrictions in this Agreement. Executive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advise any such future employer or prospective employer of this Agreement and its position on the potential application of this Agreement without such giving rise to any legal claim.</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60" w:top="270" w:right="459" w:bottom="1440" w:gutter="0" w:footer="0" w:header="0"/>
        </w:sectPr>
      </w:pPr>
    </w:p>
    <w:bookmarkStart w:id="60" w:name="page61"/>
    <w:bookmarkEnd w:id="60"/>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Remedies for Breach</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If Executive breaches or threatens to breach any of the provisions of this Agreement, the Company shall have the following rights and remedies, in addition to any others, each of which shall be independent of the other and severally enforceable:</w:t>
      </w:r>
    </w:p>
    <w:p>
      <w:pPr>
        <w:spacing w:after="0" w:line="76" w:lineRule="exact"/>
        <w:rPr>
          <w:sz w:val="20"/>
          <w:szCs w:val="20"/>
          <w:color w:val="auto"/>
        </w:rPr>
      </w:pPr>
    </w:p>
    <w:p>
      <w:pPr>
        <w:ind w:left="1000" w:hanging="431"/>
        <w:spacing w:after="0" w:line="275" w:lineRule="auto"/>
        <w:tabs>
          <w:tab w:leader="none" w:pos="9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The right to an injunction restraining such breach or threatened breach and to have the provisions of this Agreement specifically enforced by a court of competent jurisdiction, it being acknowledged and agreed that any such breach or threatened breach will cause irreparable injury to the Company and that money damages will not provide an adequate remedy, and that no bond or other security shall be required in obtaining such equitable relief, provided however, that if the posting of a bond is required by law for injunctive relief to issue then a bond of $1,000 shall be deemed a reasonable bond; and</w:t>
      </w:r>
    </w:p>
    <w:p>
      <w:pPr>
        <w:spacing w:after="0" w:line="82" w:lineRule="exact"/>
        <w:rPr>
          <w:sz w:val="20"/>
          <w:szCs w:val="20"/>
          <w:color w:val="auto"/>
        </w:rPr>
      </w:pPr>
    </w:p>
    <w:p>
      <w:pPr>
        <w:ind w:left="1000" w:right="100" w:hanging="431"/>
        <w:spacing w:after="0" w:line="277" w:lineRule="auto"/>
        <w:tabs>
          <w:tab w:leader="none" w:pos="980" w:val="left"/>
        </w:tabs>
        <w:rPr>
          <w:sz w:val="20"/>
          <w:szCs w:val="20"/>
          <w:color w:val="auto"/>
        </w:rPr>
      </w:pPr>
      <w:r>
        <w:rPr>
          <w:rFonts w:ascii="Arial" w:cs="Arial" w:eastAsia="Arial" w:hAnsi="Arial"/>
          <w:sz w:val="18"/>
          <w:szCs w:val="18"/>
          <w:color w:val="auto"/>
        </w:rPr>
        <w:t>9.2</w:t>
        <w:tab/>
        <w:t>The right and remedy to require Executive to account for and repay to the Company the severance described in Section 4.3 above, if any.</w:t>
      </w:r>
    </w:p>
    <w:p>
      <w:pPr>
        <w:spacing w:after="0" w:line="76" w:lineRule="exact"/>
        <w:rPr>
          <w:sz w:val="20"/>
          <w:szCs w:val="20"/>
          <w:color w:val="auto"/>
        </w:rPr>
      </w:pPr>
    </w:p>
    <w:p>
      <w:pPr>
        <w:ind w:left="1000" w:right="480" w:hanging="431"/>
        <w:spacing w:after="0" w:line="263" w:lineRule="auto"/>
        <w:tabs>
          <w:tab w:leader="none" w:pos="980" w:val="left"/>
        </w:tabs>
        <w:rPr>
          <w:sz w:val="20"/>
          <w:szCs w:val="20"/>
          <w:color w:val="auto"/>
        </w:rPr>
      </w:pPr>
      <w:r>
        <w:rPr>
          <w:rFonts w:ascii="Arial" w:cs="Arial" w:eastAsia="Arial" w:hAnsi="Arial"/>
          <w:sz w:val="18"/>
          <w:szCs w:val="18"/>
          <w:color w:val="auto"/>
        </w:rPr>
        <w:t>9.3</w:t>
        <w:tab/>
        <w:t>In accordance with the terms of the Omnibus Plan, the right to cancel any of the Executive’s outstanding awards or provide for forfeiture and repayment to the Company on any gain realized on the vesting or exercise of any awards previously granted to Executive.</w:t>
      </w:r>
    </w:p>
    <w:p>
      <w:pPr>
        <w:spacing w:after="0" w:line="85" w:lineRule="exact"/>
        <w:rPr>
          <w:sz w:val="20"/>
          <w:szCs w:val="20"/>
          <w:color w:val="auto"/>
        </w:rPr>
      </w:pPr>
    </w:p>
    <w:p>
      <w:pPr>
        <w:ind w:left="1000" w:hanging="431"/>
        <w:spacing w:after="0" w:line="269" w:lineRule="auto"/>
        <w:tabs>
          <w:tab w:leader="none" w:pos="9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b w:val="1"/>
          <w:bCs w:val="1"/>
          <w:u w:val="single" w:color="auto"/>
          <w:color w:val="auto"/>
        </w:rPr>
        <w:t xml:space="preserve">Survival. </w:t>
      </w:r>
      <w:r>
        <w:rPr>
          <w:rFonts w:ascii="Arial" w:cs="Arial" w:eastAsia="Arial" w:hAnsi="Arial"/>
          <w:sz w:val="17"/>
          <w:szCs w:val="17"/>
          <w:color w:val="auto"/>
        </w:rPr>
        <w:t>The post-employment restrictions provided for in this Agreement shall survive the termination of Executive’s employment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with the Company regardless of the cause of the termination. All of the restrictive covenants in this Agreement shall be construed as independent agreements; and, the existence of any claim or cause of action against the Company, whether predicated on this Agreement or otherwise, shall not constitute a defense to the enforcement by the Company of any of Executive’s obligations under this Agreement. If a court determines that a restriction provided for herein cannot be enforced as written due to over breadth (such as time, scope of activity, or geography) within the relevant jurisdiction, the court will (for purposes of that jurisdiction) enforce the restrictions to such lesser extent as is allowed by law and/or reform the restriction where such is necessary to make it enforceable to protect the Company’s legitimate business interests. If, despite the foregoing, any provision contained in this Agreement is determined to be void, illegal or unenforceable, in whole or in part, then the other provisions contained herein shall remain in full force and effect as if the provision that was determined to be void, illegal, or unenforceable had not been contained herein. Any waiver by the Company of a breach of any provision of this Agreement shall not operate or be construed as waiver of any subsequent breach hereof.</w:t>
      </w:r>
    </w:p>
    <w:p>
      <w:pPr>
        <w:spacing w:after="0" w:line="210"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17" w:lineRule="exact"/>
        <w:rPr>
          <w:sz w:val="20"/>
          <w:szCs w:val="20"/>
          <w:color w:val="auto"/>
        </w:rPr>
      </w:pPr>
    </w:p>
    <w:p>
      <w:pPr>
        <w:ind w:left="20" w:right="320"/>
        <w:spacing w:after="0" w:line="257" w:lineRule="auto"/>
        <w:rPr>
          <w:sz w:val="20"/>
          <w:szCs w:val="20"/>
          <w:color w:val="auto"/>
        </w:rPr>
      </w:pPr>
      <w:r>
        <w:rPr>
          <w:rFonts w:ascii="Arial" w:cs="Arial" w:eastAsia="Arial" w:hAnsi="Arial"/>
          <w:sz w:val="18"/>
          <w:szCs w:val="18"/>
          <w:color w:val="auto"/>
        </w:rPr>
        <w:t>Any dispute, controversy, or claim arising out of or related to the Executive’s employment by the Company, or termination of employment, including but not limited to claims arising under or related to this Agreement or any breach of this Agreement, and any alleged violation of federal, state, or local statute, regulation, common law, or public policy, shall be submitted to and decided by binding arbitration in accordance with the Alternative Dispute Resolution &amp; Mutual Arbitration Agreement between the Parties (the “Arbitration Agreement”). The Arbitration Agreement is incorporated herein by reference.</w:t>
      </w:r>
    </w:p>
    <w:p>
      <w:pPr>
        <w:spacing w:after="0" w:line="215" w:lineRule="exact"/>
        <w:rPr>
          <w:sz w:val="20"/>
          <w:szCs w:val="20"/>
          <w:color w:val="auto"/>
        </w:rPr>
      </w:pPr>
    </w:p>
    <w:p>
      <w:pPr>
        <w:ind w:left="540" w:hanging="532"/>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Agreement, for all purposes, shall be construed in accordance with the laws of Texas without regard to conflicts of law principles.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00"/>
          </w:cols>
          <w:pgMar w:left="860" w:top="270" w:right="439" w:bottom="1440" w:gutter="0" w:footer="0" w:header="0"/>
        </w:sectPr>
      </w:pPr>
    </w:p>
    <w:bookmarkStart w:id="61" w:name="page62"/>
    <w:bookmarkEnd w:id="61"/>
    <w:p>
      <w:pPr>
        <w:ind w:left="540" w:right="80" w:hanging="532"/>
        <w:spacing w:after="0" w:line="279"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Arial" w:cs="Arial" w:eastAsia="Arial" w:hAnsi="Arial"/>
          <w:sz w:val="17"/>
          <w:szCs w:val="17"/>
          <w:color w:val="auto"/>
        </w:rPr>
        <w:t>. Unless specifically provided herein, this Agreement, together with the Arbitration Agreement and any confidentiality agreement between the Executive and the Company,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198" w:lineRule="exact"/>
        <w:rPr>
          <w:rFonts w:ascii="Arial" w:cs="Arial" w:eastAsia="Arial" w:hAnsi="Arial"/>
          <w:sz w:val="17"/>
          <w:szCs w:val="17"/>
          <w:color w:val="auto"/>
        </w:rPr>
      </w:pPr>
    </w:p>
    <w:p>
      <w:pPr>
        <w:ind w:left="540" w:hanging="532"/>
        <w:spacing w:after="0" w:line="279"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provision of this Agreement may be amended or modified unless such amendment or modification is agreed to in writing and signed by the Executive and by the Chief Executive Officer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98" w:lineRule="exact"/>
        <w:rPr>
          <w:rFonts w:ascii="Arial" w:cs="Arial" w:eastAsia="Arial" w:hAnsi="Arial"/>
          <w:sz w:val="17"/>
          <w:szCs w:val="17"/>
          <w:color w:val="auto"/>
        </w:rPr>
      </w:pPr>
    </w:p>
    <w:p>
      <w:pPr>
        <w:ind w:left="540" w:right="60" w:hanging="532"/>
        <w:spacing w:after="0" w:line="31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75" w:lineRule="exact"/>
        <w:rPr>
          <w:rFonts w:ascii="Arial" w:cs="Arial" w:eastAsia="Arial" w:hAnsi="Arial"/>
          <w:sz w:val="16"/>
          <w:szCs w:val="16"/>
          <w:color w:val="auto"/>
        </w:rPr>
      </w:pPr>
    </w:p>
    <w:p>
      <w:pPr>
        <w:ind w:left="540" w:right="20" w:hanging="532"/>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97" w:lineRule="exact"/>
        <w:rPr>
          <w:rFonts w:ascii="Arial" w:cs="Arial" w:eastAsia="Arial" w:hAnsi="Arial"/>
          <w:sz w:val="18"/>
          <w:szCs w:val="18"/>
          <w:color w:val="auto"/>
        </w:rPr>
      </w:pPr>
    </w:p>
    <w:p>
      <w:pPr>
        <w:ind w:left="540" w:right="20" w:hanging="532"/>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taken together shall constitute one and the same instrument.</w:t>
      </w:r>
    </w:p>
    <w:p>
      <w:pPr>
        <w:spacing w:after="0" w:line="197" w:lineRule="exact"/>
        <w:rPr>
          <w:rFonts w:ascii="Arial" w:cs="Arial" w:eastAsia="Arial" w:hAnsi="Arial"/>
          <w:sz w:val="18"/>
          <w:szCs w:val="18"/>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General Compliance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0"/>
        <w:spacing w:after="0" w:line="288" w:lineRule="auto"/>
        <w:rPr>
          <w:rFonts w:ascii="Arial" w:cs="Arial" w:eastAsia="Arial" w:hAnsi="Arial"/>
          <w:sz w:val="18"/>
          <w:szCs w:val="18"/>
          <w:color w:val="auto"/>
        </w:rPr>
      </w:pPr>
      <w:r>
        <w:rPr>
          <w:rFonts w:ascii="Arial" w:cs="Arial" w:eastAsia="Arial" w:hAnsi="Arial"/>
          <w:sz w:val="16"/>
          <w:szCs w:val="16"/>
          <w:color w:val="auto"/>
        </w:rPr>
        <w:t>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60" w:lineRule="exact"/>
        <w:rPr>
          <w:rFonts w:ascii="Arial" w:cs="Arial" w:eastAsia="Arial" w:hAnsi="Arial"/>
          <w:sz w:val="18"/>
          <w:szCs w:val="18"/>
          <w:color w:val="auto"/>
        </w:rPr>
      </w:pPr>
    </w:p>
    <w:p>
      <w:pPr>
        <w:ind w:left="560" w:right="20"/>
        <w:spacing w:after="0" w:line="270" w:lineRule="auto"/>
        <w:rPr>
          <w:rFonts w:ascii="Arial" w:cs="Arial" w:eastAsia="Arial" w:hAnsi="Arial"/>
          <w:sz w:val="18"/>
          <w:szCs w:val="18"/>
          <w:color w:val="auto"/>
        </w:rPr>
      </w:pPr>
      <w:r>
        <w:rPr>
          <w:rFonts w:ascii="Arial" w:cs="Arial" w:eastAsia="Arial" w:hAnsi="Arial"/>
          <w:sz w:val="17"/>
          <w:szCs w:val="17"/>
          <w:u w:val="single" w:color="auto"/>
          <w:color w:val="auto"/>
        </w:rPr>
        <w:t>Specified Employees</w:t>
      </w:r>
      <w:r>
        <w:rPr>
          <w:rFonts w:ascii="Arial" w:cs="Arial" w:eastAsia="Arial" w:hAnsi="Arial"/>
          <w:sz w:val="17"/>
          <w:szCs w:val="17"/>
          <w:color w:val="auto"/>
        </w:rPr>
        <w:t>. Notwithstanding any other provision of this Agreement, if any payment or benefit provided to the Executive in connection with his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w:t>
      </w:r>
      <w:r>
        <w:rPr>
          <w:rFonts w:ascii="Arial" w:cs="Arial" w:eastAsia="Arial" w:hAnsi="Arial"/>
          <w:sz w:val="17"/>
          <w:szCs w:val="17"/>
          <w:b w:val="1"/>
          <w:bCs w:val="1"/>
          <w:color w:val="auto"/>
        </w:rPr>
        <w:t>Specified Employee Payment Date</w:t>
      </w:r>
      <w:r>
        <w:rPr>
          <w:rFonts w:ascii="Arial" w:cs="Arial" w:eastAsia="Arial" w:hAnsi="Arial"/>
          <w:sz w:val="17"/>
          <w:szCs w:val="17"/>
          <w:color w:val="auto"/>
        </w:rPr>
        <w:t>”). The aggregate of any payments that would otherwise have been paid before the Specified Employee Payment Date [and interest on such amounts calculated based on the applicable federal rate published by the Internal Revenue Service for the month in which the Executive’s separation from service occurs] shall be paid to the Executive in a lump sum on the Specified Employee Payment Date and thereafter, any remaining payments shall be paid without delay in accordance with their original schedule.</w:t>
      </w:r>
    </w:p>
    <w:p>
      <w:pPr>
        <w:spacing w:after="0" w:line="11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60" w:top="274" w:right="499" w:bottom="1440" w:gutter="0" w:footer="0" w:header="0"/>
        </w:sectPr>
      </w:pPr>
    </w:p>
    <w:bookmarkStart w:id="62" w:name="page63"/>
    <w:bookmarkEnd w:id="62"/>
    <w:p>
      <w:pPr>
        <w:ind w:left="1000" w:right="32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17.2 Reimbursements. To the extent required by Section 409A, each reimbursement or in-kind benefit provided under this Agreement shall be provided in accordance with the following:</w:t>
      </w:r>
    </w:p>
    <w:p>
      <w:pPr>
        <w:spacing w:after="0" w:line="76" w:lineRule="exact"/>
        <w:rPr>
          <w:sz w:val="20"/>
          <w:szCs w:val="20"/>
          <w:color w:val="auto"/>
        </w:rPr>
      </w:pPr>
    </w:p>
    <w:p>
      <w:pPr>
        <w:ind w:left="1540" w:right="80" w:hanging="533"/>
        <w:spacing w:after="0" w:line="308" w:lineRule="auto"/>
        <w:tabs>
          <w:tab w:leader="none" w:pos="15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51" w:lineRule="exact"/>
        <w:rPr>
          <w:rFonts w:ascii="Arial" w:cs="Arial" w:eastAsia="Arial" w:hAnsi="Arial"/>
          <w:sz w:val="17"/>
          <w:szCs w:val="17"/>
          <w:color w:val="auto"/>
        </w:rPr>
      </w:pPr>
    </w:p>
    <w:p>
      <w:pPr>
        <w:ind w:left="1540" w:right="600" w:hanging="533"/>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reimbursement of an eligible expense shall be paid to the Executive on or before the last day of the calendar year following the calendar year in which the expense was incurred; and</w:t>
      </w:r>
    </w:p>
    <w:p>
      <w:pPr>
        <w:spacing w:after="0" w:line="75" w:lineRule="exact"/>
        <w:rPr>
          <w:rFonts w:ascii="Arial" w:cs="Arial" w:eastAsia="Arial" w:hAnsi="Arial"/>
          <w:sz w:val="18"/>
          <w:szCs w:val="18"/>
          <w:color w:val="auto"/>
        </w:rPr>
      </w:pPr>
    </w:p>
    <w:p>
      <w:pPr>
        <w:ind w:left="1540" w:right="420" w:hanging="533"/>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right to reimbursements or in-kind benefits under this Agreement shall not be subject to liquidation or exchange for another benefit.</w:t>
      </w:r>
    </w:p>
    <w:p>
      <w:pPr>
        <w:spacing w:after="0" w:line="197" w:lineRule="exact"/>
        <w:rPr>
          <w:rFonts w:ascii="Arial" w:cs="Arial" w:eastAsia="Arial" w:hAnsi="Arial"/>
          <w:sz w:val="18"/>
          <w:szCs w:val="18"/>
          <w:color w:val="auto"/>
        </w:rPr>
      </w:pPr>
    </w:p>
    <w:p>
      <w:pPr>
        <w:ind w:left="540" w:right="180" w:hanging="532"/>
        <w:spacing w:after="0" w:line="25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214" w:lineRule="exact"/>
        <w:rPr>
          <w:rFonts w:ascii="Arial" w:cs="Arial" w:eastAsia="Arial" w:hAnsi="Arial"/>
          <w:sz w:val="18"/>
          <w:szCs w:val="18"/>
          <w:color w:val="auto"/>
        </w:rPr>
      </w:pPr>
    </w:p>
    <w:p>
      <w:pPr>
        <w:jc w:val="both"/>
        <w:ind w:left="540" w:right="360" w:hanging="532"/>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142875</wp:posOffset>
            </wp:positionV>
            <wp:extent cx="7003415" cy="11315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003415" cy="1131570"/>
                    </a:xfrm>
                    <a:prstGeom prst="rect">
                      <a:avLst/>
                    </a:prstGeom>
                    <a:noFill/>
                  </pic:spPr>
                </pic:pic>
              </a:graphicData>
            </a:graphic>
          </wp:anchor>
        </w:drawing>
      </w:r>
    </w:p>
    <w:p>
      <w:pPr>
        <w:sectPr>
          <w:pgSz w:w="11900" w:h="16838" w:orient="portrait"/>
          <w:cols w:equalWidth="0" w:num="1">
            <w:col w:w="10580"/>
          </w:cols>
          <w:pgMar w:left="860" w:top="274" w:right="459" w:bottom="1440" w:gutter="0" w:footer="0" w:header="0"/>
        </w:sectPr>
      </w:pPr>
    </w:p>
    <w:p>
      <w:pPr>
        <w:spacing w:after="0" w:line="3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TaskUs Holdings, Inc.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 Chief Executive Officer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1650 New Independence Drive</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New Braunfels, Texas 78132</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bryce@taskus.com</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If to the Executive: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jarrod@taskus.com</w:t>
      </w:r>
    </w:p>
    <w:p>
      <w:pPr>
        <w:spacing w:after="0" w:line="1020" w:lineRule="exact"/>
        <w:rPr>
          <w:sz w:val="20"/>
          <w:szCs w:val="20"/>
          <w:color w:val="auto"/>
        </w:rPr>
      </w:pPr>
    </w:p>
    <w:p>
      <w:pPr>
        <w:sectPr>
          <w:pgSz w:w="11900" w:h="16838" w:orient="portrait"/>
          <w:cols w:equalWidth="0" w:num="2">
            <w:col w:w="4960" w:space="720"/>
            <w:col w:w="4900"/>
          </w:cols>
          <w:pgMar w:left="860" w:top="274" w:right="459" w:bottom="1440" w:gutter="0" w:footer="0" w:header="0"/>
          <w:type w:val="continuous"/>
        </w:sectPr>
      </w:pPr>
    </w:p>
    <w:p>
      <w:pPr>
        <w:spacing w:after="0" w:line="173" w:lineRule="exact"/>
        <w:rPr>
          <w:sz w:val="20"/>
          <w:szCs w:val="20"/>
          <w:color w:val="auto"/>
        </w:rPr>
      </w:pPr>
    </w:p>
    <w:p>
      <w:pPr>
        <w:ind w:left="540" w:hanging="532"/>
        <w:spacing w:after="0" w:line="277"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97" w:lineRule="exact"/>
        <w:rPr>
          <w:rFonts w:ascii="Arial" w:cs="Arial" w:eastAsia="Arial" w:hAnsi="Arial"/>
          <w:sz w:val="18"/>
          <w:szCs w:val="18"/>
          <w:color w:val="auto"/>
        </w:rPr>
      </w:pPr>
    </w:p>
    <w:p>
      <w:pPr>
        <w:ind w:left="540" w:right="520" w:hanging="532"/>
        <w:spacing w:after="0" w:line="34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50" w:lineRule="exact"/>
        <w:rPr>
          <w:rFonts w:ascii="Arial" w:cs="Arial" w:eastAsia="Arial" w:hAnsi="Arial"/>
          <w:sz w:val="16"/>
          <w:szCs w:val="16"/>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Acknowledgement of Full Understanding</w:t>
      </w:r>
      <w:r>
        <w:rPr>
          <w:rFonts w:ascii="Arial" w:cs="Arial" w:eastAsia="Arial" w:hAnsi="Arial"/>
          <w:sz w:val="18"/>
          <w:szCs w:val="18"/>
          <w:color w:val="auto"/>
        </w:rPr>
        <w:t>. THE EXECUTIVE ACKNOWLEDGES AND AGREES THAT HE HAS FULLY READ,</w:t>
      </w:r>
    </w:p>
    <w:p>
      <w:pPr>
        <w:spacing w:after="0" w:line="23" w:lineRule="exact"/>
        <w:rPr>
          <w:rFonts w:ascii="Arial" w:cs="Arial" w:eastAsia="Arial" w:hAnsi="Arial"/>
          <w:sz w:val="18"/>
          <w:szCs w:val="18"/>
          <w:color w:val="auto"/>
        </w:rPr>
      </w:pPr>
    </w:p>
    <w:p>
      <w:pPr>
        <w:ind w:left="540"/>
        <w:spacing w:after="0" w:line="255" w:lineRule="auto"/>
        <w:rPr>
          <w:rFonts w:ascii="Arial" w:cs="Arial" w:eastAsia="Arial" w:hAnsi="Arial"/>
          <w:sz w:val="18"/>
          <w:szCs w:val="18"/>
          <w:color w:val="auto"/>
        </w:rPr>
      </w:pPr>
      <w:r>
        <w:rPr>
          <w:rFonts w:ascii="Arial" w:cs="Arial" w:eastAsia="Arial" w:hAnsi="Arial"/>
          <w:sz w:val="18"/>
          <w:szCs w:val="18"/>
          <w:color w:val="auto"/>
        </w:rPr>
        <w:t>UNDERSTANDS AND VOLUNTARILY ENTERS INTO THIS AGREEMENT. THE EXECUTIVE ACKNOWLEDGES AND AGREES THAT HE HAS HAD AN OPPORTUNITY TO ASK QUESTIONS AND CONSULT WITH AN ATTORNEY OF HIS CHOICE BEFORE SIGNING THIS AGREEMENT.</w:t>
      </w:r>
    </w:p>
    <w:p>
      <w:pPr>
        <w:spacing w:after="0" w:line="1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60" w:top="274" w:right="4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date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TaskUs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14605</wp:posOffset>
            </wp:positionV>
            <wp:extent cx="26574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Bryce Maddock</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Chief Executive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14605</wp:posOffset>
            </wp:positionV>
            <wp:extent cx="2237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Jarrod Johnson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274"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25" w:lineRule="exact"/>
        <w:rPr>
          <w:sz w:val="20"/>
          <w:szCs w:val="20"/>
          <w:color w:val="auto"/>
        </w:rPr>
      </w:pPr>
    </w:p>
    <w:p>
      <w:pPr>
        <w:ind w:right="680" w:firstLine="991"/>
        <w:spacing w:after="0" w:line="282"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August 5, 2021 by and between Balaji Sekar (the “</w:t>
      </w:r>
      <w:r>
        <w:rPr>
          <w:rFonts w:ascii="Arial" w:cs="Arial" w:eastAsia="Arial" w:hAnsi="Arial"/>
          <w:sz w:val="18"/>
          <w:szCs w:val="18"/>
          <w:b w:val="1"/>
          <w:bCs w:val="1"/>
          <w:color w:val="auto"/>
        </w:rPr>
        <w:t>Executive</w:t>
      </w:r>
      <w:r>
        <w:rPr>
          <w:rFonts w:ascii="Arial" w:cs="Arial" w:eastAsia="Arial" w:hAnsi="Arial"/>
          <w:sz w:val="18"/>
          <w:szCs w:val="18"/>
          <w:color w:val="auto"/>
        </w:rPr>
        <w:t>”) and TaskUs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Company desires to employ the Executive on the terms and conditions set forth herein; and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Executive desires to be employed by the Company on such terms and conditions.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NOW, THEREFORE, in consideration of the mutual covenants, promises, and obligations set forth herein, the parties agree as follows:</w:t>
      </w:r>
    </w:p>
    <w:p>
      <w:pPr>
        <w:spacing w:after="0" w:line="275" w:lineRule="exact"/>
        <w:rPr>
          <w:sz w:val="20"/>
          <w:szCs w:val="20"/>
          <w:color w:val="auto"/>
        </w:rPr>
      </w:pPr>
    </w:p>
    <w:p>
      <w:pPr>
        <w:ind w:left="960" w:hanging="53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0"/>
        <w:spacing w:after="0" w:line="275" w:lineRule="auto"/>
        <w:rPr>
          <w:rFonts w:ascii="Arial" w:cs="Arial" w:eastAsia="Arial" w:hAnsi="Arial"/>
          <w:sz w:val="18"/>
          <w:szCs w:val="18"/>
          <w:color w:val="auto"/>
        </w:rPr>
      </w:pPr>
      <w:r>
        <w:rPr>
          <w:rFonts w:ascii="Arial" w:cs="Arial" w:eastAsia="Arial" w:hAnsi="Arial"/>
          <w:sz w:val="17"/>
          <w:szCs w:val="17"/>
          <w:color w:val="auto"/>
        </w:rPr>
        <w:t>Subject to 5 of this Agreement, the Executive’s initial term of employment hereunder shall be from the period beginning on July 22, 2021 (the “Effective Date”) through July 1, 2025 (the “Initial Term”). Thereafter, the Agreement shall be deemed to be automatically extended, upon the same terms and conditions, for successive periods of one year, unless either party provides written notice of its intention not to extend the term at least 90 days prior to the end of the Initial Term or one-year extension thereof. The period during which the Executive is employed by the Company hereunder is hereinafter referred to as the “Employment Term.”</w:t>
      </w:r>
    </w:p>
    <w:p>
      <w:pPr>
        <w:spacing w:after="0" w:line="203" w:lineRule="exact"/>
        <w:rPr>
          <w:rFonts w:ascii="Arial" w:cs="Arial" w:eastAsia="Arial" w:hAnsi="Arial"/>
          <w:sz w:val="18"/>
          <w:szCs w:val="18"/>
          <w:color w:val="auto"/>
        </w:rPr>
      </w:pPr>
    </w:p>
    <w:p>
      <w:pPr>
        <w:ind w:left="960" w:hanging="53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During the Employment Term, the Executive shall serve as the Chief Financial Officer of the Company, reporting to the Chief Executive Officer. In this position, the Executive shall have such duties, authority, and responsibilities as are consistent with the Executive’s position, including but not limited to responsibility for global Finance. Executive’s reporting structure may change in the event of a change in control of the Company.</w:t>
      </w:r>
    </w:p>
    <w:p>
      <w:pPr>
        <w:spacing w:after="0" w:line="9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300"/>
        <w:spacing w:after="0" w:line="259" w:lineRule="auto"/>
        <w:rPr>
          <w:rFonts w:ascii="Arial" w:cs="Arial" w:eastAsia="Arial" w:hAnsi="Arial"/>
          <w:sz w:val="18"/>
          <w:szCs w:val="18"/>
          <w:color w:val="auto"/>
        </w:rPr>
      </w:pPr>
      <w:r>
        <w:rPr>
          <w:rFonts w:ascii="Arial" w:cs="Arial" w:eastAsia="Arial" w:hAnsi="Arial"/>
          <w:sz w:val="18"/>
          <w:szCs w:val="18"/>
          <w:color w:val="auto"/>
        </w:rPr>
        <w:t>During the Employment Term, the Executive shall devote substantially all of his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213" w:lineRule="exact"/>
        <w:rPr>
          <w:rFonts w:ascii="Arial" w:cs="Arial" w:eastAsia="Arial" w:hAnsi="Arial"/>
          <w:sz w:val="18"/>
          <w:szCs w:val="18"/>
          <w:color w:val="auto"/>
        </w:rPr>
      </w:pPr>
    </w:p>
    <w:p>
      <w:pPr>
        <w:ind w:left="960" w:hanging="53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Place of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00"/>
        <w:spacing w:after="0" w:line="277" w:lineRule="auto"/>
        <w:rPr>
          <w:rFonts w:ascii="Arial" w:cs="Arial" w:eastAsia="Arial" w:hAnsi="Arial"/>
          <w:sz w:val="18"/>
          <w:szCs w:val="18"/>
          <w:color w:val="auto"/>
        </w:rPr>
      </w:pPr>
      <w:r>
        <w:rPr>
          <w:rFonts w:ascii="Arial" w:cs="Arial" w:eastAsia="Arial" w:hAnsi="Arial"/>
          <w:sz w:val="18"/>
          <w:szCs w:val="18"/>
          <w:color w:val="auto"/>
        </w:rPr>
        <w:t>The Executive shall work primarily remotely; provided that, the Executive may be required to travel on Company business during the Employment Term.</w:t>
      </w:r>
    </w:p>
    <w:p>
      <w:pPr>
        <w:spacing w:after="0" w:line="197" w:lineRule="exact"/>
        <w:rPr>
          <w:rFonts w:ascii="Arial" w:cs="Arial" w:eastAsia="Arial" w:hAnsi="Arial"/>
          <w:sz w:val="18"/>
          <w:szCs w:val="18"/>
          <w:color w:val="auto"/>
        </w:rPr>
      </w:pPr>
    </w:p>
    <w:p>
      <w:pPr>
        <w:ind w:left="960" w:hanging="53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 shall pay the Executive an annual rate of base salary of $350,000 in periodic installments in accordance with the Company’s customary payroll practices and applicable wage</w:t>
      </w:r>
    </w:p>
    <w:p>
      <w:pPr>
        <w:sectPr>
          <w:pgSz w:w="11900" w:h="16838" w:orient="portrait"/>
          <w:cols w:equalWidth="0" w:num="1">
            <w:col w:w="11020"/>
          </w:cols>
          <w:pgMar w:left="440" w:top="121" w:right="439" w:bottom="1440" w:gutter="0" w:footer="0" w:header="0"/>
        </w:sectPr>
      </w:pPr>
    </w:p>
    <w:bookmarkStart w:id="65" w:name="page66"/>
    <w:bookmarkEnd w:id="6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laws, but no less frequently than monthly. The Executive’s base salary shall be reviewed at least annually by the Compensation Committee of the Board (the “Compensation Committee”) and the Compensation Committee may increase the Executive’s base salary during the Employment Term. The Executive’s annual base salary, as in effect from time to time, is hereinafter referred to as “</w:t>
      </w:r>
      <w:r>
        <w:rPr>
          <w:rFonts w:ascii="Arial" w:cs="Arial" w:eastAsia="Arial" w:hAnsi="Arial"/>
          <w:sz w:val="18"/>
          <w:szCs w:val="18"/>
          <w:b w:val="1"/>
          <w:bCs w:val="1"/>
          <w:color w:val="auto"/>
        </w:rPr>
        <w:t>Base</w:t>
      </w:r>
      <w:r>
        <w:rPr>
          <w:rFonts w:ascii="Arial" w:cs="Arial" w:eastAsia="Arial" w:hAnsi="Arial"/>
          <w:sz w:val="18"/>
          <w:szCs w:val="18"/>
          <w:color w:val="auto"/>
        </w:rPr>
        <w:t xml:space="preserve">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9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Annual Bonus</w:t>
      </w:r>
      <w:r>
        <w:rPr>
          <w:rFonts w:ascii="Arial" w:cs="Arial" w:eastAsia="Arial" w:hAnsi="Arial"/>
          <w:sz w:val="16"/>
          <w:szCs w:val="16"/>
          <w:color w:val="auto"/>
        </w:rPr>
        <w:t>.</w:t>
      </w:r>
    </w:p>
    <w:p>
      <w:pPr>
        <w:spacing w:after="0" w:line="127" w:lineRule="exact"/>
        <w:rPr>
          <w:sz w:val="20"/>
          <w:szCs w:val="20"/>
          <w:color w:val="auto"/>
        </w:rPr>
      </w:pPr>
    </w:p>
    <w:p>
      <w:pPr>
        <w:ind w:left="980" w:hanging="533"/>
        <w:spacing w:after="0" w:line="26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each fiscal year of the Employment Term, the Executive shall be eligible to receive an annual bonus (the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Bonus</w:t>
      </w:r>
      <w:r>
        <w:rPr>
          <w:rFonts w:ascii="Arial" w:cs="Arial" w:eastAsia="Arial" w:hAnsi="Arial"/>
          <w:sz w:val="18"/>
          <w:szCs w:val="18"/>
          <w:color w:val="auto"/>
        </w:rPr>
        <w:t>”). However, the decision to provide any Annual Bonus and the amount and terms of any Annual Bonus shall be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and absolute discretion of the Compensation Committee.</w:t>
      </w:r>
    </w:p>
    <w:p>
      <w:pPr>
        <w:spacing w:after="0" w:line="85" w:lineRule="exact"/>
        <w:rPr>
          <w:rFonts w:ascii="Arial" w:cs="Arial" w:eastAsia="Arial" w:hAnsi="Arial"/>
          <w:sz w:val="18"/>
          <w:szCs w:val="18"/>
          <w:color w:val="auto"/>
        </w:rPr>
      </w:pPr>
    </w:p>
    <w:p>
      <w:pPr>
        <w:ind w:left="980" w:hanging="533"/>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Bonus will be subject to the terms of the Company annual bonus plan under which it is granted.</w:t>
      </w:r>
    </w:p>
    <w:p>
      <w:pPr>
        <w:spacing w:after="0" w:line="130" w:lineRule="exact"/>
        <w:rPr>
          <w:rFonts w:ascii="Arial" w:cs="Arial" w:eastAsia="Arial" w:hAnsi="Arial"/>
          <w:sz w:val="18"/>
          <w:szCs w:val="18"/>
          <w:color w:val="auto"/>
        </w:rPr>
      </w:pPr>
    </w:p>
    <w:p>
      <w:pPr>
        <w:ind w:left="980" w:right="480" w:hanging="533"/>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order to be eligible to receive an Annual Bonus, the Executive must be employed by the Company on the day of the applicable date that Annual Bonuses are paid.</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Equity Awards</w:t>
      </w:r>
      <w:r>
        <w:rPr>
          <w:rFonts w:ascii="Arial" w:cs="Arial" w:eastAsia="Arial" w:hAnsi="Arial"/>
          <w:sz w:val="16"/>
          <w:szCs w:val="16"/>
          <w:color w:val="auto"/>
        </w:rPr>
        <w:t>.</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Executive shall be eligible to participate in the TaskUs, Inc. 2021 Omnibus Incentive Plan (the “Omnibus Plan”) or any successor plan, subject to the terms of the Omnibus Plan or successor plan, as determined by the Board or the Compensation Committee, in its discretion.</w:t>
      </w:r>
    </w:p>
    <w:p>
      <w:pPr>
        <w:spacing w:after="0" w:line="89" w:lineRule="exact"/>
        <w:rPr>
          <w:sz w:val="20"/>
          <w:szCs w:val="20"/>
          <w:color w:val="auto"/>
        </w:rPr>
      </w:pPr>
    </w:p>
    <w:p>
      <w:pPr>
        <w:ind w:left="980" w:hanging="533"/>
        <w:spacing w:after="0" w:line="275"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consideration of the Executive entering into this Agreement, and subject to approval by the Compensation Committee, the Company will grant to the Executive the number of Restricted Stock Units set forth below. The Restricted Stock Units are subject to all of the terms and conditions contained in the Restricted Stock Unit Agreement (to be provided upon approval by the Compensation Committee), and in the Omnibus Plan, all of which are incorporated herein in their entirety. Capitalized terms not otherwise defined herein shall have the meaning set forth in the Plan.</w:t>
      </w:r>
    </w:p>
    <w:p>
      <w:pPr>
        <w:spacing w:after="0" w:line="81" w:lineRule="exact"/>
        <w:rPr>
          <w:rFonts w:ascii="Arial" w:cs="Arial" w:eastAsia="Arial" w:hAnsi="Arial"/>
          <w:sz w:val="17"/>
          <w:szCs w:val="17"/>
          <w:color w:val="auto"/>
        </w:rPr>
      </w:pPr>
    </w:p>
    <w:p>
      <w:pPr>
        <w:ind w:left="1420" w:right="20" w:hanging="433"/>
        <w:spacing w:after="0" w:line="277" w:lineRule="auto"/>
        <w:tabs>
          <w:tab w:leader="none" w:pos="14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Restricted Stock Units: a number equivalent to $6,000,000 in value, to be determined by the Compensation Committee as of August 5, 2021.</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Vesting Schedule: Provided the Executive has not undergone a Termination at the time of the applicable vesting date</w:t>
      </w:r>
    </w:p>
    <w:p>
      <w:pPr>
        <w:spacing w:after="0" w:line="46" w:lineRule="exact"/>
        <w:rPr>
          <w:rFonts w:ascii="Arial" w:cs="Arial" w:eastAsia="Arial" w:hAnsi="Arial"/>
          <w:sz w:val="16"/>
          <w:szCs w:val="16"/>
          <w:color w:val="auto"/>
        </w:rPr>
      </w:pPr>
    </w:p>
    <w:p>
      <w:pPr>
        <w:ind w:left="1420" w:right="40"/>
        <w:spacing w:after="0" w:line="252" w:lineRule="auto"/>
        <w:rPr>
          <w:rFonts w:ascii="Arial" w:cs="Arial" w:eastAsia="Arial" w:hAnsi="Arial"/>
          <w:sz w:val="16"/>
          <w:szCs w:val="16"/>
          <w:color w:val="auto"/>
        </w:rPr>
      </w:pPr>
      <w:r>
        <w:rPr>
          <w:rFonts w:ascii="Arial" w:cs="Arial" w:eastAsia="Arial" w:hAnsi="Arial"/>
          <w:sz w:val="18"/>
          <w:szCs w:val="18"/>
          <w:color w:val="auto"/>
        </w:rPr>
        <w:t>(or event): 1/5 of the Restricted Stock Units (rounded down to the nearest whole share) will vest on the date that is one year following the Vesting Reference Date; 1/5 of the Restricted Stock Units (rounded down to the nearest whole share) will vest on the date that is two years following the Vesting Reference Date; 1/5 of the Restricted Stock Units (rounded down to the nearest whole share) will vest on the date that is three years following the Vesting Reference Date; and the remaining Restricted Stock Units will vest on the date that is four years following the Vesting Reference Date.</w:t>
      </w:r>
    </w:p>
    <w:p>
      <w:pPr>
        <w:spacing w:after="0" w:line="99" w:lineRule="exact"/>
        <w:rPr>
          <w:rFonts w:ascii="Arial" w:cs="Arial" w:eastAsia="Arial" w:hAnsi="Arial"/>
          <w:sz w:val="16"/>
          <w:szCs w:val="16"/>
          <w:color w:val="auto"/>
        </w:rPr>
      </w:pPr>
    </w:p>
    <w:p>
      <w:pPr>
        <w:ind w:left="980" w:right="20" w:hanging="533"/>
        <w:spacing w:after="0" w:line="273"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consideration of the Executive entering into this Agreement, and subject to approval by the Compensation Committee, the Company will grant to the Executive the number of Options (each Option representing the right to purchase one share of Class A Common Stock) set forth below, at an Exercise Price per share as set forth below. The Options are subject to all of the terms and conditions as set forth herein, in the Option Agreement (to be provided upon approval by the Compensation Committee), and in the Plan, all of which are incorporated herein in their entirety. Capitalized terms not otherwise defined herein shall have the meaning set forth in the Plan.</w:t>
      </w:r>
    </w:p>
    <w:p>
      <w:pPr>
        <w:spacing w:after="0" w:line="1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00"/>
          </w:cols>
          <w:pgMar w:left="1420" w:top="274" w:right="479" w:bottom="1440" w:gutter="0" w:footer="0" w:header="0"/>
        </w:sectPr>
      </w:pPr>
    </w:p>
    <w:bookmarkStart w:id="66" w:name="page67"/>
    <w:bookmarkEnd w:id="66"/>
    <w:p>
      <w:pPr>
        <w:ind w:left="1420" w:right="60" w:hanging="433"/>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Options: a number equivalent to $6,000,000 in value, to be determined by the Compensation Committee as of August 5, 2021.</w:t>
      </w:r>
    </w:p>
    <w:p>
      <w:pPr>
        <w:spacing w:after="0" w:line="75" w:lineRule="exact"/>
        <w:rPr>
          <w:rFonts w:ascii="Arial" w:cs="Arial" w:eastAsia="Arial" w:hAnsi="Arial"/>
          <w:sz w:val="18"/>
          <w:szCs w:val="18"/>
          <w:color w:val="auto"/>
        </w:rPr>
      </w:pPr>
    </w:p>
    <w:p>
      <w:pPr>
        <w:ind w:left="1420" w:right="40" w:hanging="433"/>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Exercise Price: to be determined by the Compensation Committee based upon the Fair Market Value of the Company’s Class A Common Stock on the date of grant.</w:t>
      </w:r>
    </w:p>
    <w:p>
      <w:pPr>
        <w:spacing w:after="0" w:line="75" w:lineRule="exact"/>
        <w:rPr>
          <w:rFonts w:ascii="Arial" w:cs="Arial" w:eastAsia="Arial" w:hAnsi="Arial"/>
          <w:sz w:val="18"/>
          <w:szCs w:val="18"/>
          <w:color w:val="auto"/>
        </w:rPr>
      </w:pPr>
    </w:p>
    <w:p>
      <w:pPr>
        <w:ind w:left="1420" w:hanging="433"/>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Option Period Expiration Date: 10th anniversary of Grant Date</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Type of Option: Non-Qualified Stock Option</w:t>
      </w:r>
    </w:p>
    <w:p>
      <w:pPr>
        <w:spacing w:after="0" w:line="130" w:lineRule="exact"/>
        <w:rPr>
          <w:rFonts w:ascii="Arial" w:cs="Arial" w:eastAsia="Arial" w:hAnsi="Arial"/>
          <w:sz w:val="18"/>
          <w:szCs w:val="18"/>
          <w:color w:val="auto"/>
        </w:rPr>
      </w:pPr>
    </w:p>
    <w:p>
      <w:pPr>
        <w:ind w:left="1420" w:hanging="433"/>
        <w:spacing w:after="0"/>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Vesting Schedule: Provided the Participant has not undergone a Termination at the time of the applicable vesting date</w:t>
      </w:r>
    </w:p>
    <w:p>
      <w:pPr>
        <w:spacing w:after="0" w:line="46" w:lineRule="exact"/>
        <w:rPr>
          <w:rFonts w:ascii="Arial" w:cs="Arial" w:eastAsia="Arial" w:hAnsi="Arial"/>
          <w:sz w:val="16"/>
          <w:szCs w:val="16"/>
          <w:color w:val="auto"/>
        </w:rPr>
      </w:pPr>
    </w:p>
    <w:p>
      <w:pPr>
        <w:ind w:left="1420"/>
        <w:spacing w:after="0" w:line="271" w:lineRule="auto"/>
        <w:rPr>
          <w:rFonts w:ascii="Arial" w:cs="Arial" w:eastAsia="Arial" w:hAnsi="Arial"/>
          <w:sz w:val="16"/>
          <w:szCs w:val="16"/>
          <w:color w:val="auto"/>
        </w:rPr>
      </w:pPr>
      <w:r>
        <w:rPr>
          <w:rFonts w:ascii="Arial" w:cs="Arial" w:eastAsia="Arial" w:hAnsi="Arial"/>
          <w:sz w:val="17"/>
          <w:szCs w:val="17"/>
          <w:color w:val="auto"/>
        </w:rPr>
        <w:t>(or event): 1/5 of the Options (rounded down to the nearest whole share) will vest on the date that is one year following the Vesting Reference Date; 1/5 of the Options (rounded down to the nearest whole share) will vest on the date that is two years following the Vesting Reference Date; 1/5 of the Options (rounded down to the nearest whole share) will vest on the date that is three years following the Vesting Reference Date; and the remaining Options will vest on the date that is four years following the Vesting Reference Date.</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Fringe Benefits and Perquisites</w:t>
      </w:r>
      <w:r>
        <w:rPr>
          <w:rFonts w:ascii="Arial" w:cs="Arial" w:eastAsia="Arial" w:hAnsi="Arial"/>
          <w:sz w:val="16"/>
          <w:szCs w:val="16"/>
          <w:color w:val="auto"/>
        </w:rPr>
        <w: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Employment Term, the Executive shall be entitled to fringe benefits and perquisites consistent with those provided to similarly situated executives of the Company.</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117" w:lineRule="exact"/>
        <w:rPr>
          <w:sz w:val="20"/>
          <w:szCs w:val="20"/>
          <w:color w:val="auto"/>
        </w:rPr>
      </w:pPr>
    </w:p>
    <w:p>
      <w:pPr>
        <w:jc w:val="both"/>
        <w:ind w:right="600"/>
        <w:spacing w:after="0" w:line="301" w:lineRule="auto"/>
        <w:rPr>
          <w:sz w:val="20"/>
          <w:szCs w:val="20"/>
          <w:color w:val="auto"/>
        </w:rPr>
      </w:pPr>
      <w:r>
        <w:rPr>
          <w:rFonts w:ascii="Arial" w:cs="Arial" w:eastAsia="Arial" w:hAnsi="Arial"/>
          <w:sz w:val="16"/>
          <w:szCs w:val="16"/>
          <w:color w:val="auto"/>
        </w:rPr>
        <w:t>During the Employment Term, the Executive shall be entitled to participate in all employee benefit plans, practices, and programs maintained by the Company, as in effect from time to time (collectively, “</w:t>
      </w:r>
      <w:r>
        <w:rPr>
          <w:rFonts w:ascii="Arial" w:cs="Arial" w:eastAsia="Arial" w:hAnsi="Arial"/>
          <w:sz w:val="16"/>
          <w:szCs w:val="16"/>
          <w:b w:val="1"/>
          <w:bCs w:val="1"/>
          <w:color w:val="auto"/>
        </w:rPr>
        <w:t>Employee Benefit Plans</w:t>
      </w:r>
      <w:r>
        <w:rPr>
          <w:rFonts w:ascii="Arial" w:cs="Arial" w:eastAsia="Arial" w:hAnsi="Arial"/>
          <w:sz w:val="16"/>
          <w:szCs w:val="16"/>
          <w:color w:val="auto"/>
        </w:rPr>
        <w:t>”),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6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Vacation; Paid Time Off</w:t>
      </w:r>
      <w:r>
        <w:rPr>
          <w:rFonts w:ascii="Arial" w:cs="Arial" w:eastAsia="Arial" w:hAnsi="Arial"/>
          <w:sz w:val="16"/>
          <w:szCs w:val="16"/>
          <w:color w:val="auto"/>
        </w:rPr>
        <w: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Employment Term, the Executive shall be entitled to paid time off in accordance with the Company’s policies for executive officers as such policies may exist from time to time and as required by applicable law.</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Business Expenses</w:t>
      </w:r>
      <w:r>
        <w:rPr>
          <w:rFonts w:ascii="Arial" w:cs="Arial" w:eastAsia="Arial" w:hAnsi="Arial"/>
          <w:sz w:val="15"/>
          <w:szCs w:val="15"/>
          <w:color w:val="auto"/>
        </w:rPr>
        <w: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Subject to the Company’s expense reimbursement policies, Executive will have the opportunity to modify or pay out-of-pocket for any expenses that are not eligible for reimbursement submitted by mistake without disciplinary action.</w:t>
      </w:r>
    </w:p>
    <w:p>
      <w:pPr>
        <w:spacing w:after="0" w:line="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Clawback Provisions</w:t>
      </w:r>
      <w:r>
        <w:rPr>
          <w:rFonts w:ascii="Arial" w:cs="Arial" w:eastAsia="Arial" w:hAnsi="Arial"/>
          <w:sz w:val="16"/>
          <w:szCs w:val="16"/>
          <w:color w:val="auto"/>
        </w:rPr>
        <w:t>.</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amounts payable under this Agreement are subject to any policy (whether in existence as of the Effective Date or later adopted) established by the Company providing for clawback or recovery of amounts that were paid to the Executive. Further, amounts paid under Section 5.2(a) below shall be forfeited and repaid to the Company in the event Executive breaches the restrictive covenants contained in Section 7 below. The Company will make any determination for clawback or recovery in its sole discretion and in accordance with any applicable law or regulation.</w:t>
      </w:r>
    </w:p>
    <w:p>
      <w:pPr>
        <w:spacing w:after="0" w:line="1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20"/>
          </w:cols>
          <w:pgMar w:left="1420" w:top="274" w:right="459" w:bottom="1440" w:gutter="0" w:footer="0" w:header="0"/>
        </w:sectPr>
      </w:pPr>
    </w:p>
    <w:bookmarkStart w:id="67" w:name="page68"/>
    <w:bookmarkEnd w:id="67"/>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spacing w:after="0" w:line="296" w:lineRule="auto"/>
        <w:rPr>
          <w:rFonts w:ascii="Arial" w:cs="Arial" w:eastAsia="Arial" w:hAnsi="Arial"/>
          <w:sz w:val="18"/>
          <w:szCs w:val="18"/>
          <w:color w:val="auto"/>
        </w:rPr>
      </w:pPr>
      <w:r>
        <w:rPr>
          <w:rFonts w:ascii="Arial" w:cs="Arial" w:eastAsia="Arial" w:hAnsi="Arial"/>
          <w:sz w:val="16"/>
          <w:szCs w:val="16"/>
          <w:color w:val="auto"/>
        </w:rPr>
        <w:t>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90 days advance written notice of any termination of the Executive’s employment. Upon termination of the Executive’s employment during the Employment Term, the Executive shall be entitled to the compensation and benefits described in this 5 and shall have no further rights to any compensation or any other benefits from the Company or any of its affiliates.</w:t>
      </w:r>
    </w:p>
    <w:p>
      <w:pPr>
        <w:spacing w:after="0" w:line="6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For Cause or Without Good Reason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right="220" w:hanging="533"/>
        <w:spacing w:after="0" w:line="277"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Executive’s employment hereunder may be terminated by the Company for Cause, or by the Executive without Good Reason and the Executive shall be entitled to receive:</w:t>
      </w:r>
    </w:p>
    <w:p>
      <w:pPr>
        <w:spacing w:after="0" w:line="75" w:lineRule="exact"/>
        <w:rPr>
          <w:rFonts w:ascii="Arial" w:cs="Arial" w:eastAsia="Arial" w:hAnsi="Arial"/>
          <w:sz w:val="18"/>
          <w:szCs w:val="18"/>
          <w:color w:val="auto"/>
        </w:rPr>
      </w:pPr>
    </w:p>
    <w:p>
      <w:pPr>
        <w:ind w:left="1980" w:right="660" w:hanging="433"/>
        <w:spacing w:after="0" w:line="277" w:lineRule="auto"/>
        <w:tabs>
          <w:tab w:leader="none" w:pos="19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accrued but unpaid Base Salary which shall be paid in accordance with the Company’s customary payroll procedures;</w:t>
      </w:r>
    </w:p>
    <w:p>
      <w:pPr>
        <w:spacing w:after="0" w:line="75" w:lineRule="exact"/>
        <w:rPr>
          <w:rFonts w:ascii="Arial" w:cs="Arial" w:eastAsia="Arial" w:hAnsi="Arial"/>
          <w:sz w:val="18"/>
          <w:szCs w:val="18"/>
          <w:color w:val="auto"/>
        </w:rPr>
      </w:pPr>
    </w:p>
    <w:p>
      <w:pPr>
        <w:ind w:left="1980" w:right="120" w:hanging="433"/>
        <w:spacing w:after="0" w:line="277" w:lineRule="auto"/>
        <w:tabs>
          <w:tab w:leader="none" w:pos="19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reimbursement for unreimbursed business expenses properly incurred by the Executive, which shall be subject to and paid in accordance with the Company’s expense reimbursement policy; and</w:t>
      </w:r>
    </w:p>
    <w:p>
      <w:pPr>
        <w:spacing w:after="0" w:line="75" w:lineRule="exact"/>
        <w:rPr>
          <w:rFonts w:ascii="Arial" w:cs="Arial" w:eastAsia="Arial" w:hAnsi="Arial"/>
          <w:sz w:val="18"/>
          <w:szCs w:val="18"/>
          <w:color w:val="auto"/>
        </w:rPr>
      </w:pPr>
    </w:p>
    <w:p>
      <w:pPr>
        <w:ind w:left="1980" w:right="220" w:hanging="433"/>
        <w:spacing w:after="0" w:line="259" w:lineRule="auto"/>
        <w:tabs>
          <w:tab w:leader="none" w:pos="19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Items 5.1(a)(i) through 5.1(a)(iv) are referred to herein collectively as the “</w:t>
      </w:r>
      <w:r>
        <w:rPr>
          <w:rFonts w:ascii="Arial" w:cs="Arial" w:eastAsia="Arial" w:hAnsi="Arial"/>
          <w:sz w:val="18"/>
          <w:szCs w:val="18"/>
          <w:b w:val="1"/>
          <w:bCs w:val="1"/>
          <w:color w:val="auto"/>
        </w:rPr>
        <w:t>Accrued Amounts</w:t>
      </w:r>
      <w:r>
        <w:rPr>
          <w:rFonts w:ascii="Arial" w:cs="Arial" w:eastAsia="Arial" w:hAnsi="Arial"/>
          <w:sz w:val="18"/>
          <w:szCs w:val="18"/>
          <w:color w:val="auto"/>
        </w:rPr>
        <w:t>.”</w:t>
      </w:r>
    </w:p>
    <w:p>
      <w:pPr>
        <w:spacing w:after="0" w:line="131" w:lineRule="exact"/>
        <w:rPr>
          <w:sz w:val="20"/>
          <w:szCs w:val="20"/>
          <w:color w:val="auto"/>
        </w:rPr>
      </w:pPr>
    </w:p>
    <w:p>
      <w:pPr>
        <w:ind w:left="1540" w:hanging="533"/>
        <w:spacing w:after="0"/>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shall mean:</w:t>
      </w:r>
    </w:p>
    <w:p>
      <w:pPr>
        <w:spacing w:after="0" w:line="134" w:lineRule="exact"/>
        <w:rPr>
          <w:rFonts w:ascii="Arial" w:cs="Arial" w:eastAsia="Arial" w:hAnsi="Arial"/>
          <w:sz w:val="18"/>
          <w:szCs w:val="18"/>
          <w:color w:val="auto"/>
        </w:rPr>
      </w:pPr>
    </w:p>
    <w:p>
      <w:pPr>
        <w:ind w:left="1980" w:right="80" w:hanging="433"/>
        <w:spacing w:after="0" w:line="277" w:lineRule="auto"/>
        <w:tabs>
          <w:tab w:leader="none" w:pos="1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Executive’s engagement in dishonesty, illegal conduct, or material misconduct, which is, in each case, injurious to the Company or its affiliates;</w:t>
      </w:r>
    </w:p>
    <w:p>
      <w:pPr>
        <w:spacing w:after="0" w:line="75" w:lineRule="exact"/>
        <w:rPr>
          <w:rFonts w:ascii="Arial" w:cs="Arial" w:eastAsia="Arial" w:hAnsi="Arial"/>
          <w:sz w:val="18"/>
          <w:szCs w:val="18"/>
          <w:color w:val="auto"/>
        </w:rPr>
      </w:pPr>
    </w:p>
    <w:p>
      <w:pPr>
        <w:ind w:left="1980" w:right="80" w:hanging="433"/>
        <w:spacing w:after="0" w:line="277" w:lineRule="auto"/>
        <w:tabs>
          <w:tab w:leader="none" w:pos="1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Executive’s embezzlement, misappropriation, or fraud, whether or not related to the Executive’s employment with the Company;</w:t>
      </w:r>
    </w:p>
    <w:p>
      <w:pPr>
        <w:spacing w:after="0" w:line="75" w:lineRule="exact"/>
        <w:rPr>
          <w:rFonts w:ascii="Arial" w:cs="Arial" w:eastAsia="Arial" w:hAnsi="Arial"/>
          <w:sz w:val="18"/>
          <w:szCs w:val="18"/>
          <w:color w:val="auto"/>
        </w:rPr>
      </w:pPr>
    </w:p>
    <w:p>
      <w:pPr>
        <w:ind w:left="1980" w:right="400" w:hanging="433"/>
        <w:spacing w:after="0" w:line="277" w:lineRule="auto"/>
        <w:tabs>
          <w:tab w:leader="none" w:pos="1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Executive’s conviction of or plea of guilty or nolo contendere to a crime that constitutes a felony (or state law equivalent) or a crime that constitutes a misdemeanor involving moral turpitude;</w:t>
      </w:r>
    </w:p>
    <w:p>
      <w:pPr>
        <w:spacing w:after="0" w:line="75" w:lineRule="exact"/>
        <w:rPr>
          <w:rFonts w:ascii="Arial" w:cs="Arial" w:eastAsia="Arial" w:hAnsi="Arial"/>
          <w:sz w:val="18"/>
          <w:szCs w:val="18"/>
          <w:color w:val="auto"/>
        </w:rPr>
      </w:pPr>
    </w:p>
    <w:p>
      <w:pPr>
        <w:ind w:left="1980" w:right="260" w:hanging="433"/>
        <w:spacing w:after="0" w:line="342" w:lineRule="auto"/>
        <w:tabs>
          <w:tab w:leader="none" w:pos="19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29" w:lineRule="exact"/>
        <w:rPr>
          <w:rFonts w:ascii="Arial" w:cs="Arial" w:eastAsia="Arial" w:hAnsi="Arial"/>
          <w:sz w:val="16"/>
          <w:szCs w:val="16"/>
          <w:color w:val="auto"/>
        </w:rPr>
      </w:pPr>
    </w:p>
    <w:p>
      <w:pPr>
        <w:ind w:left="1980" w:right="240" w:hanging="433"/>
        <w:spacing w:after="0" w:line="277" w:lineRule="auto"/>
        <w:tabs>
          <w:tab w:leader="none" w:pos="1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Executive’s material breach of any obligation under this Agreement or any other written agreement between the Executive and the Company; or</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60" w:top="274" w:right="499" w:bottom="1440" w:gutter="0" w:footer="0" w:header="0"/>
        </w:sectPr>
      </w:pPr>
    </w:p>
    <w:bookmarkStart w:id="68" w:name="page69"/>
    <w:bookmarkEnd w:id="68"/>
    <w:p>
      <w:pPr>
        <w:ind w:left="1420" w:right="160" w:hanging="433"/>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Executive’s engagement in conduct that brings or is reasonably likely to bring the Company negative publicity or into public disgrace, embarrassment, or disrepute.</w:t>
      </w:r>
    </w:p>
    <w:p>
      <w:pPr>
        <w:spacing w:after="0" w:line="62"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If the Company anticipates terminating the Executive for Cause, and the conduct giving rise to such termination for Cause is capable of being cured by Executive, the Company shall provide written notice to the Executive of the existence of the circumstances providing grounds for termination for Cause within 10 days from the time the Company’s Chief Executive Officer’s becomes aware of the existence of such grounds and the Executive has at least 10 days from the date on which such notice is provided to cure such circumstances.</w:t>
      </w:r>
    </w:p>
    <w:p>
      <w:pPr>
        <w:spacing w:after="0" w:line="89" w:lineRule="exact"/>
        <w:rPr>
          <w:sz w:val="20"/>
          <w:szCs w:val="20"/>
          <w:color w:val="auto"/>
        </w:rPr>
      </w:pPr>
    </w:p>
    <w:p>
      <w:pPr>
        <w:ind w:left="980" w:right="100" w:hanging="533"/>
        <w:spacing w:after="0" w:line="282"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in each case during the Employment Term without the Executive’s prior written consent:</w:t>
      </w:r>
    </w:p>
    <w:p>
      <w:pPr>
        <w:spacing w:after="0" w:line="71" w:lineRule="exact"/>
        <w:rPr>
          <w:rFonts w:ascii="Arial" w:cs="Arial" w:eastAsia="Arial" w:hAnsi="Arial"/>
          <w:sz w:val="18"/>
          <w:szCs w:val="18"/>
          <w:color w:val="auto"/>
        </w:rPr>
      </w:pPr>
    </w:p>
    <w:p>
      <w:pPr>
        <w:ind w:left="1420" w:right="20" w:hanging="433"/>
        <w:spacing w:after="0" w:line="308" w:lineRule="auto"/>
        <w:tabs>
          <w:tab w:leader="none" w:pos="14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 material reduction in the Executive’s Base Salary and Target Bonus other than a general reduction in Base Salary and Target Bonus that affects all similarly situated executives in substantially the same proportions;</w:t>
      </w:r>
    </w:p>
    <w:p>
      <w:pPr>
        <w:spacing w:after="0" w:line="51" w:lineRule="exact"/>
        <w:rPr>
          <w:rFonts w:ascii="Arial" w:cs="Arial" w:eastAsia="Arial" w:hAnsi="Arial"/>
          <w:sz w:val="17"/>
          <w:szCs w:val="17"/>
          <w:color w:val="auto"/>
        </w:rPr>
      </w:pPr>
    </w:p>
    <w:p>
      <w:pPr>
        <w:ind w:left="1420" w:hanging="433"/>
        <w:spacing w:after="0"/>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material breach by the Company of any material provision of this Agreement;</w:t>
      </w:r>
    </w:p>
    <w:p>
      <w:pPr>
        <w:spacing w:after="0" w:line="130" w:lineRule="exact"/>
        <w:rPr>
          <w:rFonts w:ascii="Arial" w:cs="Arial" w:eastAsia="Arial" w:hAnsi="Arial"/>
          <w:sz w:val="18"/>
          <w:szCs w:val="18"/>
          <w:color w:val="auto"/>
        </w:rPr>
      </w:pPr>
    </w:p>
    <w:p>
      <w:pPr>
        <w:jc w:val="both"/>
        <w:ind w:left="1420" w:hanging="433"/>
        <w:spacing w:after="0" w:line="263"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 or</w:t>
      </w:r>
    </w:p>
    <w:p>
      <w:pPr>
        <w:spacing w:after="0" w:line="89" w:lineRule="exact"/>
        <w:rPr>
          <w:rFonts w:ascii="Arial" w:cs="Arial" w:eastAsia="Arial" w:hAnsi="Arial"/>
          <w:sz w:val="18"/>
          <w:szCs w:val="18"/>
          <w:color w:val="auto"/>
        </w:rPr>
      </w:pPr>
    </w:p>
    <w:p>
      <w:pPr>
        <w:ind w:left="1420" w:right="340" w:hanging="433"/>
        <w:spacing w:after="0" w:line="277" w:lineRule="auto"/>
        <w:tabs>
          <w:tab w:leader="none" w:pos="14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material, adverse change in the Executive’s authority, duties, or responsibilities (other than temporarily while the Executive is physically or mentally incapacitated or as required by applicable law).</w:t>
      </w:r>
    </w:p>
    <w:p>
      <w:pPr>
        <w:spacing w:after="0" w:line="62" w:lineRule="exact"/>
        <w:rPr>
          <w:sz w:val="20"/>
          <w:szCs w:val="20"/>
          <w:color w:val="auto"/>
        </w:rPr>
      </w:pPr>
    </w:p>
    <w:p>
      <w:pPr>
        <w:jc w:val="both"/>
        <w:ind w:left="440" w:right="240"/>
        <w:spacing w:after="0" w:line="296" w:lineRule="auto"/>
        <w:rPr>
          <w:sz w:val="20"/>
          <w:szCs w:val="20"/>
          <w:color w:val="auto"/>
        </w:rPr>
      </w:pPr>
      <w:r>
        <w:rPr>
          <w:rFonts w:ascii="Arial" w:cs="Arial" w:eastAsia="Arial" w:hAnsi="Arial"/>
          <w:sz w:val="16"/>
          <w:szCs w:val="16"/>
          <w:color w:val="auto"/>
        </w:rPr>
        <w:t>To terminate his employment for Good Reason, the Executive must provide written notice to the Company of the existence of the circumstances providing grounds for termination for Good Reason within 30 days of the initial existence of such grounds and the Company must have at least 15 days from the date on which such notice is provided to cure such circumstances. If the Executive does not terminate his employment for Good Reason within 45 days after the first occurrence of the applicable grounds, then the Executive will be deemed to have waived his right to terminate for Good Reason with respect to such grounds.</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Non-Renewal by the Company, Without Cause or for Good Reason</w:t>
      </w:r>
      <w:r>
        <w:rPr>
          <w:rFonts w:ascii="Arial" w:cs="Arial" w:eastAsia="Arial" w:hAnsi="Arial"/>
          <w:sz w:val="16"/>
          <w:szCs w:val="16"/>
          <w:color w:val="auto"/>
        </w:rPr>
        <w:t>.</w:t>
      </w:r>
    </w:p>
    <w:p>
      <w:pPr>
        <w:spacing w:after="0" w:line="117"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The Employment Term and the Executive’s employment hereunder may be terminated by the Executive for Good Reason or by the Company without Cause or on account of the Company’s failure to renew the Agreement in accordance with 1. In the event of such termination, the Executive shall be entitled to receive the Accrued Amounts and subject to the Executive’s compliance with 6 of this Agreement and his execution, within 45 days following receipt, of a release of claims in favor of the Company, its affiliates and their respective officers and directors in a form provided by the Company (the “</w:t>
      </w:r>
      <w:r>
        <w:rPr>
          <w:rFonts w:ascii="Arial" w:cs="Arial" w:eastAsia="Arial" w:hAnsi="Arial"/>
          <w:sz w:val="16"/>
          <w:szCs w:val="16"/>
          <w:b w:val="1"/>
          <w:bCs w:val="1"/>
          <w:color w:val="auto"/>
        </w:rPr>
        <w:t>Release</w:t>
      </w:r>
      <w:r>
        <w:rPr>
          <w:rFonts w:ascii="Arial" w:cs="Arial" w:eastAsia="Arial" w:hAnsi="Arial"/>
          <w:sz w:val="16"/>
          <w:szCs w:val="16"/>
          <w:color w:val="auto"/>
        </w:rPr>
        <w:t>”) (such 45-day period, the “</w:t>
      </w:r>
      <w:r>
        <w:rPr>
          <w:rFonts w:ascii="Arial" w:cs="Arial" w:eastAsia="Arial" w:hAnsi="Arial"/>
          <w:sz w:val="16"/>
          <w:szCs w:val="16"/>
          <w:b w:val="1"/>
          <w:bCs w:val="1"/>
          <w:color w:val="auto"/>
        </w:rPr>
        <w:t>Release Execution</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and the Release becoming effective according to its terms, the Executive shall be entitled to receive the following:</w:t>
      </w:r>
    </w:p>
    <w:p>
      <w:pPr>
        <w:spacing w:after="0" w:line="70" w:lineRule="exact"/>
        <w:rPr>
          <w:sz w:val="20"/>
          <w:szCs w:val="20"/>
          <w:color w:val="auto"/>
        </w:rPr>
      </w:pPr>
    </w:p>
    <w:p>
      <w:pPr>
        <w:jc w:val="both"/>
        <w:ind w:left="980" w:right="120" w:hanging="533"/>
        <w:spacing w:after="0" w:line="263"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equal installment payments payable in accordance with the Company’s normal payroll practices, but no less frequently than monthly, which are in the aggregate equal the sum of one year of the Executive’s Base Salary and Target Bonus for the year in which Executive’s termination occurs.</w:t>
      </w:r>
    </w:p>
    <w:p>
      <w:pPr>
        <w:spacing w:after="0" w:line="1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00"/>
          </w:cols>
          <w:pgMar w:left="1420" w:top="274" w:right="479" w:bottom="1440" w:gutter="0" w:footer="0" w:header="0"/>
        </w:sectPr>
      </w:pPr>
    </w:p>
    <w:bookmarkStart w:id="69" w:name="page70"/>
    <w:bookmarkEnd w:id="69"/>
    <w:p>
      <w:pPr>
        <w:ind w:left="980" w:right="180" w:hanging="533"/>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treatment of any outstanding equity awards shall be determined in accordance with the terms of the Omnibus Plan and the applicable award agreements.</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Death or Disability</w:t>
      </w:r>
      <w:r>
        <w:rPr>
          <w:rFonts w:ascii="Arial" w:cs="Arial" w:eastAsia="Arial" w:hAnsi="Arial"/>
          <w:sz w:val="16"/>
          <w:szCs w:val="16"/>
          <w:color w:val="auto"/>
        </w:rPr>
        <w:t>.</w:t>
      </w:r>
    </w:p>
    <w:p>
      <w:pPr>
        <w:spacing w:after="0" w:line="131" w:lineRule="exact"/>
        <w:rPr>
          <w:sz w:val="20"/>
          <w:szCs w:val="20"/>
          <w:color w:val="auto"/>
        </w:rPr>
      </w:pPr>
    </w:p>
    <w:p>
      <w:pPr>
        <w:ind w:left="980" w:right="260" w:hanging="533"/>
        <w:spacing w:after="0" w:line="342"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Executive’s employment hereunder shall terminate automatically upon the Executive’s death during the Employment Term, and the Company may terminate the Executive’s employment on account of the Executive’s Disability or death.</w:t>
      </w:r>
    </w:p>
    <w:p>
      <w:pPr>
        <w:spacing w:after="0" w:line="29" w:lineRule="exact"/>
        <w:rPr>
          <w:rFonts w:ascii="Arial" w:cs="Arial" w:eastAsia="Arial" w:hAnsi="Arial"/>
          <w:sz w:val="16"/>
          <w:szCs w:val="16"/>
          <w:color w:val="auto"/>
        </w:rPr>
      </w:pPr>
    </w:p>
    <w:p>
      <w:pPr>
        <w:ind w:left="980" w:right="60" w:hanging="533"/>
        <w:spacing w:after="0" w:line="342"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29" w:lineRule="exact"/>
        <w:rPr>
          <w:rFonts w:ascii="Arial" w:cs="Arial" w:eastAsia="Arial" w:hAnsi="Arial"/>
          <w:sz w:val="16"/>
          <w:szCs w:val="16"/>
          <w:color w:val="auto"/>
        </w:rPr>
      </w:pPr>
    </w:p>
    <w:p>
      <w:pPr>
        <w:ind w:left="1420" w:hanging="433"/>
        <w:spacing w:after="0"/>
        <w:tabs>
          <w:tab w:leader="none" w:pos="14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Accrued Amounts; and</w:t>
      </w:r>
    </w:p>
    <w:p>
      <w:pPr>
        <w:spacing w:after="0" w:line="130" w:lineRule="exact"/>
        <w:rPr>
          <w:rFonts w:ascii="Arial" w:cs="Arial" w:eastAsia="Arial" w:hAnsi="Arial"/>
          <w:sz w:val="18"/>
          <w:szCs w:val="18"/>
          <w:color w:val="auto"/>
        </w:rPr>
      </w:pPr>
    </w:p>
    <w:p>
      <w:pPr>
        <w:ind w:left="1420" w:right="180" w:hanging="433"/>
        <w:spacing w:after="0" w:line="311" w:lineRule="auto"/>
        <w:tabs>
          <w:tab w:leader="none" w:pos="14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w:t>
      </w:r>
    </w:p>
    <w:p>
      <w:pPr>
        <w:spacing w:after="0" w:line="41"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Notwithstanding any other provision contained herein, all payments made in connection with the Executive’s Disability shall be provided in a manner which is consistent with federal and state law.</w:t>
      </w:r>
    </w:p>
    <w:p>
      <w:pPr>
        <w:spacing w:after="0" w:line="72" w:lineRule="exact"/>
        <w:rPr>
          <w:sz w:val="20"/>
          <w:szCs w:val="20"/>
          <w:color w:val="auto"/>
        </w:rPr>
      </w:pPr>
    </w:p>
    <w:p>
      <w:pPr>
        <w:ind w:left="980" w:hanging="533"/>
        <w:spacing w:after="0" w:line="294" w:lineRule="auto"/>
        <w:tabs>
          <w:tab w:leader="none" w:pos="9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Disability</w:t>
      </w:r>
      <w:r>
        <w:rPr>
          <w:rFonts w:ascii="Arial" w:cs="Arial" w:eastAsia="Arial" w:hAnsi="Arial"/>
          <w:sz w:val="16"/>
          <w:szCs w:val="16"/>
          <w:color w:val="auto"/>
        </w:rPr>
        <w:t>” shall mean the Executive is entitled to receive long-term disability benefits under the Company’s long-term disability plan. Any question as to the existence of the Executive’s Disability as to which the Executive and the Company cannot agree shall be determined in writing by a qualified independent physician mutually acceptable to the Executive and the Company. The determination of Disability shall be made in writing to the Company and the Executive and shall be final and conclusive for all purposes of this Agreement. In the event of Disability, treatment of Equity Awards granted pursuant to Section 4.3 above shall be governed according to the Omnibus Plan.</w:t>
      </w:r>
    </w:p>
    <w:p>
      <w:pPr>
        <w:spacing w:after="0" w:line="6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Notice of Termination</w:t>
      </w:r>
      <w:r>
        <w:rPr>
          <w:rFonts w:ascii="Arial" w:cs="Arial" w:eastAsia="Arial" w:hAnsi="Arial"/>
          <w:sz w:val="16"/>
          <w:szCs w:val="16"/>
          <w:color w:val="auto"/>
        </w:rPr>
        <w:t>.</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termination of the Executive’s employment hereunder by the Company or by the Executive during the Employment Term (other than termination pursuant to 5.3(a) on account of the Executive’s death) shall be communicated by written notice of termination (“</w:t>
      </w:r>
      <w:r>
        <w:rPr>
          <w:rFonts w:ascii="Arial" w:cs="Arial" w:eastAsia="Arial" w:hAnsi="Arial"/>
          <w:sz w:val="18"/>
          <w:szCs w:val="18"/>
          <w:b w:val="1"/>
          <w:bCs w:val="1"/>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w:t>
      </w:r>
      <w:r>
        <w:rPr>
          <w:rFonts w:ascii="Arial" w:cs="Arial" w:eastAsia="Arial" w:hAnsi="Arial"/>
          <w:sz w:val="18"/>
          <w:szCs w:val="18"/>
          <w:color w:val="auto"/>
        </w:rPr>
        <w:t>”) to the other party. The Notice of Termination shall specify:</w:t>
      </w:r>
    </w:p>
    <w:p>
      <w:pPr>
        <w:spacing w:after="0" w:line="89" w:lineRule="exact"/>
        <w:rPr>
          <w:sz w:val="20"/>
          <w:szCs w:val="20"/>
          <w:color w:val="auto"/>
        </w:rPr>
      </w:pPr>
    </w:p>
    <w:p>
      <w:pPr>
        <w:ind w:left="980" w:hanging="533"/>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termination provision of this Agreement relied upon; and</w:t>
      </w:r>
    </w:p>
    <w:p>
      <w:pPr>
        <w:spacing w:after="0" w:line="130" w:lineRule="exact"/>
        <w:rPr>
          <w:rFonts w:ascii="Arial" w:cs="Arial" w:eastAsia="Arial" w:hAnsi="Arial"/>
          <w:sz w:val="18"/>
          <w:szCs w:val="18"/>
          <w:color w:val="auto"/>
        </w:rPr>
      </w:pPr>
    </w:p>
    <w:p>
      <w:pPr>
        <w:ind w:left="980" w:right="880" w:hanging="533"/>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the extent applicable, the facts and circumstances claimed to provide a basis for termination of the Executive’s employment under the provision so indicated.</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Upon termination of the Executive’s employment hereunder for any reason, the Executive agrees to resign or shall be deemed to have resigned from all positions that the Executive holds as an officer or member of the Board (or a committee thereof) of the Company or any of its affiliates.</w:t>
      </w:r>
    </w:p>
    <w:p>
      <w:pPr>
        <w:spacing w:after="0" w:line="1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20" w:top="274" w:right="479" w:bottom="1440" w:gutter="0" w:footer="0" w:header="0"/>
        </w:sectPr>
      </w:pPr>
    </w:p>
    <w:bookmarkStart w:id="70" w:name="page71"/>
    <w:bookmarkEnd w:id="70"/>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p>
    <w:p>
      <w:pPr>
        <w:spacing w:after="0" w:line="13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Definition of Confidential 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spacing w:after="0" w:line="285" w:lineRule="auto"/>
        <w:rPr>
          <w:rFonts w:ascii="Arial" w:cs="Arial" w:eastAsia="Arial" w:hAnsi="Arial"/>
          <w:sz w:val="18"/>
          <w:szCs w:val="18"/>
          <w:color w:val="auto"/>
        </w:rPr>
      </w:pPr>
      <w:r>
        <w:rPr>
          <w:rFonts w:ascii="Arial" w:cs="Arial" w:eastAsia="Arial" w:hAnsi="Arial"/>
          <w:sz w:val="16"/>
          <w:szCs w:val="16"/>
          <w:color w:val="auto"/>
        </w:rPr>
        <w:t>“Confidential Information” refers to an item of information, or a compilation of information, in any form (tangible or intangible), related to the Company’s business that the Company has not made public or authorized public disclosure of, and that is not through proper means readily available to persons outside the Company who are under no obligation to keep it confidential. Confidential Information will not lose its protected status under this Agreement if it becomes known to other persons through improper means such as the unauthorized use or disclosure of the information by Executive or another person. Confidential Information includes, but is not limited to: (i) information related to the Company’s methods of operations, financial information, strategic planning, operations budgets and strategies, payroll data, management systems, programs, computer systems, marketing plans and strategies, and merger and acquisition strategies; (ii) the Company’s business plans and analysis, customer and prospect lists, research and development data, buying practices, methods, techniques, technical data, know-how, innovations, unpatented inventions, and trade secrets; and (iii) information about the business affairs of third parties (including, but not limited to, clients and acquisition targets) that such third parties provide to the Company in confidence. Confidential Information will include trade secrets, but an item of Confidential Information need not qualify as a trade secret to be protected by this Agreement. the Company’s confidential exchange of information with a third party for business purposes will not remove it from protection under this Agreement. The presence of non-confidential items of information within an otherwise confidential compilation of information will not remove the compilation itself from the protection of this Agreement. Executive acknowledges that items of Confidential Information are the Company’s valuable assets and have economic value, actual or potential, because they are not generally known by the public or others who could use them to their own economic benefit and/or to the competitive disadvantage of the Company, and thus, should be treated as the Company’s trade secrets.</w:t>
      </w:r>
    </w:p>
    <w:p>
      <w:pPr>
        <w:spacing w:after="0" w:line="7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Unauthorized Use or Disclosure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60"/>
        <w:spacing w:after="0" w:line="270" w:lineRule="auto"/>
        <w:rPr>
          <w:rFonts w:ascii="Arial" w:cs="Arial" w:eastAsia="Arial" w:hAnsi="Arial"/>
          <w:sz w:val="18"/>
          <w:szCs w:val="18"/>
          <w:color w:val="auto"/>
        </w:rPr>
      </w:pPr>
      <w:r>
        <w:rPr>
          <w:rFonts w:ascii="Arial" w:cs="Arial" w:eastAsia="Arial" w:hAnsi="Arial"/>
          <w:sz w:val="17"/>
          <w:szCs w:val="17"/>
          <w:color w:val="auto"/>
        </w:rPr>
        <w:t>Executive agrees to hold the Company’s Confidential Information in confidence and trust, and not to engage in any unauthorized use or disclosure of such information for so long thereafter as such information qualifies as Confidential Information. If disclosure is compelled by law, Executive will give the Company as much written notice as possible under the circumstances, will refrain from use or disclosure for as long as the law allows, and will cooperate with the Company to protect such information, including taking every reasonable step to protect against unnecessary disclosure. Executive agrees that if he becomes aware of an unauthorized use or disclosure of the Company’s Confidential Information, he will immediately notify TaskUss Legal Department. Nothing contained in this Agreement precludes Executive, or any individual, from communicating with any government agency, including the Securities &amp; Exchange Commission (SEC). This Agreement is intended to supplement and not supersede Executive’s Confidentiality and Inventions Assignment Agreement with the Company.</w:t>
      </w:r>
    </w:p>
    <w:p>
      <w:pPr>
        <w:spacing w:after="0" w:line="82"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Third Party Confidential Information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560" w:right="20"/>
        <w:spacing w:after="0" w:line="275" w:lineRule="auto"/>
        <w:rPr>
          <w:rFonts w:ascii="Arial" w:cs="Arial" w:eastAsia="Arial" w:hAnsi="Arial"/>
          <w:sz w:val="18"/>
          <w:szCs w:val="18"/>
          <w:color w:val="auto"/>
        </w:rPr>
      </w:pPr>
      <w:r>
        <w:rPr>
          <w:rFonts w:ascii="Arial" w:cs="Arial" w:eastAsia="Arial" w:hAnsi="Arial"/>
          <w:sz w:val="17"/>
          <w:szCs w:val="17"/>
          <w:color w:val="auto"/>
        </w:rPr>
        <w:t>Executive recognizes that TaskUs has received and in the future will receive from third parties their confidential or proprietary information (“</w:t>
      </w:r>
      <w:r>
        <w:rPr>
          <w:rFonts w:ascii="Arial" w:cs="Arial" w:eastAsia="Arial" w:hAnsi="Arial"/>
          <w:sz w:val="17"/>
          <w:szCs w:val="17"/>
          <w:u w:val="single" w:color="auto"/>
          <w:color w:val="auto"/>
        </w:rPr>
        <w:t>Third Party Confidential Information</w:t>
      </w:r>
      <w:r>
        <w:rPr>
          <w:rFonts w:ascii="Arial" w:cs="Arial" w:eastAsia="Arial" w:hAnsi="Arial"/>
          <w:sz w:val="17"/>
          <w:szCs w:val="17"/>
          <w:color w:val="auto"/>
        </w:rPr>
        <w:t>”) subject to a duty on TaskUs’ behalf to maintain the confidentiality of such information and to use it only for certain limited purposes. Executive agrees to hold each such Third Party Confidential Information in the strictest confidence and not to disclose it to any person, firm, corporation, or entity in whatever form, or to use it except as necessary in carrying out work for TaskUs consistent with the Company’s agreement with any such third party.</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00"/>
          </w:cols>
          <w:pgMar w:left="860" w:top="270" w:right="439" w:bottom="1440" w:gutter="0" w:footer="0" w:header="0"/>
        </w:sectPr>
      </w:pPr>
    </w:p>
    <w:bookmarkStart w:id="71" w:name="page72"/>
    <w:bookmarkEnd w:id="71"/>
    <w:p>
      <w:pPr>
        <w:ind w:left="5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w:t>
      </w:r>
      <w:r>
        <w:rPr>
          <w:sz w:val="20"/>
          <w:szCs w:val="20"/>
          <w:color w:val="auto"/>
        </w:rPr>
        <w:tab/>
      </w:r>
      <w:r>
        <w:rPr>
          <w:rFonts w:ascii="Arial" w:cs="Arial" w:eastAsia="Arial" w:hAnsi="Arial"/>
          <w:sz w:val="15"/>
          <w:szCs w:val="15"/>
          <w:b w:val="1"/>
          <w:bCs w:val="1"/>
          <w:u w:val="single" w:color="auto"/>
          <w:color w:val="auto"/>
        </w:rPr>
        <w:t>Assignment of Inventions</w:t>
      </w:r>
      <w:r>
        <w:rPr>
          <w:rFonts w:ascii="Arial" w:cs="Arial" w:eastAsia="Arial" w:hAnsi="Arial"/>
          <w:sz w:val="15"/>
          <w:szCs w:val="15"/>
          <w:u w:val="single" w:color="auto"/>
          <w:color w:val="auto"/>
        </w:rPr>
        <w:t>.</w:t>
      </w:r>
    </w:p>
    <w:p>
      <w:pPr>
        <w:spacing w:after="0" w:line="121" w:lineRule="exact"/>
        <w:rPr>
          <w:sz w:val="20"/>
          <w:szCs w:val="20"/>
          <w:color w:val="auto"/>
        </w:rPr>
      </w:pPr>
    </w:p>
    <w:p>
      <w:pPr>
        <w:ind w:left="560" w:right="200"/>
        <w:spacing w:after="0" w:line="290" w:lineRule="auto"/>
        <w:rPr>
          <w:sz w:val="20"/>
          <w:szCs w:val="20"/>
          <w:color w:val="auto"/>
        </w:rPr>
      </w:pPr>
      <w:r>
        <w:rPr>
          <w:rFonts w:ascii="Arial" w:cs="Arial" w:eastAsia="Arial" w:hAnsi="Arial"/>
          <w:sz w:val="16"/>
          <w:szCs w:val="16"/>
          <w:color w:val="auto"/>
        </w:rPr>
        <w:t>Executive hereby acknowledges that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Executive discovered, invented or originated during Executive ’s employment with the Company, or any predecessor entity, either alone or with others and whether or not during working hours or by the use of the facilities of the Company,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are the exclusive property of TaskUs and Executive hereby irrevocably assigns all right, title and interest in and to all Inventions to TaskUs Executive hereby agrees to execute at the request of TaskUs any assignments or other documents that the Company may deem necessary to protect or perfect the rights of the Company therein, and Executive will assist TaskUs at TaskUs’s expense, in obtaining, defending and enforcing TaskUs’ rights therein.</w:t>
      </w:r>
    </w:p>
    <w:p>
      <w:pPr>
        <w:spacing w:after="0" w:line="188"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Post-Employment Restrictions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color w:val="auto"/>
        </w:rPr>
      </w:pPr>
    </w:p>
    <w:p>
      <w:pPr>
        <w:ind w:left="1540" w:right="360" w:hanging="533"/>
        <w:spacing w:after="0" w:line="263"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Look Back Period</w:t>
      </w:r>
      <w:r>
        <w:rPr>
          <w:rFonts w:ascii="Arial" w:cs="Arial" w:eastAsia="Arial" w:hAnsi="Arial"/>
          <w:sz w:val="18"/>
          <w:szCs w:val="18"/>
          <w:color w:val="auto"/>
        </w:rPr>
        <w:t>” shall mean the final two years of employment. References to the end of Executive’s employment or termination of employment in this Agreement refer to the end of employment, regardless of which party terminates the relationship or the reason(s) for such termination.</w:t>
      </w:r>
    </w:p>
    <w:p>
      <w:pPr>
        <w:spacing w:after="0" w:line="89" w:lineRule="exact"/>
        <w:rPr>
          <w:rFonts w:ascii="Arial" w:cs="Arial" w:eastAsia="Arial" w:hAnsi="Arial"/>
          <w:sz w:val="18"/>
          <w:szCs w:val="18"/>
          <w:color w:val="auto"/>
        </w:rPr>
      </w:pPr>
    </w:p>
    <w:p>
      <w:pPr>
        <w:ind w:left="1540" w:hanging="533"/>
        <w:spacing w:after="0" w:line="286" w:lineRule="auto"/>
        <w:tabs>
          <w:tab w:leader="none" w:pos="1540" w:val="left"/>
        </w:tabs>
        <w:numPr>
          <w:ilvl w:val="1"/>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Area</w:t>
      </w:r>
      <w:r>
        <w:rPr>
          <w:rFonts w:ascii="Arial" w:cs="Arial" w:eastAsia="Arial" w:hAnsi="Arial"/>
          <w:sz w:val="17"/>
          <w:szCs w:val="17"/>
          <w:color w:val="auto"/>
        </w:rPr>
        <w:t>” shall mean the territory or territories that Executive was assigned, had responsibilities or duties for, or called on Covered Customers (defined below) within the Look Back Period. If this definition is inapplicable, then “Restricted Area” refers to the United States and each additional country where the Company does business.</w:t>
      </w:r>
    </w:p>
    <w:p>
      <w:pPr>
        <w:spacing w:after="0" w:line="70" w:lineRule="exact"/>
        <w:rPr>
          <w:rFonts w:ascii="Arial" w:cs="Arial" w:eastAsia="Arial" w:hAnsi="Arial"/>
          <w:sz w:val="17"/>
          <w:szCs w:val="17"/>
          <w:color w:val="auto"/>
        </w:rPr>
      </w:pPr>
    </w:p>
    <w:p>
      <w:pPr>
        <w:ind w:left="1540" w:right="40" w:hanging="533"/>
        <w:spacing w:after="0" w:line="259" w:lineRule="auto"/>
        <w:tabs>
          <w:tab w:leader="none" w:pos="15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Solicit</w:t>
      </w:r>
      <w:r>
        <w:rPr>
          <w:rFonts w:ascii="Arial" w:cs="Arial" w:eastAsia="Arial" w:hAnsi="Arial"/>
          <w:sz w:val="18"/>
          <w:szCs w:val="18"/>
          <w:color w:val="auto"/>
        </w:rPr>
        <w:t>” and related terms such as “Soliciting” shall mean to knowingly engage in acts or communications, in person or through others, that are intended to cause, or can reasonably be expected to induce or encourage, a particular responsive action (such as buying a good or service or hiring), regardless of which party first initiates the communication or whether the communication is response to an inquiry or not</w:t>
      </w:r>
      <w:r>
        <w:rPr>
          <w:rFonts w:ascii="Arial" w:cs="Arial" w:eastAsia="Arial" w:hAnsi="Arial"/>
          <w:sz w:val="18"/>
          <w:szCs w:val="18"/>
          <w:b w:val="1"/>
          <w:bCs w:val="1"/>
          <w:color w:val="auto"/>
        </w:rPr>
        <w:t>.</w:t>
      </w:r>
    </w:p>
    <w:p>
      <w:pPr>
        <w:spacing w:after="0" w:line="92" w:lineRule="exact"/>
        <w:rPr>
          <w:rFonts w:ascii="Arial" w:cs="Arial" w:eastAsia="Arial" w:hAnsi="Arial"/>
          <w:sz w:val="18"/>
          <w:szCs w:val="18"/>
          <w:color w:val="auto"/>
        </w:rPr>
      </w:pPr>
    </w:p>
    <w:p>
      <w:pPr>
        <w:ind w:left="1540" w:right="80" w:hanging="533"/>
        <w:spacing w:after="0" w:line="301" w:lineRule="auto"/>
        <w:tabs>
          <w:tab w:leader="none" w:pos="15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Client</w:t>
      </w:r>
      <w:r>
        <w:rPr>
          <w:rFonts w:ascii="Arial" w:cs="Arial" w:eastAsia="Arial" w:hAnsi="Arial"/>
          <w:sz w:val="16"/>
          <w:szCs w:val="16"/>
          <w:color w:val="auto"/>
        </w:rPr>
        <w:t>” shall mean an established client of the Company (person or entity) as to which Executive had business-related contact or dealings or received Confidential Information about during Executive’s employment with the Company. A client will be presumed to be established where actual sales and/or services have occurred or been performed, there is an active proposal for sales or services pending, or sales or services were being negotiated during the Look Back Period.</w:t>
      </w:r>
    </w:p>
    <w:p>
      <w:pPr>
        <w:spacing w:after="0" w:line="62" w:lineRule="exact"/>
        <w:rPr>
          <w:rFonts w:ascii="Arial" w:cs="Arial" w:eastAsia="Arial" w:hAnsi="Arial"/>
          <w:sz w:val="16"/>
          <w:szCs w:val="16"/>
          <w:color w:val="auto"/>
        </w:rPr>
      </w:pPr>
    </w:p>
    <w:p>
      <w:pPr>
        <w:ind w:left="1540" w:hanging="533"/>
        <w:spacing w:after="0" w:line="287" w:lineRule="auto"/>
        <w:tabs>
          <w:tab w:leader="none" w:pos="15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Conflicting Product or Service</w:t>
      </w:r>
      <w:r>
        <w:rPr>
          <w:rFonts w:ascii="Arial" w:cs="Arial" w:eastAsia="Arial" w:hAnsi="Arial"/>
          <w:sz w:val="16"/>
          <w:szCs w:val="16"/>
          <w:color w:val="auto"/>
        </w:rPr>
        <w:t>” shall mean a product and/or service provided by a person or entity other than TaskUs that would replace or compete with a TaskUs product or service (existing or under development) that Executive had material involvement with or was provided Confidential Information about during Executive’s employment with the Company. By way of example, the products and services the Company provides to its clients that Executive is involved in may include but are not limited to content moderation services, digital customer experience services, artificial intelligence operations services, trust and safety services, including anti-money laundering and KYC services, other digital business process outsourcing services, and the provision of information technology or information services to the extent necessary to provide the foregoing. For the sake of clarity, a Conflicting Products or Service is a product or service actually offered or provided by TaskUs to its clients or one that it has plans to offer or provide during Executive’s employment with the Company. Conflicting Products or Services do not include a product or service of TaskUs if TaskUs is no longer in the business of providing such product or service to its customers at the relevant time of enforcement.</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0" w:right="459" w:bottom="1440" w:gutter="0" w:footer="0" w:header="0"/>
        </w:sectPr>
      </w:pPr>
    </w:p>
    <w:bookmarkStart w:id="72" w:name="page73"/>
    <w:bookmarkEnd w:id="72"/>
    <w:p>
      <w:pPr>
        <w:ind w:left="980" w:right="80" w:hanging="533"/>
        <w:spacing w:after="0" w:line="271"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Competing Activities</w:t>
      </w:r>
      <w:r>
        <w:rPr>
          <w:rFonts w:ascii="Arial" w:cs="Arial" w:eastAsia="Arial" w:hAnsi="Arial"/>
          <w:sz w:val="17"/>
          <w:szCs w:val="17"/>
          <w:color w:val="auto"/>
        </w:rPr>
        <w:t>” shall mean any activities or services undertaken on behalf of a competitor (which is understood to mean any person or entity engaged in the business of providing a Conflicting Product or Service) that are: (i) the same or similar in function or purpose to those Executive performed for the Company during the Look Back Period, or (ii) otherwise likely to result in the use or disclosure of Confidential Information. Competing Activities are understood to exclude: activities on behalf of an independently operated subsidiary, division, or unit of a diversified corporation or similar business that has common ownership with a competitor so long as the independently operated business unit does not involve a Conflicting Product or Service; and, a passive and non-controlling ownership interest in a competitor through ownership of less than 2% of the stock in a publicly traded company.</w:t>
      </w:r>
    </w:p>
    <w:p>
      <w:pPr>
        <w:spacing w:after="0" w:line="8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Restriction on Unfair Competition</w:t>
      </w:r>
      <w:r>
        <w:rPr>
          <w:rFonts w:ascii="Arial" w:cs="Arial" w:eastAsia="Arial" w:hAnsi="Arial"/>
          <w:sz w:val="16"/>
          <w:szCs w:val="16"/>
          <w:b w:val="1"/>
          <w:bCs w:val="1"/>
          <w:color w:val="auto"/>
        </w:rPr>
        <w:t>.</w:t>
      </w:r>
    </w:p>
    <w:p>
      <w:pPr>
        <w:spacing w:after="0" w:line="1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Executive agrees that during Executive</w:t>
      </w:r>
      <w:r>
        <w:rPr>
          <w:rFonts w:ascii="Arial" w:cs="Arial" w:eastAsia="Arial" w:hAnsi="Arial"/>
          <w:sz w:val="18"/>
          <w:szCs w:val="18"/>
          <w:b w:val="1"/>
          <w:bCs w:val="1"/>
          <w:color w:val="auto"/>
        </w:rPr>
        <w:t>’s</w:t>
      </w:r>
      <w:r>
        <w:rPr>
          <w:rFonts w:ascii="Arial" w:cs="Arial" w:eastAsia="Arial" w:hAnsi="Arial"/>
          <w:sz w:val="18"/>
          <w:szCs w:val="18"/>
          <w:color w:val="auto"/>
        </w:rPr>
        <w:t xml:space="preserve"> employment with the Company and for a period of one year thereafter, Executive will not participate in, supervise, or manage (as an employee, consultant, contractor, officer, owner, director, or otherwise) Competing Activities in the Restricted Area. The Parties agree this restriction is necessary to protect trade secrets, Confidential Information, goodwill, and other legitimate business interests of the Company.</w:t>
      </w:r>
    </w:p>
    <w:p>
      <w:pPr>
        <w:spacing w:after="0" w:line="8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Restriction on Interfering with Employee Relationships</w:t>
      </w:r>
      <w:r>
        <w:rPr>
          <w:rFonts w:ascii="Arial" w:cs="Arial" w:eastAsia="Arial" w:hAnsi="Arial"/>
          <w:sz w:val="16"/>
          <w:szCs w:val="16"/>
          <w:color w:val="auto"/>
        </w:rPr>
        <w: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Executive agrees that during Executive’s employment with the Company and for a period of two (2) years thereafter, Executive will not Solicit any employee of the Company that Executive has knowledge of through employment with the Company to terminate his or her employment with the Company. The restriction in this Section is necessary to protect Confidential Information, workforce stability, and other legitimate business interests, and to prevent unfair competition. Nothing herein is intended to be construed as a prohibition against general advertising such as “help wanted” ads that are not targeted at TaskUs’ employees. The Parties agree this restriction is inherently reasonable in geography because it is limited to the places or locations where the employees that Executive has knowledge of are located; however, if an additional geographic limitation is needed in order for the foregoing restriction to be enforceable, then it shall be considered limited to the Restricted Area. In the event TaskUs loses an employee due, in whole or in part, to conduct by Executive that violates this Agreement prior to the issuance of injunctive relief, Executive shall pay the Company a sum equal to thirty percent (30%) of the annual wages of the person(s) who were improperly solicited and left TaskUs, based on such person’s last rate of pay with TaskUs. This payment shall not preclude or act as a substitute for any remedy that would otherwise be available, including but not limited to, injunctive relief to prevent further violations.</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Restriction on Interfering with Customer Relationships</w:t>
      </w:r>
      <w:r>
        <w:rPr>
          <w:rFonts w:ascii="Arial" w:cs="Arial" w:eastAsia="Arial" w:hAnsi="Arial"/>
          <w:sz w:val="16"/>
          <w:szCs w:val="16"/>
          <w:color w:val="auto"/>
        </w:rPr>
        <w: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Executive agrees that during Executive’s employment with the Company and for a period of two (2) years thereafter, Executive will not directly or indirectly, Solicit a Covered Client to (i) cease or reduce doing business with TaskUs or (ii) purchase a Conflicting Product or Service. Executive understands and agrees that this restriction is necessary to protect trade secrets, Confidential Information, goodwill, and other legitimate business interests of the Company. The parties agree this restriction is inherently reasonable in geography because it is limited to the places or locations where the Covered Customer is doing business at the time; however, if an additional geographic limitation is needed in order for the foregoing restriction to be enforceable, then it shall be considered limited to the Restricted Area.</w:t>
      </w:r>
    </w:p>
    <w:p>
      <w:pPr>
        <w:spacing w:after="0" w:line="9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73" w:name="page74"/>
    <w:bookmarkEnd w:id="73"/>
    <w:p>
      <w:pPr>
        <w:ind w:left="5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7.5</w:t>
      </w:r>
      <w:r>
        <w:rPr>
          <w:sz w:val="20"/>
          <w:szCs w:val="20"/>
          <w:color w:val="auto"/>
        </w:rPr>
        <w:tab/>
      </w:r>
      <w:r>
        <w:rPr>
          <w:rFonts w:ascii="Arial" w:cs="Arial" w:eastAsia="Arial" w:hAnsi="Arial"/>
          <w:sz w:val="15"/>
          <w:szCs w:val="15"/>
          <w:u w:val="single" w:color="auto"/>
          <w:color w:val="auto"/>
        </w:rPr>
        <w:t>Reasonableness of Covenants</w:t>
      </w:r>
      <w:r>
        <w:rPr>
          <w:rFonts w:ascii="Arial" w:cs="Arial" w:eastAsia="Arial" w:hAnsi="Arial"/>
          <w:sz w:val="15"/>
          <w:szCs w:val="15"/>
          <w:color w:val="auto"/>
        </w:rPr>
        <w:t>.</w:t>
      </w:r>
    </w:p>
    <w:p>
      <w:pPr>
        <w:spacing w:after="0" w:line="117"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Executive acknowledges and agrees that the covenants in this Agreement are reasonable and valid in geographical and temporal scope and in all other respects.</w:t>
      </w:r>
    </w:p>
    <w:p>
      <w:pPr>
        <w:spacing w:after="0" w:line="7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u w:val="single" w:color="auto"/>
          <w:color w:val="auto"/>
        </w:rPr>
        <w:t>Tolling</w:t>
      </w:r>
      <w:r>
        <w:rPr>
          <w:rFonts w:ascii="Arial" w:cs="Arial" w:eastAsia="Arial" w:hAnsi="Arial"/>
          <w:sz w:val="17"/>
          <w:szCs w:val="17"/>
          <w:color w:val="auto"/>
        </w:rPr>
        <w:t>.</w:t>
      </w:r>
    </w:p>
    <w:p>
      <w:pPr>
        <w:spacing w:after="0" w:line="117" w:lineRule="exact"/>
        <w:rPr>
          <w:sz w:val="20"/>
          <w:szCs w:val="20"/>
          <w:color w:val="auto"/>
        </w:rPr>
      </w:pPr>
    </w:p>
    <w:p>
      <w:pPr>
        <w:ind w:left="560" w:right="140"/>
        <w:spacing w:after="0" w:line="311" w:lineRule="auto"/>
        <w:rPr>
          <w:sz w:val="20"/>
          <w:szCs w:val="20"/>
          <w:color w:val="auto"/>
        </w:rPr>
      </w:pPr>
      <w:r>
        <w:rPr>
          <w:rFonts w:ascii="Arial" w:cs="Arial" w:eastAsia="Arial" w:hAnsi="Arial"/>
          <w:sz w:val="16"/>
          <w:szCs w:val="16"/>
          <w:color w:val="auto"/>
        </w:rPr>
        <w:t>If Executive violates one of the restrictions in this Agreement that contains a time limitation, the time period for the restriction at issue shall be extended by one day for each day Executive remains in violation of the restriction; provided, however, that this extension of time shall be capped so that once Executive has complied with the restriction for the originally proscribed length of time it shall expire.</w:t>
      </w:r>
    </w:p>
    <w:p>
      <w:pPr>
        <w:spacing w:after="0" w:line="50"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p>
    <w:p>
      <w:pPr>
        <w:spacing w:after="0" w:line="117" w:lineRule="exact"/>
        <w:rPr>
          <w:sz w:val="20"/>
          <w:szCs w:val="20"/>
          <w:color w:val="auto"/>
        </w:rPr>
      </w:pPr>
    </w:p>
    <w:p>
      <w:pPr>
        <w:ind w:left="20" w:right="100"/>
        <w:spacing w:after="0" w:line="266" w:lineRule="auto"/>
        <w:rPr>
          <w:sz w:val="20"/>
          <w:szCs w:val="20"/>
          <w:color w:val="auto"/>
        </w:rPr>
      </w:pPr>
      <w:r>
        <w:rPr>
          <w:rFonts w:ascii="Arial" w:cs="Arial" w:eastAsia="Arial" w:hAnsi="Arial"/>
          <w:sz w:val="18"/>
          <w:szCs w:val="18"/>
          <w:b w:val="1"/>
          <w:bCs w:val="1"/>
          <w:color w:val="auto"/>
        </w:rPr>
        <w:t xml:space="preserve">Before </w:t>
      </w:r>
      <w:r>
        <w:rPr>
          <w:rFonts w:ascii="Arial" w:cs="Arial" w:eastAsia="Arial" w:hAnsi="Arial"/>
          <w:sz w:val="18"/>
          <w:szCs w:val="18"/>
          <w:color w:val="auto"/>
        </w:rPr>
        <w:t>accepting new employment, Executive will advise any such future employer of the restrictions in this Agreement. Executive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advise any such future employer or prospective employer of this Agreement and its position on the potential application of this Agreement without such giving rise to any legal claim.</w:t>
      </w:r>
    </w:p>
    <w:p>
      <w:pPr>
        <w:spacing w:after="0" w:line="81"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for Breach</w:t>
      </w:r>
      <w:r>
        <w:rPr>
          <w:rFonts w:ascii="Arial" w:cs="Arial" w:eastAsia="Arial" w:hAnsi="Arial"/>
          <w:sz w:val="18"/>
          <w:szCs w:val="18"/>
          <w:b w:val="1"/>
          <w:bCs w:val="1"/>
          <w:color w:val="auto"/>
        </w:rPr>
        <w:t>.</w:t>
      </w:r>
    </w:p>
    <w:p>
      <w:pPr>
        <w:spacing w:after="0" w:line="121"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If Executive breaches or threatens to breach any of the provisions of this Agreement, the Company shall have the following rights and remedies, in addition to any others, each of which shall be independent of the other and severally enforceable:</w:t>
      </w:r>
    </w:p>
    <w:p>
      <w:pPr>
        <w:spacing w:after="0" w:line="76" w:lineRule="exact"/>
        <w:rPr>
          <w:sz w:val="20"/>
          <w:szCs w:val="20"/>
          <w:color w:val="auto"/>
        </w:rPr>
      </w:pPr>
    </w:p>
    <w:p>
      <w:pPr>
        <w:ind w:left="1000" w:hanging="431"/>
        <w:spacing w:after="0" w:line="275" w:lineRule="auto"/>
        <w:tabs>
          <w:tab w:leader="none" w:pos="9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The right to an injunction restraining such breach or threatened breach and to have the provisions of this Agreement specifically enforced by a court of competent jurisdiction, it being acknowledged and agreed that any such breach or threatened breach will cause irreparable injury to the Company and that money damages will not provide an adequate remedy, and that no bond or other security shall be required in obtaining such equitable relief, provided however, that if the posting of a bond is required by law for injunctive relief to issue then a bond of $1,000 shall be deemed a reasonable bond; and</w:t>
      </w:r>
    </w:p>
    <w:p>
      <w:pPr>
        <w:spacing w:after="0" w:line="82" w:lineRule="exact"/>
        <w:rPr>
          <w:sz w:val="20"/>
          <w:szCs w:val="20"/>
          <w:color w:val="auto"/>
        </w:rPr>
      </w:pPr>
    </w:p>
    <w:p>
      <w:pPr>
        <w:ind w:left="1000" w:right="100" w:hanging="431"/>
        <w:spacing w:after="0" w:line="277" w:lineRule="auto"/>
        <w:tabs>
          <w:tab w:leader="none" w:pos="980" w:val="left"/>
        </w:tabs>
        <w:rPr>
          <w:sz w:val="20"/>
          <w:szCs w:val="20"/>
          <w:color w:val="auto"/>
        </w:rPr>
      </w:pPr>
      <w:r>
        <w:rPr>
          <w:rFonts w:ascii="Arial" w:cs="Arial" w:eastAsia="Arial" w:hAnsi="Arial"/>
          <w:sz w:val="18"/>
          <w:szCs w:val="18"/>
          <w:color w:val="auto"/>
        </w:rPr>
        <w:t>9.2</w:t>
        <w:tab/>
        <w:t>The right and remedy to require Executive to account for and repay to the Company the severance described in Section 4.3 above, if any.</w:t>
      </w:r>
    </w:p>
    <w:p>
      <w:pPr>
        <w:spacing w:after="0" w:line="76" w:lineRule="exact"/>
        <w:rPr>
          <w:sz w:val="20"/>
          <w:szCs w:val="20"/>
          <w:color w:val="auto"/>
        </w:rPr>
      </w:pPr>
    </w:p>
    <w:p>
      <w:pPr>
        <w:ind w:left="1000" w:right="480" w:hanging="431"/>
        <w:spacing w:after="0" w:line="263" w:lineRule="auto"/>
        <w:tabs>
          <w:tab w:leader="none" w:pos="980" w:val="left"/>
        </w:tabs>
        <w:rPr>
          <w:sz w:val="20"/>
          <w:szCs w:val="20"/>
          <w:color w:val="auto"/>
        </w:rPr>
      </w:pPr>
      <w:r>
        <w:rPr>
          <w:rFonts w:ascii="Arial" w:cs="Arial" w:eastAsia="Arial" w:hAnsi="Arial"/>
          <w:sz w:val="18"/>
          <w:szCs w:val="18"/>
          <w:color w:val="auto"/>
        </w:rPr>
        <w:t>9.3</w:t>
        <w:tab/>
        <w:t>In accordance with the terms of the Omnibus Plan, the right to cancel any of the Executive’s outstanding awards or provide for forfeiture and repayment to the Company on any gain realized on the vesting or exercise of any awards previously granted to Executive.</w:t>
      </w:r>
    </w:p>
    <w:p>
      <w:pPr>
        <w:spacing w:after="0" w:line="85" w:lineRule="exact"/>
        <w:rPr>
          <w:sz w:val="20"/>
          <w:szCs w:val="20"/>
          <w:color w:val="auto"/>
        </w:rPr>
      </w:pPr>
    </w:p>
    <w:p>
      <w:pPr>
        <w:ind w:left="1000" w:hanging="431"/>
        <w:spacing w:after="0" w:line="269" w:lineRule="auto"/>
        <w:tabs>
          <w:tab w:leader="none" w:pos="9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b w:val="1"/>
          <w:bCs w:val="1"/>
          <w:u w:val="single" w:color="auto"/>
          <w:color w:val="auto"/>
        </w:rPr>
        <w:t xml:space="preserve">Survival. </w:t>
      </w:r>
      <w:r>
        <w:rPr>
          <w:rFonts w:ascii="Arial" w:cs="Arial" w:eastAsia="Arial" w:hAnsi="Arial"/>
          <w:sz w:val="17"/>
          <w:szCs w:val="17"/>
          <w:color w:val="auto"/>
        </w:rPr>
        <w:t>The post-employment restrictions provided for in this Agreement shall survive the termination of Executive’s employment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with the Company regardless of the cause of the termination. All of the restrictive covenants in this Agreement shall be construed as independent agreements; and, the existence of any claim or cause of action against the Company, whether predicated on this Agreement or otherwise, shall not constitute a defense to the enforcement by the Company of any of Executive’s obligations under this Agreement. If a court determines that a restriction provided for herein cannot be enforced as written due to over breadth (such as time, scope of activity, or geography) within the relevant jurisdiction, the court will (for purposes of that jurisdiction) enforce the restrictions to such lesser extent as is allowed by law and/or reform the restriction where such is necessary to make it enforceable to protect the Company’s legitimate business interests. If, despite the foregoing, any provision contained in this Agreement is determined to be void, illegal or unenforceable, in whole or in part, then the other provisions contained herein shall remain in full force and effect as if the provision that was determined to be void, illegal, or unenforceable had not been contained herein. Any waiver by the Company of a breach of any provision of this Agreement shall not operate or be construed as waiver of any subsequent breach hereof.</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860" w:top="274" w:right="439" w:bottom="1440" w:gutter="0" w:footer="0" w:header="0"/>
        </w:sectPr>
      </w:pPr>
    </w:p>
    <w:bookmarkStart w:id="74" w:name="page75"/>
    <w:bookmarkEnd w:id="74"/>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Arbitration</w:t>
      </w:r>
      <w:r>
        <w:rPr>
          <w:rFonts w:ascii="Arial" w:cs="Arial" w:eastAsia="Arial" w:hAnsi="Arial"/>
          <w:sz w:val="18"/>
          <w:szCs w:val="18"/>
          <w:color w:val="auto"/>
        </w:rPr>
        <w:t>.</w:t>
      </w:r>
    </w:p>
    <w:p>
      <w:pPr>
        <w:spacing w:after="0" w:line="117" w:lineRule="exact"/>
        <w:rPr>
          <w:sz w:val="20"/>
          <w:szCs w:val="20"/>
          <w:color w:val="auto"/>
        </w:rPr>
      </w:pPr>
    </w:p>
    <w:p>
      <w:pPr>
        <w:ind w:left="20" w:right="320"/>
        <w:spacing w:after="0" w:line="257" w:lineRule="auto"/>
        <w:rPr>
          <w:sz w:val="20"/>
          <w:szCs w:val="20"/>
          <w:color w:val="auto"/>
        </w:rPr>
      </w:pPr>
      <w:r>
        <w:rPr>
          <w:rFonts w:ascii="Arial" w:cs="Arial" w:eastAsia="Arial" w:hAnsi="Arial"/>
          <w:sz w:val="18"/>
          <w:szCs w:val="18"/>
          <w:color w:val="auto"/>
        </w:rPr>
        <w:t>Any dispute, controversy, or claim arising out of or related to the Executive’s employment by the Company, or termination of employment, including but not limited to claims arising under or related to this Agreement or any breach of this Agreement, and any alleged violation of federal, state, or local statute, regulation, common law, or public policy, shall be submitted to and decided by binding arbitration in accordance with the Alternative Dispute Resolution &amp; Mutual Arbitration Agreement between the Parties (the “Arbitration Agreement”). The Arbitration Agreement is incorporated herein by reference.</w:t>
      </w:r>
    </w:p>
    <w:p>
      <w:pPr>
        <w:spacing w:after="0" w:line="215" w:lineRule="exact"/>
        <w:rPr>
          <w:sz w:val="20"/>
          <w:szCs w:val="20"/>
          <w:color w:val="auto"/>
        </w:rPr>
      </w:pPr>
    </w:p>
    <w:p>
      <w:pPr>
        <w:ind w:left="540" w:hanging="532"/>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and Venue</w:t>
      </w:r>
      <w:r>
        <w:rPr>
          <w:rFonts w:ascii="Arial" w:cs="Arial" w:eastAsia="Arial" w:hAnsi="Arial"/>
          <w:sz w:val="18"/>
          <w:szCs w:val="18"/>
          <w:color w:val="auto"/>
        </w:rPr>
        <w:t>. This Agreement, for all purposes, shall be construed in accordance with the laws of Texas without regard to conflicts of law principles.</w:t>
      </w:r>
    </w:p>
    <w:p>
      <w:pPr>
        <w:spacing w:after="0" w:line="197" w:lineRule="exact"/>
        <w:rPr>
          <w:rFonts w:ascii="Arial" w:cs="Arial" w:eastAsia="Arial" w:hAnsi="Arial"/>
          <w:sz w:val="18"/>
          <w:szCs w:val="18"/>
          <w:color w:val="auto"/>
        </w:rPr>
      </w:pPr>
    </w:p>
    <w:p>
      <w:pPr>
        <w:ind w:left="540" w:right="140" w:hanging="532"/>
        <w:spacing w:after="0" w:line="279"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Unless specifically provided herein, this Agreement, together with the Arbitration Agreement and any confidentiality agreement between the Executive and the Company,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198" w:lineRule="exact"/>
        <w:rPr>
          <w:rFonts w:ascii="Arial" w:cs="Arial" w:eastAsia="Arial" w:hAnsi="Arial"/>
          <w:sz w:val="17"/>
          <w:szCs w:val="17"/>
          <w:color w:val="auto"/>
        </w:rPr>
      </w:pPr>
    </w:p>
    <w:p>
      <w:pPr>
        <w:ind w:left="540" w:right="60" w:hanging="532"/>
        <w:spacing w:after="0" w:line="279"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provision of this Agreement may be amended or modified unless such amendment or modification is agreed to in writing and signed by the Executive and by the Chief Executive Officer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98" w:lineRule="exact"/>
        <w:rPr>
          <w:rFonts w:ascii="Arial" w:cs="Arial" w:eastAsia="Arial" w:hAnsi="Arial"/>
          <w:sz w:val="17"/>
          <w:szCs w:val="17"/>
          <w:color w:val="auto"/>
        </w:rPr>
      </w:pPr>
    </w:p>
    <w:p>
      <w:pPr>
        <w:ind w:left="540" w:right="120" w:hanging="532"/>
        <w:spacing w:after="0" w:line="311"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75" w:lineRule="exact"/>
        <w:rPr>
          <w:rFonts w:ascii="Arial" w:cs="Arial" w:eastAsia="Arial" w:hAnsi="Arial"/>
          <w:sz w:val="16"/>
          <w:szCs w:val="16"/>
          <w:color w:val="auto"/>
        </w:rPr>
      </w:pPr>
    </w:p>
    <w:p>
      <w:pPr>
        <w:ind w:left="540" w:right="80" w:hanging="532"/>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97"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taken together shall constitute one and the same instrument.</w:t>
      </w:r>
    </w:p>
    <w:p>
      <w:pPr>
        <w:spacing w:after="0" w:line="197" w:lineRule="exact"/>
        <w:rPr>
          <w:rFonts w:ascii="Arial" w:cs="Arial" w:eastAsia="Arial" w:hAnsi="Arial"/>
          <w:sz w:val="18"/>
          <w:szCs w:val="18"/>
          <w:color w:val="auto"/>
        </w:rPr>
      </w:pPr>
    </w:p>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General Compliance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100"/>
        <w:spacing w:after="0" w:line="272" w:lineRule="auto"/>
        <w:rPr>
          <w:rFonts w:ascii="Arial" w:cs="Arial" w:eastAsia="Arial" w:hAnsi="Arial"/>
          <w:sz w:val="18"/>
          <w:szCs w:val="18"/>
          <w:color w:val="auto"/>
        </w:rPr>
      </w:pPr>
      <w:r>
        <w:rPr>
          <w:rFonts w:ascii="Arial" w:cs="Arial" w:eastAsia="Arial" w:hAnsi="Arial"/>
          <w:sz w:val="17"/>
          <w:szCs w:val="17"/>
          <w:color w:val="auto"/>
        </w:rPr>
        <w:t>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00"/>
          </w:cols>
          <w:pgMar w:left="860" w:top="274" w:right="439" w:bottom="1440" w:gutter="0" w:footer="0" w:header="0"/>
        </w:sectPr>
      </w:pPr>
    </w:p>
    <w:bookmarkStart w:id="75" w:name="page76"/>
    <w:bookmarkEnd w:id="75"/>
    <w:p>
      <w:pPr>
        <w:ind w:left="552"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79" w:lineRule="exact"/>
        <w:rPr>
          <w:sz w:val="20"/>
          <w:szCs w:val="20"/>
          <w:color w:val="auto"/>
        </w:rPr>
      </w:pPr>
    </w:p>
    <w:p>
      <w:pPr>
        <w:ind w:left="552"/>
        <w:spacing w:after="0" w:line="270" w:lineRule="auto"/>
        <w:rPr>
          <w:sz w:val="20"/>
          <w:szCs w:val="20"/>
          <w:color w:val="auto"/>
        </w:rPr>
      </w:pPr>
      <w:r>
        <w:rPr>
          <w:rFonts w:ascii="Arial" w:cs="Arial" w:eastAsia="Arial" w:hAnsi="Arial"/>
          <w:sz w:val="17"/>
          <w:szCs w:val="17"/>
          <w:u w:val="single" w:color="auto"/>
          <w:color w:val="auto"/>
        </w:rPr>
        <w:t>Specified Employees</w:t>
      </w:r>
      <w:r>
        <w:rPr>
          <w:rFonts w:ascii="Arial" w:cs="Arial" w:eastAsia="Arial" w:hAnsi="Arial"/>
          <w:sz w:val="17"/>
          <w:szCs w:val="17"/>
          <w:color w:val="auto"/>
        </w:rPr>
        <w:t>. Notwithstanding any other provision of this Agreement, if any payment or benefit provided to the Executive in connection with his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w:t>
      </w:r>
      <w:r>
        <w:rPr>
          <w:rFonts w:ascii="Arial" w:cs="Arial" w:eastAsia="Arial" w:hAnsi="Arial"/>
          <w:sz w:val="17"/>
          <w:szCs w:val="17"/>
          <w:b w:val="1"/>
          <w:bCs w:val="1"/>
          <w:color w:val="auto"/>
        </w:rPr>
        <w:t>Specified Employee Payment Date</w:t>
      </w:r>
      <w:r>
        <w:rPr>
          <w:rFonts w:ascii="Arial" w:cs="Arial" w:eastAsia="Arial" w:hAnsi="Arial"/>
          <w:sz w:val="17"/>
          <w:szCs w:val="17"/>
          <w:color w:val="auto"/>
        </w:rPr>
        <w:t>”). The aggregate of any payments that would otherwise have been paid before the Specified Employee Payment Date [and interest on such amounts calculated based on the applicable federal rate published by the Internal Revenue Service for the month in which the Executive’s separation from service occurs] shall be paid to the Executive in a lump sum on the Specified Employee Payment Date and thereafter, any remaining payments shall be paid without delay in accordance with their original schedule.</w:t>
      </w:r>
    </w:p>
    <w:p>
      <w:pPr>
        <w:spacing w:after="0" w:line="86" w:lineRule="exact"/>
        <w:rPr>
          <w:sz w:val="20"/>
          <w:szCs w:val="20"/>
          <w:color w:val="auto"/>
        </w:rPr>
      </w:pPr>
    </w:p>
    <w:p>
      <w:pPr>
        <w:ind w:left="992" w:right="260" w:hanging="431"/>
        <w:spacing w:after="0" w:line="277" w:lineRule="auto"/>
        <w:rPr>
          <w:sz w:val="20"/>
          <w:szCs w:val="20"/>
          <w:color w:val="auto"/>
        </w:rPr>
      </w:pPr>
      <w:r>
        <w:rPr>
          <w:rFonts w:ascii="Arial" w:cs="Arial" w:eastAsia="Arial" w:hAnsi="Arial"/>
          <w:sz w:val="18"/>
          <w:szCs w:val="18"/>
          <w:color w:val="auto"/>
        </w:rPr>
        <w:t>17.2 Reimbursements. To the extent required by Section 409A, each reimbursement or in-kind benefit provided under this Agreement shall be provided in accordance with the following:</w:t>
      </w:r>
    </w:p>
    <w:p>
      <w:pPr>
        <w:spacing w:after="0" w:line="76" w:lineRule="exact"/>
        <w:rPr>
          <w:sz w:val="20"/>
          <w:szCs w:val="20"/>
          <w:color w:val="auto"/>
        </w:rPr>
      </w:pPr>
    </w:p>
    <w:p>
      <w:pPr>
        <w:ind w:left="1532" w:right="20" w:hanging="533"/>
        <w:spacing w:after="0" w:line="308" w:lineRule="auto"/>
        <w:tabs>
          <w:tab w:leader="none" w:pos="1532"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51" w:lineRule="exact"/>
        <w:rPr>
          <w:rFonts w:ascii="Arial" w:cs="Arial" w:eastAsia="Arial" w:hAnsi="Arial"/>
          <w:sz w:val="17"/>
          <w:szCs w:val="17"/>
          <w:color w:val="auto"/>
        </w:rPr>
      </w:pPr>
    </w:p>
    <w:p>
      <w:pPr>
        <w:ind w:left="1532" w:right="540" w:hanging="533"/>
        <w:spacing w:after="0" w:line="277" w:lineRule="auto"/>
        <w:tabs>
          <w:tab w:leader="none" w:pos="15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reimbursement of an eligible expense shall be paid to the Executive on or before the last day of the calendar year following the calendar year in which the expense was incurred; and</w:t>
      </w:r>
    </w:p>
    <w:p>
      <w:pPr>
        <w:spacing w:after="0" w:line="75" w:lineRule="exact"/>
        <w:rPr>
          <w:rFonts w:ascii="Arial" w:cs="Arial" w:eastAsia="Arial" w:hAnsi="Arial"/>
          <w:sz w:val="18"/>
          <w:szCs w:val="18"/>
          <w:color w:val="auto"/>
        </w:rPr>
      </w:pPr>
    </w:p>
    <w:p>
      <w:pPr>
        <w:ind w:left="1532" w:right="360" w:hanging="533"/>
        <w:spacing w:after="0" w:line="277" w:lineRule="auto"/>
        <w:tabs>
          <w:tab w:leader="none" w:pos="15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right to reimbursements or in-kind benefits under this Agreement shall not be subject to liquidation or exchange for another benefit.</w:t>
      </w:r>
    </w:p>
    <w:p>
      <w:pPr>
        <w:spacing w:after="0" w:line="75" w:lineRule="exact"/>
        <w:rPr>
          <w:rFonts w:ascii="Arial" w:cs="Arial" w:eastAsia="Arial" w:hAnsi="Arial"/>
          <w:sz w:val="18"/>
          <w:szCs w:val="18"/>
          <w:color w:val="auto"/>
        </w:rPr>
      </w:pPr>
    </w:p>
    <w:p>
      <w:pPr>
        <w:ind w:left="532" w:right="120" w:hanging="532"/>
        <w:spacing w:after="0" w:line="257" w:lineRule="auto"/>
        <w:tabs>
          <w:tab w:leader="none" w:pos="5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93" w:lineRule="exact"/>
        <w:rPr>
          <w:rFonts w:ascii="Arial" w:cs="Arial" w:eastAsia="Arial" w:hAnsi="Arial"/>
          <w:sz w:val="18"/>
          <w:szCs w:val="18"/>
          <w:color w:val="auto"/>
        </w:rPr>
      </w:pPr>
    </w:p>
    <w:p>
      <w:pPr>
        <w:jc w:val="both"/>
        <w:ind w:left="532" w:right="300" w:hanging="532"/>
        <w:spacing w:after="0" w:line="263" w:lineRule="auto"/>
        <w:tabs>
          <w:tab w:leader="none" w:pos="5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142875</wp:posOffset>
            </wp:positionV>
            <wp:extent cx="7003415" cy="1131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003415" cy="1131570"/>
                    </a:xfrm>
                    <a:prstGeom prst="rect">
                      <a:avLst/>
                    </a:prstGeom>
                    <a:noFill/>
                  </pic:spPr>
                </pic:pic>
              </a:graphicData>
            </a:graphic>
          </wp:anchor>
        </w:drawing>
      </w:r>
    </w:p>
    <w:p>
      <w:pPr>
        <w:sectPr>
          <w:pgSz w:w="11900" w:h="16838" w:orient="portrait"/>
          <w:cols w:equalWidth="0" w:num="1">
            <w:col w:w="10512"/>
          </w:cols>
          <w:pgMar w:left="868" w:top="274" w:right="519" w:bottom="1440" w:gutter="0" w:footer="0" w:header="0"/>
        </w:sectPr>
      </w:pPr>
    </w:p>
    <w:p>
      <w:pPr>
        <w:spacing w:after="0" w:line="31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812"/>
        <w:spacing w:after="0"/>
        <w:rPr>
          <w:sz w:val="20"/>
          <w:szCs w:val="20"/>
          <w:color w:val="auto"/>
        </w:rPr>
      </w:pPr>
      <w:r>
        <w:rPr>
          <w:rFonts w:ascii="Arial" w:cs="Arial" w:eastAsia="Arial" w:hAnsi="Arial"/>
          <w:sz w:val="18"/>
          <w:szCs w:val="18"/>
          <w:color w:val="auto"/>
        </w:rPr>
        <w:t>TaskUs Holdings, Inc.</w:t>
      </w:r>
    </w:p>
    <w:p>
      <w:pPr>
        <w:spacing w:after="0" w:line="23" w:lineRule="exact"/>
        <w:rPr>
          <w:sz w:val="20"/>
          <w:szCs w:val="20"/>
          <w:color w:val="auto"/>
        </w:rPr>
      </w:pPr>
    </w:p>
    <w:p>
      <w:pPr>
        <w:ind w:left="812"/>
        <w:spacing w:after="0"/>
        <w:rPr>
          <w:sz w:val="20"/>
          <w:szCs w:val="20"/>
          <w:color w:val="auto"/>
        </w:rPr>
      </w:pPr>
      <w:r>
        <w:rPr>
          <w:rFonts w:ascii="Arial" w:cs="Arial" w:eastAsia="Arial" w:hAnsi="Arial"/>
          <w:sz w:val="18"/>
          <w:szCs w:val="18"/>
          <w:color w:val="auto"/>
        </w:rPr>
        <w:t>c/o Chief Executive Officer</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6"/>
          <w:szCs w:val="16"/>
          <w:color w:val="auto"/>
        </w:rPr>
        <w:t>1650 New Independence Drive</w:t>
      </w:r>
    </w:p>
    <w:p>
      <w:pPr>
        <w:spacing w:after="0" w:line="32" w:lineRule="exact"/>
        <w:rPr>
          <w:sz w:val="20"/>
          <w:szCs w:val="20"/>
          <w:color w:val="auto"/>
        </w:rPr>
      </w:pPr>
    </w:p>
    <w:p>
      <w:pPr>
        <w:ind w:left="812"/>
        <w:spacing w:after="0"/>
        <w:rPr>
          <w:sz w:val="20"/>
          <w:szCs w:val="20"/>
          <w:color w:val="auto"/>
        </w:rPr>
      </w:pPr>
      <w:r>
        <w:rPr>
          <w:rFonts w:ascii="Arial" w:cs="Arial" w:eastAsia="Arial" w:hAnsi="Arial"/>
          <w:sz w:val="17"/>
          <w:szCs w:val="17"/>
          <w:color w:val="auto"/>
        </w:rPr>
        <w:t>New Braunfels, Texas 78132</w:t>
      </w:r>
    </w:p>
    <w:p>
      <w:pPr>
        <w:spacing w:after="0" w:line="21" w:lineRule="exact"/>
        <w:rPr>
          <w:sz w:val="20"/>
          <w:szCs w:val="20"/>
          <w:color w:val="auto"/>
        </w:rPr>
      </w:pPr>
    </w:p>
    <w:p>
      <w:pPr>
        <w:ind w:left="812"/>
        <w:spacing w:after="0"/>
        <w:rPr>
          <w:sz w:val="20"/>
          <w:szCs w:val="20"/>
          <w:color w:val="auto"/>
        </w:rPr>
      </w:pPr>
      <w:r>
        <w:rPr>
          <w:rFonts w:ascii="Arial" w:cs="Arial" w:eastAsia="Arial" w:hAnsi="Arial"/>
          <w:sz w:val="18"/>
          <w:szCs w:val="18"/>
          <w:color w:val="auto"/>
        </w:rPr>
        <w:t>bryce@taskus.com</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If to the Executive: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Balaji@taskus.com</w:t>
      </w:r>
    </w:p>
    <w:p>
      <w:pPr>
        <w:spacing w:after="0" w:line="1020" w:lineRule="exact"/>
        <w:rPr>
          <w:sz w:val="20"/>
          <w:szCs w:val="20"/>
          <w:color w:val="auto"/>
        </w:rPr>
      </w:pPr>
    </w:p>
    <w:p>
      <w:pPr>
        <w:sectPr>
          <w:pgSz w:w="11900" w:h="16838" w:orient="portrait"/>
          <w:cols w:equalWidth="0" w:num="2">
            <w:col w:w="4952" w:space="720"/>
            <w:col w:w="4840"/>
          </w:cols>
          <w:pgMar w:left="868" w:top="274" w:right="519" w:bottom="1440" w:gutter="0" w:footer="0" w:header="0"/>
          <w:type w:val="continuous"/>
        </w:sectPr>
      </w:pPr>
    </w:p>
    <w:p>
      <w:pPr>
        <w:spacing w:after="0" w:line="78" w:lineRule="exact"/>
        <w:rPr>
          <w:sz w:val="20"/>
          <w:szCs w:val="20"/>
          <w:color w:val="auto"/>
        </w:rPr>
      </w:pPr>
    </w:p>
    <w:p>
      <w:pPr>
        <w:jc w:val="center"/>
        <w:ind w:right="348"/>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512"/>
          </w:cols>
          <w:pgMar w:left="868" w:top="274" w:right="519" w:bottom="1440" w:gutter="0" w:footer="0" w:header="0"/>
          <w:type w:val="continuous"/>
        </w:sectPr>
      </w:pPr>
    </w:p>
    <w:bookmarkStart w:id="76" w:name="page77"/>
    <w:bookmarkEnd w:id="76"/>
    <w:p>
      <w:pPr>
        <w:ind w:left="540" w:hanging="532"/>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Arial" w:cs="Arial" w:eastAsia="Arial" w:hAnsi="Arial"/>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97" w:lineRule="exact"/>
        <w:rPr>
          <w:rFonts w:ascii="Arial" w:cs="Arial" w:eastAsia="Arial" w:hAnsi="Arial"/>
          <w:sz w:val="18"/>
          <w:szCs w:val="18"/>
          <w:color w:val="auto"/>
        </w:rPr>
      </w:pPr>
    </w:p>
    <w:p>
      <w:pPr>
        <w:ind w:left="540" w:right="520" w:hanging="532"/>
        <w:spacing w:after="0" w:line="342"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50" w:lineRule="exact"/>
        <w:rPr>
          <w:rFonts w:ascii="Arial" w:cs="Arial" w:eastAsia="Arial" w:hAnsi="Arial"/>
          <w:sz w:val="16"/>
          <w:szCs w:val="16"/>
          <w:color w:val="auto"/>
        </w:rPr>
      </w:pPr>
    </w:p>
    <w:p>
      <w:pPr>
        <w:ind w:left="540" w:hanging="53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Acknowledgement of Full Understanding</w:t>
      </w:r>
      <w:r>
        <w:rPr>
          <w:rFonts w:ascii="Arial" w:cs="Arial" w:eastAsia="Arial" w:hAnsi="Arial"/>
          <w:sz w:val="18"/>
          <w:szCs w:val="18"/>
          <w:color w:val="auto"/>
        </w:rPr>
        <w:t>. THE EXECUTIVE ACKNOWLEDGES AND AGREES THAT HE HAS FULLY READ,</w:t>
      </w:r>
    </w:p>
    <w:p>
      <w:pPr>
        <w:spacing w:after="0" w:line="23" w:lineRule="exact"/>
        <w:rPr>
          <w:rFonts w:ascii="Arial" w:cs="Arial" w:eastAsia="Arial" w:hAnsi="Arial"/>
          <w:sz w:val="18"/>
          <w:szCs w:val="18"/>
          <w:color w:val="auto"/>
        </w:rPr>
      </w:pPr>
    </w:p>
    <w:p>
      <w:pPr>
        <w:ind w:left="540"/>
        <w:spacing w:after="0" w:line="255" w:lineRule="auto"/>
        <w:rPr>
          <w:rFonts w:ascii="Arial" w:cs="Arial" w:eastAsia="Arial" w:hAnsi="Arial"/>
          <w:sz w:val="18"/>
          <w:szCs w:val="18"/>
          <w:color w:val="auto"/>
        </w:rPr>
      </w:pPr>
      <w:r>
        <w:rPr>
          <w:rFonts w:ascii="Arial" w:cs="Arial" w:eastAsia="Arial" w:hAnsi="Arial"/>
          <w:sz w:val="18"/>
          <w:szCs w:val="18"/>
          <w:color w:val="auto"/>
        </w:rPr>
        <w:t>UNDERSTANDS AND VOLUNTARILY ENTERS INTO THIS AGREEMENT. THE EXECUTIVE ACKNOWLEDGES AND AGREES THAT HE HAS HAD AN OPPORTUNITY TO ASK QUESTIONS AND CONSULT WITH AN ATTORNEY OF HIS CHOICE BEFORE SIGNING THIS AGREEMENT.</w:t>
      </w:r>
    </w:p>
    <w:p>
      <w:pPr>
        <w:spacing w:after="0" w:line="1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60" w:top="274"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date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TaskUs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14605</wp:posOffset>
            </wp:positionV>
            <wp:extent cx="26574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Bryce Maddock</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Title: Chief Executive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14605</wp:posOffset>
            </wp:positionV>
            <wp:extent cx="22371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Balaji Sekar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19"/>
          </w:cols>
          <w:pgMar w:left="440" w:top="274"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 VESTING AWARD</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TaskUs,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2021 Omnibus Incentive Plan (as it may bEe amended and/or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7900" w:type="dxa"/>
            <w:vAlign w:val="bottom"/>
            <w:gridSpan w:val="2"/>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Participant Name</w:t>
            </w:r>
            <w:r>
              <w:rPr>
                <w:rFonts w:ascii="Arial" w:cs="Arial" w:eastAsia="Arial" w:hAnsi="Arial"/>
                <w:sz w:val="18"/>
                <w:szCs w:val="18"/>
                <w:color w:val="auto"/>
              </w:rPr>
              <w:t>]</w:t>
            </w:r>
          </w:p>
        </w:tc>
      </w:tr>
      <w:tr>
        <w:trPr>
          <w:trHeight w:val="432"/>
        </w:trPr>
        <w:tc>
          <w:tcPr>
            <w:tcW w:w="30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26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b w:val="1"/>
                <w:bCs w:val="1"/>
                <w:color w:val="auto"/>
              </w:rPr>
              <w:t>Vesting Reference Date:</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260" w:type="dxa"/>
            <w:vAlign w:val="bottom"/>
          </w:tcPr>
          <w:p>
            <w:pPr>
              <w:spacing w:after="0"/>
              <w:rPr>
                <w:sz w:val="24"/>
                <w:szCs w:val="24"/>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b w:val="1"/>
                <w:bCs w:val="1"/>
                <w:color w:val="auto"/>
              </w:rPr>
              <w:t>Number of Restricted Stock Units: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260" w:type="dxa"/>
            <w:vAlign w:val="bottom"/>
          </w:tcPr>
          <w:p>
            <w:pPr>
              <w:spacing w:after="0"/>
              <w:rPr>
                <w:sz w:val="24"/>
                <w:szCs w:val="24"/>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7900" w:type="dxa"/>
            <w:vAlign w:val="bottom"/>
            <w:gridSpan w:val="2"/>
          </w:tcPr>
          <w:p>
            <w:pPr>
              <w:ind w:left="380"/>
              <w:spacing w:after="0"/>
              <w:rPr>
                <w:sz w:val="20"/>
                <w:szCs w:val="20"/>
                <w:color w:val="auto"/>
              </w:rPr>
            </w:pPr>
            <w:r>
              <w:rPr>
                <w:rFonts w:ascii="Arial" w:cs="Arial" w:eastAsia="Arial" w:hAnsi="Arial"/>
                <w:sz w:val="18"/>
                <w:szCs w:val="18"/>
                <w:color w:val="auto"/>
                <w:w w:val="91"/>
              </w:rPr>
              <w:t>Provided the Participant has not undergone a Termination at the time of the applicable vesting date (or</w:t>
            </w:r>
          </w:p>
        </w:tc>
      </w:tr>
      <w:tr>
        <w:trPr>
          <w:trHeight w:val="230"/>
        </w:trPr>
        <w:tc>
          <w:tcPr>
            <w:tcW w:w="3040" w:type="dxa"/>
            <w:vAlign w:val="bottom"/>
          </w:tcPr>
          <w:p>
            <w:pPr>
              <w:spacing w:after="0"/>
              <w:rPr>
                <w:sz w:val="20"/>
                <w:szCs w:val="20"/>
                <w:color w:val="auto"/>
              </w:rPr>
            </w:pPr>
          </w:p>
        </w:tc>
        <w:tc>
          <w:tcPr>
            <w:tcW w:w="7900" w:type="dxa"/>
            <w:vAlign w:val="bottom"/>
            <w:gridSpan w:val="2"/>
          </w:tcPr>
          <w:p>
            <w:pPr>
              <w:ind w:left="380"/>
              <w:spacing w:after="0"/>
              <w:rPr>
                <w:sz w:val="20"/>
                <w:szCs w:val="20"/>
                <w:color w:val="auto"/>
              </w:rPr>
            </w:pPr>
            <w:r>
              <w:rPr>
                <w:rFonts w:ascii="Arial" w:cs="Arial" w:eastAsia="Arial" w:hAnsi="Arial"/>
                <w:sz w:val="18"/>
                <w:szCs w:val="18"/>
                <w:color w:val="auto"/>
              </w:rPr>
              <w:t>event):</w:t>
            </w:r>
          </w:p>
        </w:tc>
      </w:tr>
      <w:tr>
        <w:trPr>
          <w:trHeight w:val="323"/>
        </w:trPr>
        <w:tc>
          <w:tcPr>
            <w:tcW w:w="304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260" w:type="dxa"/>
            <w:vAlign w:val="bottom"/>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w:t>
            </w:r>
            <w:r>
              <w:rPr>
                <w:rFonts w:ascii="Arial" w:cs="Arial" w:eastAsia="Arial" w:hAnsi="Arial"/>
                <w:sz w:val="18"/>
                <w:szCs w:val="18"/>
                <w:color w:val="auto"/>
                <w:w w:val="90"/>
              </w:rPr>
              <w:t>]of the Restricted Stock Units (rounded down to the nearest whole share) will vest on the date that</w:t>
            </w:r>
          </w:p>
        </w:tc>
      </w:tr>
      <w:tr>
        <w:trPr>
          <w:trHeight w:val="230"/>
        </w:trPr>
        <w:tc>
          <w:tcPr>
            <w:tcW w:w="3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is one year following the Vesting Reference Date;</w:t>
            </w:r>
          </w:p>
        </w:tc>
      </w:tr>
      <w:tr>
        <w:trPr>
          <w:trHeight w:val="323"/>
        </w:trPr>
        <w:tc>
          <w:tcPr>
            <w:tcW w:w="304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260" w:type="dxa"/>
            <w:vAlign w:val="bottom"/>
          </w:tcPr>
          <w:p>
            <w:pPr>
              <w:ind w:left="80"/>
              <w:spacing w:after="0"/>
              <w:rPr>
                <w:sz w:val="20"/>
                <w:szCs w:val="20"/>
                <w:color w:val="auto"/>
              </w:rPr>
            </w:pPr>
            <w:r>
              <w:rPr>
                <w:rFonts w:ascii="Arial" w:cs="Arial" w:eastAsia="Arial" w:hAnsi="Arial"/>
                <w:sz w:val="18"/>
                <w:szCs w:val="18"/>
                <w:color w:val="auto"/>
                <w:w w:val="92"/>
              </w:rPr>
              <w:t>an additional [•] of the Restricted Stock Units (rounded down to the nearest whole share) will vest</w:t>
            </w:r>
          </w:p>
        </w:tc>
      </w:tr>
      <w:tr>
        <w:trPr>
          <w:trHeight w:val="230"/>
        </w:trPr>
        <w:tc>
          <w:tcPr>
            <w:tcW w:w="3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on each date that is two years after the Vesting Reference Date;</w:t>
            </w:r>
          </w:p>
        </w:tc>
      </w:tr>
      <w:tr>
        <w:trPr>
          <w:trHeight w:val="323"/>
        </w:trPr>
        <w:tc>
          <w:tcPr>
            <w:tcW w:w="304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260" w:type="dxa"/>
            <w:vAlign w:val="bottom"/>
          </w:tcPr>
          <w:p>
            <w:pPr>
              <w:ind w:left="80"/>
              <w:spacing w:after="0"/>
              <w:rPr>
                <w:sz w:val="20"/>
                <w:szCs w:val="20"/>
                <w:color w:val="auto"/>
              </w:rPr>
            </w:pPr>
            <w:r>
              <w:rPr>
                <w:rFonts w:ascii="Arial" w:cs="Arial" w:eastAsia="Arial" w:hAnsi="Arial"/>
                <w:sz w:val="18"/>
                <w:szCs w:val="18"/>
                <w:color w:val="auto"/>
                <w:w w:val="90"/>
              </w:rPr>
              <w:t>an additional [•] of the Restricted Stock Units will vest on a date that is three years after the Vesting</w:t>
            </w:r>
          </w:p>
        </w:tc>
      </w:tr>
      <w:tr>
        <w:trPr>
          <w:trHeight w:val="230"/>
        </w:trPr>
        <w:tc>
          <w:tcPr>
            <w:tcW w:w="3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Reference Date; and</w:t>
            </w:r>
          </w:p>
        </w:tc>
      </w:tr>
      <w:tr>
        <w:trPr>
          <w:trHeight w:val="323"/>
        </w:trPr>
        <w:tc>
          <w:tcPr>
            <w:tcW w:w="304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7260" w:type="dxa"/>
            <w:vAlign w:val="bottom"/>
          </w:tcPr>
          <w:p>
            <w:pPr>
              <w:ind w:left="80"/>
              <w:spacing w:after="0"/>
              <w:rPr>
                <w:sz w:val="20"/>
                <w:szCs w:val="20"/>
                <w:color w:val="auto"/>
              </w:rPr>
            </w:pPr>
            <w:r>
              <w:rPr>
                <w:rFonts w:ascii="Arial" w:cs="Arial" w:eastAsia="Arial" w:hAnsi="Arial"/>
                <w:sz w:val="18"/>
                <w:szCs w:val="18"/>
                <w:color w:val="auto"/>
                <w:w w:val="91"/>
              </w:rPr>
              <w:t>the remaining [</w:t>
            </w:r>
            <w:r>
              <w:rPr>
                <w:rFonts w:ascii="Arial" w:cs="Arial" w:eastAsia="Arial" w:hAnsi="Arial"/>
                <w:sz w:val="18"/>
                <w:szCs w:val="18"/>
                <w:i w:val="1"/>
                <w:iCs w:val="1"/>
                <w:color w:val="auto"/>
                <w:w w:val="91"/>
              </w:rPr>
              <w:t>•</w:t>
            </w:r>
            <w:r>
              <w:rPr>
                <w:rFonts w:ascii="Arial" w:cs="Arial" w:eastAsia="Arial" w:hAnsi="Arial"/>
                <w:sz w:val="18"/>
                <w:szCs w:val="18"/>
                <w:color w:val="auto"/>
                <w:w w:val="91"/>
              </w:rPr>
              <w:t>]of the Restricted Stock Units will vest on a date that is four years after the Vesting</w:t>
            </w:r>
          </w:p>
        </w:tc>
      </w:tr>
      <w:tr>
        <w:trPr>
          <w:trHeight w:val="230"/>
        </w:trPr>
        <w:tc>
          <w:tcPr>
            <w:tcW w:w="3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60" w:type="dxa"/>
            <w:vAlign w:val="bottom"/>
          </w:tcPr>
          <w:p>
            <w:pPr>
              <w:ind w:left="100"/>
              <w:spacing w:after="0"/>
              <w:rPr>
                <w:sz w:val="20"/>
                <w:szCs w:val="20"/>
                <w:color w:val="auto"/>
              </w:rPr>
            </w:pPr>
            <w:r>
              <w:rPr>
                <w:rFonts w:ascii="Arial" w:cs="Arial" w:eastAsia="Arial" w:hAnsi="Arial"/>
                <w:sz w:val="18"/>
                <w:szCs w:val="18"/>
                <w:color w:val="auto"/>
              </w:rPr>
              <w:t>Reference Date.</w:t>
            </w:r>
          </w:p>
        </w:tc>
      </w:tr>
    </w:tbl>
    <w:p>
      <w:pPr>
        <w:spacing w:after="0" w:line="107" w:lineRule="exact"/>
        <w:rPr>
          <w:sz w:val="20"/>
          <w:szCs w:val="20"/>
          <w:color w:val="auto"/>
        </w:rPr>
      </w:pPr>
    </w:p>
    <w:p>
      <w:pPr>
        <w:ind w:left="3780" w:right="60"/>
        <w:spacing w:after="0" w:line="254" w:lineRule="auto"/>
        <w:rPr>
          <w:sz w:val="20"/>
          <w:szCs w:val="20"/>
          <w:color w:val="auto"/>
        </w:rPr>
      </w:pPr>
      <w:r>
        <w:rPr>
          <w:rFonts w:ascii="Arial" w:cs="Arial" w:eastAsia="Arial" w:hAnsi="Arial"/>
          <w:sz w:val="18"/>
          <w:szCs w:val="18"/>
          <w:color w:val="auto"/>
        </w:rPr>
        <w:t xml:space="preserve">Notwithstanding the foregoing, (i) if the Participant undergoes a Termination by the Service Recipient without Cause, by the Participant for Good Reason, or due to death or Disability, then upon such Termination the Participant shall vest in respect of all of the Restricted Stock Units that are scheduled to vest immediately following such Termination that have not theretofore vested; </w:t>
      </w:r>
      <w:r>
        <w:rPr>
          <w:rFonts w:ascii="Arial" w:cs="Arial" w:eastAsia="Arial" w:hAnsi="Arial"/>
          <w:sz w:val="18"/>
          <w:szCs w:val="18"/>
          <w:i w:val="1"/>
          <w:iCs w:val="1"/>
          <w:color w:val="auto"/>
        </w:rPr>
        <w:t>provided</w:t>
      </w:r>
      <w:r>
        <w:rPr>
          <w:rFonts w:ascii="Arial" w:cs="Arial" w:eastAsia="Arial" w:hAnsi="Arial"/>
          <w:sz w:val="18"/>
          <w:szCs w:val="18"/>
          <w:color w:val="auto"/>
        </w:rPr>
        <w:t>, that in the event of such Termination, any Common Shares deliverable in settlement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vested Restricted Share Units shall be delivered on the date such Restricted Share Units would have otherwise</w:t>
      </w:r>
    </w:p>
    <w:p>
      <w:pPr>
        <w:sectPr>
          <w:pgSz w:w="11900" w:h="16838" w:orient="portrait"/>
          <w:cols w:equalWidth="0" w:num="1">
            <w:col w:w="11020"/>
          </w:cols>
          <w:pgMar w:left="440" w:top="121" w:right="4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6"/>
              </w:rPr>
              <w:t>vested in accordance with this Grant Notice and (ii) the Restricted Stock Units shall fully vest if</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5"/>
              </w:rPr>
              <w:t>either (A) the Restricted Stock Units would not otherwise be continued, converted, assumed, or</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1"/>
              </w:rPr>
              <w:t>replaced by the Company, a member of the Company Group or a successor entity thereto; or (B) if</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89"/>
              </w:rPr>
              <w:t>the Participant undergoes a Termination by the Service Recipient without Cause, by such Participant</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3"/>
              </w:rPr>
              <w:t>for Good Reason, or due to death or Disability at any time following a Change in Control in which</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6"/>
              </w:rPr>
              <w:t>the Restricted Stock Units are continued, converted, assumed, or replaced by the Company, a</w:t>
            </w:r>
          </w:p>
        </w:tc>
      </w:tr>
      <w:tr>
        <w:trPr>
          <w:trHeight w:val="230"/>
        </w:trPr>
        <w:tc>
          <w:tcPr>
            <w:tcW w:w="2660" w:type="dxa"/>
            <w:vAlign w:val="bottom"/>
          </w:tcPr>
          <w:p>
            <w:pPr>
              <w:spacing w:after="0"/>
              <w:rPr>
                <w:sz w:val="20"/>
                <w:szCs w:val="20"/>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rPr>
              <w:t>member of the Company Group or a successor entity thereto.</w:t>
            </w:r>
          </w:p>
        </w:tc>
      </w:tr>
      <w:tr>
        <w:trPr>
          <w:trHeight w:val="323"/>
        </w:trPr>
        <w:tc>
          <w:tcPr>
            <w:tcW w:w="2660" w:type="dxa"/>
            <w:vAlign w:val="bottom"/>
          </w:tcPr>
          <w:p>
            <w:pPr>
              <w:spacing w:after="0"/>
              <w:rPr>
                <w:sz w:val="24"/>
                <w:szCs w:val="24"/>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1"/>
              </w:rPr>
              <w:t>For the avoidance of doubt, no Termination shall occur unless the Participant is no longer providing</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5"/>
              </w:rPr>
              <w:t>any services (whether as an employee, director, consultant or otherwise) to any member of the</w:t>
            </w:r>
          </w:p>
        </w:tc>
      </w:tr>
      <w:tr>
        <w:trPr>
          <w:trHeight w:val="230"/>
        </w:trPr>
        <w:tc>
          <w:tcPr>
            <w:tcW w:w="2660" w:type="dxa"/>
            <w:vAlign w:val="bottom"/>
          </w:tcPr>
          <w:p>
            <w:pPr>
              <w:spacing w:after="0"/>
              <w:rPr>
                <w:sz w:val="20"/>
                <w:szCs w:val="20"/>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rPr>
              <w:t>Company Group.</w:t>
            </w:r>
          </w:p>
        </w:tc>
      </w:tr>
      <w:tr>
        <w:trPr>
          <w:trHeight w:val="405"/>
        </w:trPr>
        <w:tc>
          <w:tcPr>
            <w:tcW w:w="2660" w:type="dxa"/>
            <w:vAlign w:val="bottom"/>
          </w:tcPr>
          <w:p>
            <w:pPr>
              <w:spacing w:after="0"/>
              <w:rPr>
                <w:sz w:val="20"/>
                <w:szCs w:val="20"/>
                <w:color w:val="auto"/>
              </w:rPr>
            </w:pPr>
            <w:r>
              <w:rPr>
                <w:rFonts w:ascii="Arial" w:cs="Arial" w:eastAsia="Arial" w:hAnsi="Arial"/>
                <w:sz w:val="18"/>
                <w:szCs w:val="18"/>
                <w:b w:val="1"/>
                <w:bCs w:val="1"/>
                <w:color w:val="auto"/>
              </w:rPr>
              <w:t>Certain Definitions:</w:t>
            </w: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6"/>
              </w:rPr>
              <w:t>“Good Reason” shall be deemed to exist upon the occurrence of (i) a material reduction in the</w:t>
            </w:r>
          </w:p>
        </w:tc>
      </w:tr>
      <w:tr>
        <w:trPr>
          <w:trHeight w:val="20"/>
        </w:trPr>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22"/>
        </w:trPr>
        <w:tc>
          <w:tcPr>
            <w:tcW w:w="2660" w:type="dxa"/>
            <w:vAlign w:val="bottom"/>
          </w:tcPr>
          <w:p>
            <w:pPr>
              <w:spacing w:after="0"/>
              <w:rPr>
                <w:sz w:val="19"/>
                <w:szCs w:val="19"/>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rPr>
              <w:t>Participant’s total target cash compensation or (ii) a material diminution in the Participant’s</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7"/>
              </w:rPr>
              <w:t>position, function, responsibility, or reporting level, in each case, without the Participants prior</w:t>
            </w:r>
          </w:p>
        </w:tc>
      </w:tr>
      <w:tr>
        <w:trPr>
          <w:trHeight w:val="190"/>
        </w:trPr>
        <w:tc>
          <w:tcPr>
            <w:tcW w:w="2660" w:type="dxa"/>
            <w:vAlign w:val="bottom"/>
          </w:tcPr>
          <w:p>
            <w:pPr>
              <w:spacing w:after="0"/>
              <w:rPr>
                <w:sz w:val="16"/>
                <w:szCs w:val="16"/>
                <w:color w:val="auto"/>
              </w:rPr>
            </w:pPr>
          </w:p>
        </w:tc>
        <w:tc>
          <w:tcPr>
            <w:tcW w:w="8340" w:type="dxa"/>
            <w:vAlign w:val="bottom"/>
            <w:gridSpan w:val="5"/>
          </w:tcPr>
          <w:p>
            <w:pPr>
              <w:ind w:left="1120"/>
              <w:spacing w:after="0" w:line="190" w:lineRule="exact"/>
              <w:rPr>
                <w:sz w:val="20"/>
                <w:szCs w:val="20"/>
                <w:color w:val="auto"/>
              </w:rPr>
            </w:pPr>
            <w:r>
              <w:rPr>
                <w:rFonts w:ascii="Arial" w:cs="Arial" w:eastAsia="Arial" w:hAnsi="Arial"/>
                <w:sz w:val="18"/>
                <w:szCs w:val="18"/>
                <w:color w:val="auto"/>
                <w:w w:val="89"/>
              </w:rPr>
              <w:t>written consent; provided, that none of the foregoing events shall constitute Good Reason unless the</w:t>
            </w:r>
          </w:p>
        </w:tc>
      </w:tr>
      <w:tr>
        <w:trPr>
          <w:trHeight w:val="20"/>
        </w:trPr>
        <w:tc>
          <w:tcPr>
            <w:tcW w:w="266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22"/>
        </w:trPr>
        <w:tc>
          <w:tcPr>
            <w:tcW w:w="2660" w:type="dxa"/>
            <w:vAlign w:val="bottom"/>
          </w:tcPr>
          <w:p>
            <w:pPr>
              <w:spacing w:after="0"/>
              <w:rPr>
                <w:sz w:val="19"/>
                <w:szCs w:val="19"/>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2"/>
              </w:rPr>
              <w:t>Company fails to cure such event within 30 days after receipt from the Participant of written notice</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2"/>
              </w:rPr>
              <w:t>of the event which constitutes Good Reason; provided, further, that “Good Reason” shall cease to</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rPr>
              <w:t>exist for an event on the 60th day following the later of its occurrence or the Participant’s</w:t>
            </w:r>
          </w:p>
        </w:tc>
      </w:tr>
      <w:tr>
        <w:trPr>
          <w:trHeight w:val="216"/>
        </w:trPr>
        <w:tc>
          <w:tcPr>
            <w:tcW w:w="2660" w:type="dxa"/>
            <w:vAlign w:val="bottom"/>
          </w:tcPr>
          <w:p>
            <w:pPr>
              <w:spacing w:after="0"/>
              <w:rPr>
                <w:sz w:val="18"/>
                <w:szCs w:val="18"/>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w w:val="95"/>
              </w:rPr>
              <w:t>knowledge thereof, unless the Participant has given the Company written notice thereof prior to</w:t>
            </w:r>
          </w:p>
        </w:tc>
      </w:tr>
      <w:tr>
        <w:trPr>
          <w:trHeight w:val="230"/>
        </w:trPr>
        <w:tc>
          <w:tcPr>
            <w:tcW w:w="2660" w:type="dxa"/>
            <w:vAlign w:val="bottom"/>
          </w:tcPr>
          <w:p>
            <w:pPr>
              <w:spacing w:after="0"/>
              <w:rPr>
                <w:sz w:val="20"/>
                <w:szCs w:val="20"/>
                <w:color w:val="auto"/>
              </w:rPr>
            </w:pPr>
          </w:p>
        </w:tc>
        <w:tc>
          <w:tcPr>
            <w:tcW w:w="8340" w:type="dxa"/>
            <w:vAlign w:val="bottom"/>
            <w:gridSpan w:val="5"/>
          </w:tcPr>
          <w:p>
            <w:pPr>
              <w:ind w:left="1120"/>
              <w:spacing w:after="0"/>
              <w:rPr>
                <w:sz w:val="20"/>
                <w:szCs w:val="20"/>
                <w:color w:val="auto"/>
              </w:rPr>
            </w:pPr>
            <w:r>
              <w:rPr>
                <w:rFonts w:ascii="Arial" w:cs="Arial" w:eastAsia="Arial" w:hAnsi="Arial"/>
                <w:sz w:val="18"/>
                <w:szCs w:val="18"/>
                <w:color w:val="auto"/>
              </w:rPr>
              <w:t>such date.</w:t>
            </w:r>
          </w:p>
        </w:tc>
      </w:tr>
      <w:tr>
        <w:trPr>
          <w:trHeight w:val="432"/>
        </w:trPr>
        <w:tc>
          <w:tcPr>
            <w:tcW w:w="2660" w:type="dxa"/>
            <w:vAlign w:val="bottom"/>
          </w:tcPr>
          <w:p>
            <w:pPr>
              <w:spacing w:after="0"/>
              <w:rPr>
                <w:sz w:val="24"/>
                <w:szCs w:val="24"/>
                <w:color w:val="auto"/>
              </w:rPr>
            </w:pPr>
          </w:p>
        </w:tc>
        <w:tc>
          <w:tcPr>
            <w:tcW w:w="2160" w:type="dxa"/>
            <w:vAlign w:val="bottom"/>
            <w:gridSpan w:val="2"/>
          </w:tcPr>
          <w:p>
            <w:pPr>
              <w:ind w:left="1120"/>
              <w:spacing w:after="0"/>
              <w:rPr>
                <w:sz w:val="20"/>
                <w:szCs w:val="20"/>
                <w:color w:val="auto"/>
              </w:rPr>
            </w:pPr>
            <w:r>
              <w:rPr>
                <w:rFonts w:ascii="Arial" w:cs="Arial" w:eastAsia="Arial" w:hAnsi="Arial"/>
                <w:sz w:val="18"/>
                <w:szCs w:val="18"/>
                <w:color w:val="auto"/>
              </w:rPr>
              <w:t>*  *  *</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364"/>
        </w:trPr>
        <w:tc>
          <w:tcPr>
            <w:tcW w:w="2660" w:type="dxa"/>
            <w:vAlign w:val="bottom"/>
          </w:tcPr>
          <w:p>
            <w:pPr>
              <w:spacing w:after="0"/>
              <w:rPr>
                <w:sz w:val="24"/>
                <w:szCs w:val="24"/>
                <w:color w:val="auto"/>
              </w:rPr>
            </w:pPr>
          </w:p>
        </w:tc>
        <w:tc>
          <w:tcPr>
            <w:tcW w:w="2960" w:type="dxa"/>
            <w:vAlign w:val="bottom"/>
            <w:gridSpan w:val="4"/>
          </w:tcPr>
          <w:p>
            <w:pPr>
              <w:ind w:left="2800"/>
              <w:spacing w:after="0"/>
              <w:rPr>
                <w:sz w:val="20"/>
                <w:szCs w:val="20"/>
                <w:color w:val="auto"/>
              </w:rPr>
            </w:pPr>
            <w:r>
              <w:rPr>
                <w:rFonts w:ascii="Arial" w:cs="Arial" w:eastAsia="Arial" w:hAnsi="Arial"/>
                <w:sz w:val="18"/>
                <w:szCs w:val="18"/>
                <w:color w:val="auto"/>
              </w:rPr>
              <w:t>2</w:t>
            </w:r>
          </w:p>
        </w:tc>
        <w:tc>
          <w:tcPr>
            <w:tcW w:w="53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74"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TASKUS,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2519"/>
        <w:spacing w:after="0"/>
        <w:rPr>
          <w:sz w:val="20"/>
          <w:szCs w:val="20"/>
          <w:color w:val="auto"/>
        </w:rPr>
      </w:pPr>
      <w:r>
        <w:rPr>
          <w:rFonts w:ascii="Arial" w:cs="Arial" w:eastAsia="Arial" w:hAnsi="Arial"/>
          <w:sz w:val="18"/>
          <w:szCs w:val="18"/>
          <w:i w:val="1"/>
          <w:iCs w:val="1"/>
          <w:color w:val="auto"/>
        </w:rPr>
        <w:t>[Signature Page to Restricted Stock Unit Grant Notice]</w:t>
      </w:r>
    </w:p>
    <w:p>
      <w:pPr>
        <w:sectPr>
          <w:pgSz w:w="11900" w:h="16838" w:orient="portrait"/>
          <w:cols w:equalWidth="0" w:num="1">
            <w:col w:w="10019"/>
          </w:cols>
          <w:pgMar w:left="440" w:top="274" w:right="1440" w:bottom="1440" w:gutter="0" w:footer="0" w:header="0"/>
        </w:sectPr>
      </w:pPr>
    </w:p>
    <w:bookmarkStart w:id="81" w:name="page82"/>
    <w:bookmarkEnd w:id="81"/>
    <w:p>
      <w:pPr>
        <w:ind w:left="4"/>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383540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4" w:right="900" w:hanging="424"/>
        <w:spacing w:after="0" w:line="277" w:lineRule="auto"/>
        <w:tabs>
          <w:tab w:leader="none" w:pos="424" w:val="left"/>
        </w:tabs>
        <w:numPr>
          <w:ilvl w:val="0"/>
          <w:numId w:val="66"/>
        </w:numPr>
        <w:rPr>
          <w:rFonts w:ascii="Arial" w:cs="Arial" w:eastAsia="Arial" w:hAnsi="Arial"/>
          <w:sz w:val="15"/>
          <w:szCs w:val="15"/>
          <w:color w:val="auto"/>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[Signature Page to Restricted Stock Unit Grant Notice]</w:t>
      </w: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TIME-BASED RESTRICTED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211"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Pursuant to the Restricted Stock Unit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delivered to the Participant (as defined in the Grant Notice), and subject to the terms of this Restricted Stock Unit Agreement (this “</w:t>
      </w:r>
      <w:r>
        <w:rPr>
          <w:rFonts w:ascii="Arial" w:cs="Arial" w:eastAsia="Arial" w:hAnsi="Arial"/>
          <w:sz w:val="16"/>
          <w:szCs w:val="16"/>
          <w:b w:val="1"/>
          <w:bCs w:val="1"/>
          <w:i w:val="1"/>
          <w:iCs w:val="1"/>
          <w:color w:val="auto"/>
        </w:rPr>
        <w:t>Restricted Stock Unit Agreement</w:t>
      </w:r>
      <w:r>
        <w:rPr>
          <w:rFonts w:ascii="Arial" w:cs="Arial" w:eastAsia="Arial" w:hAnsi="Arial"/>
          <w:sz w:val="16"/>
          <w:szCs w:val="16"/>
          <w:color w:val="auto"/>
        </w:rPr>
        <w:t>”) and the TaskUs, Inc. 2021 Omnibus Incentive Plan, as it may be amended and restated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TaskUs,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Participant agree as follows. Capitalized terms not otherwise defined herein shall have the same meaning as set forth in the Plan.</w:t>
      </w:r>
    </w:p>
    <w:p>
      <w:pPr>
        <w:spacing w:after="0" w:line="153" w:lineRule="exact"/>
        <w:rPr>
          <w:sz w:val="20"/>
          <w:szCs w:val="20"/>
          <w:color w:val="auto"/>
        </w:rPr>
      </w:pPr>
    </w:p>
    <w:p>
      <w:pPr>
        <w:ind w:right="20" w:firstLine="987"/>
        <w:spacing w:after="0" w:line="274" w:lineRule="auto"/>
        <w:tabs>
          <w:tab w:leader="none" w:pos="1171"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Restricted Stock Units</w:t>
      </w:r>
      <w:r>
        <w:rPr>
          <w:rFonts w:ascii="Arial" w:cs="Arial" w:eastAsia="Arial" w:hAnsi="Arial"/>
          <w:sz w:val="17"/>
          <w:szCs w:val="17"/>
          <w:color w:val="auto"/>
        </w:rPr>
        <w:t>. Subject to the terms and conditions set forth herein and in the Plan, the Company hereby grants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number of Restricted Stock Units provided in the Grant Notice (with each Restricted Stock Unit representing an unfunded, unsecured right to receive one share of Class A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73" w:lineRule="exact"/>
        <w:rPr>
          <w:rFonts w:ascii="Arial" w:cs="Arial" w:eastAsia="Arial" w:hAnsi="Arial"/>
          <w:sz w:val="17"/>
          <w:szCs w:val="17"/>
          <w:color w:val="auto"/>
        </w:rPr>
      </w:pPr>
    </w:p>
    <w:p>
      <w:pPr>
        <w:ind w:left="1160" w:hanging="173"/>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Subject to the conditions contained herein and in the Plan, the Restricted Stock Units shall vest as provided in the Grant Notice.</w:t>
      </w:r>
    </w:p>
    <w:p>
      <w:pPr>
        <w:spacing w:after="0" w:line="248" w:lineRule="exact"/>
        <w:rPr>
          <w:rFonts w:ascii="Arial" w:cs="Arial" w:eastAsia="Arial" w:hAnsi="Arial"/>
          <w:sz w:val="16"/>
          <w:szCs w:val="16"/>
          <w:color w:val="auto"/>
        </w:rPr>
      </w:pPr>
    </w:p>
    <w:p>
      <w:pPr>
        <w:ind w:right="120" w:firstLine="987"/>
        <w:spacing w:after="0" w:line="271" w:lineRule="auto"/>
        <w:tabs>
          <w:tab w:leader="none" w:pos="1171"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 of Restricted Stock Units</w:t>
      </w:r>
      <w:r>
        <w:rPr>
          <w:rFonts w:ascii="Arial" w:cs="Arial" w:eastAsia="Arial" w:hAnsi="Arial"/>
          <w:sz w:val="17"/>
          <w:szCs w:val="17"/>
          <w:color w:val="auto"/>
        </w:rPr>
        <w:t>. Subject to any election by the Committee pursuant to Section 9(d)(ii) of the Plan,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will deliver to the Participant, without charge, as soon as reasonably practicable (and, in any event, within two and one-half months) following the applicable vesting date, one share of Class A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Class A Common Stock to be credited to the Participant’s account at the third party plan administrator. Notwithstanding anything in this Restricted Stock Unit Agreement to the contrary, the Company shall have no obligation to issue or transfer any shares of Class A Common Stock as contemplated by this Restricted Stock Unit Agreement unless and until such issuance or transfer complies with all relevant provisions of law and the requirements of any stock exchange on which the Company’s shares of Class A Common Stock are listed for trading.</w:t>
      </w:r>
    </w:p>
    <w:p>
      <w:pPr>
        <w:spacing w:after="0" w:line="173" w:lineRule="exact"/>
        <w:rPr>
          <w:rFonts w:ascii="Arial" w:cs="Arial" w:eastAsia="Arial" w:hAnsi="Arial"/>
          <w:sz w:val="17"/>
          <w:szCs w:val="17"/>
          <w:color w:val="auto"/>
        </w:rPr>
      </w:pPr>
    </w:p>
    <w:p>
      <w:pPr>
        <w:ind w:right="220" w:firstLine="987"/>
        <w:spacing w:after="0" w:line="266" w:lineRule="auto"/>
        <w:tabs>
          <w:tab w:leader="none" w:pos="1171"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Restricted Stock Units upon Termination</w:t>
      </w:r>
      <w:r>
        <w:rPr>
          <w:rFonts w:ascii="Arial" w:cs="Arial" w:eastAsia="Arial" w:hAnsi="Arial"/>
          <w:sz w:val="18"/>
          <w:szCs w:val="18"/>
          <w:color w:val="auto"/>
        </w:rPr>
        <w:t>. The provisions of Section 9(c)(ii) of the Plan are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made a part hereof, subject to the Vesting Schedule as provided in the Grant Notice (and for the avoidance for doubt, in the event of any conflict of the Grant Notice and Section 9(c)(ii) of the Plan, the provisions of the Grant Notice will prevail).</w:t>
      </w:r>
    </w:p>
    <w:p>
      <w:pPr>
        <w:spacing w:after="0" w:line="175" w:lineRule="exact"/>
        <w:rPr>
          <w:rFonts w:ascii="Arial" w:cs="Arial" w:eastAsia="Arial" w:hAnsi="Arial"/>
          <w:sz w:val="18"/>
          <w:szCs w:val="18"/>
          <w:color w:val="auto"/>
        </w:rPr>
      </w:pPr>
    </w:p>
    <w:p>
      <w:pPr>
        <w:ind w:left="1160" w:hanging="173"/>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Participant</w:t>
      </w:r>
      <w:r>
        <w:rPr>
          <w:rFonts w:ascii="Arial" w:cs="Arial" w:eastAsia="Arial" w:hAnsi="Arial"/>
          <w:sz w:val="18"/>
          <w:szCs w:val="18"/>
          <w:color w:val="auto"/>
        </w:rPr>
        <w:t>.</w:t>
      </w:r>
    </w:p>
    <w:p>
      <w:pPr>
        <w:spacing w:after="0" w:line="229" w:lineRule="exact"/>
        <w:rPr>
          <w:sz w:val="20"/>
          <w:szCs w:val="20"/>
          <w:color w:val="auto"/>
        </w:rPr>
      </w:pPr>
    </w:p>
    <w:p>
      <w:pPr>
        <w:ind w:right="540" w:firstLine="987"/>
        <w:spacing w:after="0" w:line="277"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“Company” as used in this Restricted Stock Unit Agreement with reference to employment or service shall include the applicable Service Recipient.</w:t>
      </w:r>
    </w:p>
    <w:p>
      <w:pPr>
        <w:spacing w:after="0" w:line="170" w:lineRule="exact"/>
        <w:rPr>
          <w:rFonts w:ascii="Arial" w:cs="Arial" w:eastAsia="Arial" w:hAnsi="Arial"/>
          <w:sz w:val="18"/>
          <w:szCs w:val="18"/>
          <w:color w:val="auto"/>
        </w:rPr>
      </w:pPr>
    </w:p>
    <w:p>
      <w:pPr>
        <w:ind w:right="200" w:firstLine="987"/>
        <w:spacing w:after="0" w:line="311" w:lineRule="auto"/>
        <w:tabs>
          <w:tab w:leader="none" w:pos="1246"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persons.</w:t>
      </w:r>
    </w:p>
    <w:p>
      <w:pPr>
        <w:sectPr>
          <w:pgSz w:w="11900" w:h="16838" w:orient="portrait"/>
          <w:cols w:equalWidth="0" w:num="1">
            <w:col w:w="11020"/>
          </w:cols>
          <w:pgMar w:left="440" w:top="270" w:right="439" w:bottom="1440" w:gutter="0" w:footer="0" w:header="0"/>
        </w:sectPr>
      </w:pPr>
    </w:p>
    <w:bookmarkStart w:id="83" w:name="page84"/>
    <w:bookmarkEnd w:id="83"/>
    <w:p>
      <w:pPr>
        <w:ind w:right="60" w:firstLine="987"/>
        <w:spacing w:after="0" w:line="303" w:lineRule="auto"/>
        <w:tabs>
          <w:tab w:leader="none" w:pos="1171"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Non-Transferability</w:t>
      </w:r>
      <w:r>
        <w:rPr>
          <w:rFonts w:ascii="Arial" w:cs="Arial" w:eastAsia="Arial" w:hAnsi="Arial"/>
          <w:sz w:val="16"/>
          <w:szCs w:val="16"/>
          <w:color w:val="auto"/>
        </w:rPr>
        <w:t>. The Restricted Stock Units are not transferable by the Participant except to Permitted Transferees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50" w:lineRule="exact"/>
        <w:rPr>
          <w:rFonts w:ascii="Arial" w:cs="Arial" w:eastAsia="Arial" w:hAnsi="Arial"/>
          <w:sz w:val="16"/>
          <w:szCs w:val="16"/>
          <w:color w:val="auto"/>
        </w:rPr>
      </w:pPr>
    </w:p>
    <w:p>
      <w:pPr>
        <w:ind w:left="1160" w:hanging="173"/>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Stockholder</w:t>
      </w:r>
      <w:r>
        <w:rPr>
          <w:rFonts w:ascii="Arial" w:cs="Arial" w:eastAsia="Arial" w:hAnsi="Arial"/>
          <w:sz w:val="18"/>
          <w:szCs w:val="18"/>
          <w:color w:val="auto"/>
        </w:rPr>
        <w:t>. Subject to any payments to be provided to the Participant in accordance with the Grant Notice and</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Section 13(c)(iii) of the Plan, the Participant or a Permitted Transferee shall have no rights as a stockholder with respect to any share of Class A Common Stock underlying a Restricted Stock Unit unless and until the Participant shall have become the holder of record or the beneficial owner of such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spacing w:after="0" w:line="157" w:lineRule="exact"/>
        <w:rPr>
          <w:sz w:val="20"/>
          <w:szCs w:val="20"/>
          <w:color w:val="auto"/>
        </w:rPr>
      </w:pPr>
    </w:p>
    <w:p>
      <w:pPr>
        <w:ind w:right="20" w:firstLine="987"/>
        <w:spacing w:after="0" w:line="274" w:lineRule="auto"/>
        <w:tabs>
          <w:tab w:leader="none" w:pos="1171"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The provisions of Section 13(d) of the Plan are incorporated herein by reference and made a part 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shall satisfy such Participant’s withholding liability, if any, referred to in Section 13(d) of the Plan by having the Company withhold from the number of shares of Class A Common Stock otherwise deliverable pursuant to the settlement of the Restricted Stock Units, a number of shares with a Fair Market Value, on the date that the Restricted Stock Units are settled, equal to such withholding liability; </w:t>
      </w:r>
      <w:r>
        <w:rPr>
          <w:rFonts w:ascii="Arial" w:cs="Arial" w:eastAsia="Arial" w:hAnsi="Arial"/>
          <w:sz w:val="17"/>
          <w:szCs w:val="17"/>
          <w:i w:val="1"/>
          <w:iCs w:val="1"/>
          <w:color w:val="auto"/>
        </w:rPr>
        <w:t>provided</w:t>
      </w:r>
      <w:r>
        <w:rPr>
          <w:rFonts w:ascii="Arial" w:cs="Arial" w:eastAsia="Arial" w:hAnsi="Arial"/>
          <w:sz w:val="17"/>
          <w:szCs w:val="17"/>
          <w:color w:val="auto"/>
        </w:rPr>
        <w:t>, that the number of such shares of Class A Common Stock may not have a Fair Market Value greater than the minimum required statutory withholding liability unless determined by the Committee not to result in adverse accounting consequences.</w:t>
      </w:r>
    </w:p>
    <w:p>
      <w:pPr>
        <w:spacing w:after="0" w:line="173" w:lineRule="exact"/>
        <w:rPr>
          <w:rFonts w:ascii="Arial" w:cs="Arial" w:eastAsia="Arial" w:hAnsi="Arial"/>
          <w:sz w:val="17"/>
          <w:szCs w:val="17"/>
          <w:color w:val="auto"/>
        </w:rPr>
      </w:pPr>
    </w:p>
    <w:p>
      <w:pPr>
        <w:ind w:firstLine="987"/>
        <w:spacing w:after="0" w:line="271" w:lineRule="auto"/>
        <w:tabs>
          <w:tab w:leader="none" w:pos="1171"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Every notice or other communication relating to this Restricted Stock Unit Agreement between the Company and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7"/>
          <w:szCs w:val="17"/>
          <w:i w:val="1"/>
          <w:iCs w:val="1"/>
          <w:color w:val="auto"/>
        </w:rPr>
        <w:t>provided</w:t>
      </w:r>
      <w:r>
        <w:rPr>
          <w:rFonts w:ascii="Arial" w:cs="Arial" w:eastAsia="Arial" w:hAnsi="Arial"/>
          <w:sz w:val="17"/>
          <w:szCs w:val="17"/>
          <w:color w:val="auto"/>
        </w:rPr>
        <w:t>,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73" w:lineRule="exact"/>
        <w:rPr>
          <w:rFonts w:ascii="Arial" w:cs="Arial" w:eastAsia="Arial" w:hAnsi="Arial"/>
          <w:sz w:val="17"/>
          <w:szCs w:val="17"/>
          <w:color w:val="auto"/>
        </w:rPr>
      </w:pPr>
    </w:p>
    <w:p>
      <w:pPr>
        <w:ind w:right="160" w:firstLine="987"/>
        <w:spacing w:after="0" w:line="282" w:lineRule="auto"/>
        <w:tabs>
          <w:tab w:leader="none" w:pos="1261"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color w:val="auto"/>
        </w:rPr>
        <w:t>. This Restricted Stock Unit Agreement does not confer upon the Participant any right to continue as</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or service provider to the Service Recipient or any other member of the Company Group.</w:t>
      </w:r>
    </w:p>
    <w:p>
      <w:pPr>
        <w:spacing w:after="0" w:line="161" w:lineRule="exact"/>
        <w:rPr>
          <w:rFonts w:ascii="Arial" w:cs="Arial" w:eastAsia="Arial" w:hAnsi="Arial"/>
          <w:sz w:val="18"/>
          <w:szCs w:val="18"/>
          <w:color w:val="auto"/>
        </w:rPr>
      </w:pPr>
    </w:p>
    <w:p>
      <w:pPr>
        <w:ind w:left="1260" w:hanging="273"/>
        <w:spacing w:after="0"/>
        <w:tabs>
          <w:tab w:leader="none" w:pos="1260"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This Restricted Stock Unit Agreement shall be binding upon the heirs, executors, administrators and successors of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hereto.</w:t>
      </w:r>
    </w:p>
    <w:p>
      <w:pPr>
        <w:spacing w:after="0" w:line="206" w:lineRule="exact"/>
        <w:rPr>
          <w:rFonts w:ascii="Arial" w:cs="Arial" w:eastAsia="Arial" w:hAnsi="Arial"/>
          <w:sz w:val="16"/>
          <w:szCs w:val="16"/>
          <w:color w:val="auto"/>
        </w:rPr>
      </w:pPr>
    </w:p>
    <w:p>
      <w:pPr>
        <w:ind w:right="60" w:firstLine="987"/>
        <w:spacing w:after="0" w:line="282" w:lineRule="auto"/>
        <w:tabs>
          <w:tab w:leader="none" w:pos="1261"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12 of the Plan, any waiver, alteration, amendment or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of the terms of this Restricted Stock Unit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84" w:name="page85"/>
    <w:bookmarkEnd w:id="8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shall be valid only if made in writing and signed by the parties hereto;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3" w:lineRule="exact"/>
        <w:rPr>
          <w:sz w:val="20"/>
          <w:szCs w:val="20"/>
          <w:color w:val="auto"/>
        </w:rPr>
      </w:pPr>
    </w:p>
    <w:p>
      <w:pPr>
        <w:ind w:firstLine="987"/>
        <w:spacing w:after="0" w:line="277" w:lineRule="auto"/>
        <w:tabs>
          <w:tab w:leader="none" w:pos="1261" w:val="left"/>
        </w:tabs>
        <w:numPr>
          <w:ilvl w:val="0"/>
          <w:numId w:val="71"/>
        </w:numPr>
        <w:rPr>
          <w:rFonts w:ascii="Arial" w:cs="Arial" w:eastAsia="Arial" w:hAnsi="Arial"/>
          <w:sz w:val="17"/>
          <w:szCs w:val="17"/>
          <w:color w:val="auto"/>
        </w:rPr>
      </w:pPr>
      <w:r>
        <w:rPr>
          <w:rFonts w:ascii="Arial" w:cs="Arial" w:eastAsia="Arial" w:hAnsi="Arial"/>
          <w:sz w:val="17"/>
          <w:szCs w:val="17"/>
          <w:b w:val="1"/>
          <w:bCs w:val="1"/>
          <w:u w:val="single" w:color="auto"/>
          <w:color w:val="auto"/>
        </w:rPr>
        <w:t>Clawback/Forfeiture</w:t>
      </w:r>
      <w:r>
        <w:rPr>
          <w:rFonts w:ascii="Arial" w:cs="Arial" w:eastAsia="Arial" w:hAnsi="Arial"/>
          <w:sz w:val="17"/>
          <w:szCs w:val="17"/>
          <w:color w:val="auto"/>
        </w:rPr>
        <w:t>. This Restricted Stock Unit Agreement shall be subject to reduction, cancellation, forfeiture or recoupment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w:t>
      </w:r>
    </w:p>
    <w:p>
      <w:pPr>
        <w:spacing w:after="0" w:line="167" w:lineRule="exact"/>
        <w:rPr>
          <w:rFonts w:ascii="Arial" w:cs="Arial" w:eastAsia="Arial" w:hAnsi="Arial"/>
          <w:sz w:val="17"/>
          <w:szCs w:val="17"/>
          <w:color w:val="auto"/>
        </w:rPr>
      </w:pPr>
    </w:p>
    <w:p>
      <w:pPr>
        <w:ind w:right="220" w:firstLine="987"/>
        <w:spacing w:after="0" w:line="258" w:lineRule="auto"/>
        <w:tabs>
          <w:tab w:leader="none" w:pos="1261"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Detrimental Activity</w:t>
      </w:r>
      <w:r>
        <w:rPr>
          <w:rFonts w:ascii="Arial" w:cs="Arial" w:eastAsia="Arial" w:hAnsi="Arial"/>
          <w:sz w:val="18"/>
          <w:szCs w:val="18"/>
          <w:color w:val="auto"/>
        </w:rPr>
        <w:t>. Notwithstanding anything to the contrary contained herein or in the Plan, if the Participant has engaged in or</w:t>
      </w:r>
      <w:r>
        <w:rPr>
          <w:rFonts w:ascii="Arial" w:cs="Arial" w:eastAsia="Arial" w:hAnsi="Arial"/>
          <w:sz w:val="18"/>
          <w:szCs w:val="18"/>
          <w:b w:val="1"/>
          <w:bCs w:val="1"/>
          <w:color w:val="auto"/>
        </w:rPr>
        <w:t xml:space="preserve"> </w:t>
      </w:r>
      <w:r>
        <w:rPr>
          <w:rFonts w:ascii="Arial" w:cs="Arial" w:eastAsia="Arial" w:hAnsi="Arial"/>
          <w:sz w:val="18"/>
          <w:szCs w:val="18"/>
          <w:color w:val="auto"/>
        </w:rPr>
        <w:t>engages in any Detrimental Activity, as determined by the Committee, then the Committee may, in its sole discretion, take actions permitted under the Plan, including, but not limited to: (i) cancelling any and all Restricted Stock Unit, or (ii) requiring that the Participant forfeit any gain realized on the settlement of the Restricted Stock Unit or the disposition of any Class A Common Stock received upon settlement of the Restricted Stock Units, and repay such gain to the Company.</w:t>
      </w:r>
    </w:p>
    <w:p>
      <w:pPr>
        <w:spacing w:after="0" w:line="183" w:lineRule="exact"/>
        <w:rPr>
          <w:rFonts w:ascii="Arial" w:cs="Arial" w:eastAsia="Arial" w:hAnsi="Arial"/>
          <w:sz w:val="18"/>
          <w:szCs w:val="18"/>
          <w:color w:val="auto"/>
        </w:rPr>
      </w:pPr>
    </w:p>
    <w:p>
      <w:pPr>
        <w:ind w:left="1260" w:hanging="273"/>
        <w:spacing w:after="0"/>
        <w:tabs>
          <w:tab w:leader="none" w:pos="126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Offset</w:t>
      </w:r>
      <w:r>
        <w:rPr>
          <w:rFonts w:ascii="Arial" w:cs="Arial" w:eastAsia="Arial" w:hAnsi="Arial"/>
          <w:sz w:val="18"/>
          <w:szCs w:val="18"/>
          <w:color w:val="auto"/>
        </w:rPr>
        <w:t>. The provisions of Section 13(x) of the Plan are incorporated herein by reference and made a part hereof.</w:t>
      </w:r>
    </w:p>
    <w:p>
      <w:pPr>
        <w:spacing w:after="0" w:line="225" w:lineRule="exact"/>
        <w:rPr>
          <w:sz w:val="20"/>
          <w:szCs w:val="20"/>
          <w:color w:val="auto"/>
        </w:rPr>
      </w:pPr>
    </w:p>
    <w:p>
      <w:pPr>
        <w:jc w:val="both"/>
        <w:ind w:right="120" w:firstLine="987"/>
        <w:spacing w:after="0" w:line="303" w:lineRule="auto"/>
        <w:tabs>
          <w:tab w:leader="none" w:pos="1261"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Restricted Stock Unit Agreement shall be construed and interpreted in accordance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50" w:lineRule="exact"/>
        <w:rPr>
          <w:rFonts w:ascii="Arial" w:cs="Arial" w:eastAsia="Arial" w:hAnsi="Arial"/>
          <w:sz w:val="16"/>
          <w:szCs w:val="16"/>
          <w:color w:val="auto"/>
        </w:rPr>
      </w:pPr>
    </w:p>
    <w:p>
      <w:pPr>
        <w:ind w:right="40" w:firstLine="987"/>
        <w:spacing w:after="0" w:line="266" w:lineRule="auto"/>
        <w:tabs>
          <w:tab w:leader="none" w:pos="1261"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The terms and provisions of the Plan are incorporated herein by reference. In the event of a conflict or inconsistency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of the Plan and the provisions of this Restricted Stock Unit Agreement (including the Grant Notice), the Plan shall govern and control.</w:t>
      </w:r>
    </w:p>
    <w:p>
      <w:pPr>
        <w:spacing w:after="0" w:line="175" w:lineRule="exact"/>
        <w:rPr>
          <w:rFonts w:ascii="Arial" w:cs="Arial" w:eastAsia="Arial" w:hAnsi="Arial"/>
          <w:sz w:val="18"/>
          <w:szCs w:val="18"/>
          <w:color w:val="auto"/>
        </w:rPr>
      </w:pPr>
    </w:p>
    <w:p>
      <w:pPr>
        <w:ind w:right="180" w:firstLine="987"/>
        <w:spacing w:after="0" w:line="266" w:lineRule="auto"/>
        <w:tabs>
          <w:tab w:leader="none" w:pos="1261"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It is intended that the Restricted Stock Units granted hereunder shall be exempt from 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“short-term deferral” rule applicable to such section, as set forth in the regulations or other guidance published by the Internal Revenue Service thereunder and shall be interpreted as such.</w:t>
      </w:r>
    </w:p>
    <w:p>
      <w:pPr>
        <w:spacing w:after="0" w:line="175" w:lineRule="exact"/>
        <w:rPr>
          <w:rFonts w:ascii="Arial" w:cs="Arial" w:eastAsia="Arial" w:hAnsi="Arial"/>
          <w:sz w:val="18"/>
          <w:szCs w:val="18"/>
          <w:color w:val="auto"/>
        </w:rPr>
      </w:pPr>
    </w:p>
    <w:p>
      <w:pPr>
        <w:ind w:right="20" w:firstLine="987"/>
        <w:spacing w:after="0" w:line="261" w:lineRule="auto"/>
        <w:tabs>
          <w:tab w:leader="none" w:pos="1261"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Plan, on the Restricted Stock Unit and on any shares of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spacing w:after="0" w:line="179" w:lineRule="exact"/>
        <w:rPr>
          <w:rFonts w:ascii="Arial" w:cs="Arial" w:eastAsia="Arial" w:hAnsi="Arial"/>
          <w:sz w:val="18"/>
          <w:szCs w:val="18"/>
          <w:color w:val="auto"/>
        </w:rPr>
      </w:pPr>
    </w:p>
    <w:p>
      <w:pPr>
        <w:ind w:right="140" w:firstLine="987"/>
        <w:spacing w:after="0" w:line="314" w:lineRule="auto"/>
        <w:tabs>
          <w:tab w:leader="none" w:pos="1261"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85" w:name="page86"/>
    <w:bookmarkEnd w:id="85"/>
    <w:p>
      <w:pPr>
        <w:ind w:left="-500" w:firstLine="987"/>
        <w:spacing w:after="0" w:line="266" w:lineRule="auto"/>
        <w:tabs>
          <w:tab w:leader="none" w:pos="761"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Arial" w:cs="Arial" w:eastAsia="Arial" w:hAnsi="Arial"/>
          <w:sz w:val="18"/>
          <w:szCs w:val="18"/>
          <w:color w:val="auto"/>
        </w:rPr>
        <w:t>. This Restricted Stock Unit Agreement (including, without limitation, all exhibits attached hereto),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00"/>
          </w:cols>
          <w:pgMar w:left="940" w:top="270" w:right="9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211"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TaskUs,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2021 Omnibus Incentive Plan (as it may be amended and/or restated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Participant the number of Options (each Option representing the right to purchase one share of Class A Common Stock) set forth below, at an Exercise Price per share as set forth below. The Options are subject to all of the terms and conditions as set forth herein, in the Option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ectPr>
          <w:pgSz w:w="11900" w:h="16838" w:orient="portrait"/>
          <w:cols w:equalWidth="0" w:num="1">
            <w:col w:w="11020"/>
          </w:cols>
          <w:pgMar w:left="440" w:top="121" w:right="43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Participant Name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Grant: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Reference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Options: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Number of Options Granted</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Exercise Price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Period Expiration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10</w:t>
      </w:r>
      <w:r>
        <w:rPr>
          <w:rFonts w:ascii="Arial" w:cs="Arial" w:eastAsia="Arial" w:hAnsi="Arial"/>
          <w:sz w:val="13"/>
          <w:szCs w:val="13"/>
          <w:color w:val="auto"/>
        </w:rPr>
        <w:t>th</w:t>
      </w:r>
      <w:r>
        <w:rPr>
          <w:rFonts w:ascii="Arial" w:cs="Arial" w:eastAsia="Arial" w:hAnsi="Arial"/>
          <w:sz w:val="16"/>
          <w:szCs w:val="16"/>
          <w:color w:val="auto"/>
        </w:rPr>
        <w:t xml:space="preserve"> anniversary of Grant Date</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Non-Qualified Stock Option</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Options: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Insert No. of Options</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Provided the Participant has not undergone a Termination at the time of the applicable vesting date (or event):</w:t>
      </w:r>
    </w:p>
    <w:p>
      <w:pPr>
        <w:spacing w:after="0" w:line="76" w:lineRule="exact"/>
        <w:rPr>
          <w:sz w:val="20"/>
          <w:szCs w:val="20"/>
          <w:color w:val="auto"/>
        </w:rPr>
      </w:pPr>
    </w:p>
    <w:p>
      <w:pPr>
        <w:sectPr>
          <w:pgSz w:w="11900" w:h="16838" w:orient="portrait"/>
          <w:cols w:equalWidth="0" w:num="2">
            <w:col w:w="2700" w:space="720"/>
            <w:col w:w="7600"/>
          </w:cols>
          <w:pgMar w:left="440" w:top="121" w:right="439" w:bottom="1440" w:gutter="0" w:footer="0" w:header="0"/>
          <w:type w:val="continuous"/>
        </w:sectPr>
      </w:pPr>
    </w:p>
    <w:p>
      <w:pPr>
        <w:ind w:left="4120" w:right="260" w:hanging="359"/>
        <w:spacing w:after="0" w:line="277" w:lineRule="auto"/>
        <w:tabs>
          <w:tab w:leader="none" w:pos="4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of the Options (rounded down to the nearest whole share) will vest on the date that is one year following the Vesting Reference Date; and</w:t>
      </w:r>
    </w:p>
    <w:p>
      <w:pPr>
        <w:spacing w:after="0" w:line="76" w:lineRule="exact"/>
        <w:rPr>
          <w:sz w:val="20"/>
          <w:szCs w:val="20"/>
          <w:color w:val="auto"/>
        </w:rPr>
      </w:pPr>
    </w:p>
    <w:p>
      <w:pPr>
        <w:ind w:left="4100" w:right="20" w:hanging="359"/>
        <w:spacing w:after="0" w:line="277" w:lineRule="auto"/>
        <w:tabs>
          <w:tab w:leader="none" w:pos="4080" w:val="left"/>
        </w:tabs>
        <w:rPr>
          <w:sz w:val="20"/>
          <w:szCs w:val="20"/>
          <w:color w:val="auto"/>
        </w:rPr>
      </w:pPr>
      <w:r>
        <w:rPr>
          <w:rFonts w:ascii="Arial" w:cs="Arial" w:eastAsia="Arial" w:hAnsi="Arial"/>
          <w:sz w:val="18"/>
          <w:szCs w:val="18"/>
          <w:color w:val="auto"/>
        </w:rPr>
        <w:t>•</w:t>
        <w:tab/>
        <w:t>An additional [</w:t>
      </w:r>
      <w:r>
        <w:rPr>
          <w:rFonts w:ascii="Arial" w:cs="Arial" w:eastAsia="Arial" w:hAnsi="Arial"/>
          <w:sz w:val="18"/>
          <w:szCs w:val="18"/>
          <w:i w:val="1"/>
          <w:iCs w:val="1"/>
          <w:color w:val="auto"/>
        </w:rPr>
        <w:t>•</w:t>
      </w:r>
      <w:r>
        <w:rPr>
          <w:rFonts w:ascii="Arial" w:cs="Arial" w:eastAsia="Arial" w:hAnsi="Arial"/>
          <w:sz w:val="18"/>
          <w:szCs w:val="18"/>
          <w:color w:val="auto"/>
        </w:rPr>
        <w:t>] of the Options (rounded down to the nearest whole share) will vest on the date that is two years after the Vesting Reference Date;</w:t>
      </w:r>
    </w:p>
    <w:p>
      <w:pPr>
        <w:spacing w:after="0" w:line="76" w:lineRule="exact"/>
        <w:rPr>
          <w:sz w:val="20"/>
          <w:szCs w:val="20"/>
          <w:color w:val="auto"/>
        </w:rPr>
      </w:pPr>
    </w:p>
    <w:p>
      <w:pPr>
        <w:ind w:left="4120" w:right="640" w:hanging="359"/>
        <w:spacing w:after="0" w:line="277" w:lineRule="auto"/>
        <w:tabs>
          <w:tab w:leader="none" w:pos="4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 additional [</w:t>
      </w:r>
      <w:r>
        <w:rPr>
          <w:rFonts w:ascii="Arial" w:cs="Arial" w:eastAsia="Arial" w:hAnsi="Arial"/>
          <w:sz w:val="18"/>
          <w:szCs w:val="18"/>
          <w:i w:val="1"/>
          <w:iCs w:val="1"/>
          <w:color w:val="auto"/>
        </w:rPr>
        <w:t>•</w:t>
      </w:r>
      <w:r>
        <w:rPr>
          <w:rFonts w:ascii="Arial" w:cs="Arial" w:eastAsia="Arial" w:hAnsi="Arial"/>
          <w:sz w:val="18"/>
          <w:szCs w:val="18"/>
          <w:color w:val="auto"/>
        </w:rPr>
        <w:t>] of the Options will vest on the date that is three years after the Vesting Reference Date; and</w:t>
      </w:r>
    </w:p>
    <w:p>
      <w:pPr>
        <w:spacing w:after="0" w:line="76" w:lineRule="exact"/>
        <w:rPr>
          <w:sz w:val="20"/>
          <w:szCs w:val="20"/>
          <w:color w:val="auto"/>
        </w:rPr>
      </w:pPr>
    </w:p>
    <w:p>
      <w:pPr>
        <w:ind w:left="4120" w:right="220" w:hanging="359"/>
        <w:spacing w:after="0" w:line="277" w:lineRule="auto"/>
        <w:tabs>
          <w:tab w:leader="none" w:pos="4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remaining [</w:t>
      </w:r>
      <w:r>
        <w:rPr>
          <w:rFonts w:ascii="Arial" w:cs="Arial" w:eastAsia="Arial" w:hAnsi="Arial"/>
          <w:sz w:val="18"/>
          <w:szCs w:val="18"/>
          <w:i w:val="1"/>
          <w:iCs w:val="1"/>
          <w:color w:val="auto"/>
        </w:rPr>
        <w:t>•</w:t>
      </w:r>
      <w:r>
        <w:rPr>
          <w:rFonts w:ascii="Arial" w:cs="Arial" w:eastAsia="Arial" w:hAnsi="Arial"/>
          <w:sz w:val="18"/>
          <w:szCs w:val="18"/>
          <w:color w:val="auto"/>
        </w:rPr>
        <w:t>] of the Options shall vest on the fourth anniversary of the Vesting Reference Date.</w:t>
      </w:r>
    </w:p>
    <w:p>
      <w:pPr>
        <w:spacing w:after="0" w:line="197" w:lineRule="exact"/>
        <w:rPr>
          <w:sz w:val="20"/>
          <w:szCs w:val="20"/>
          <w:color w:val="auto"/>
        </w:rPr>
      </w:pPr>
    </w:p>
    <w:p>
      <w:pPr>
        <w:ind w:left="3420" w:right="260"/>
        <w:spacing w:after="0" w:line="263" w:lineRule="auto"/>
        <w:rPr>
          <w:sz w:val="20"/>
          <w:szCs w:val="20"/>
          <w:color w:val="auto"/>
        </w:rPr>
      </w:pPr>
      <w:r>
        <w:rPr>
          <w:rFonts w:ascii="Arial" w:cs="Arial" w:eastAsia="Arial" w:hAnsi="Arial"/>
          <w:sz w:val="18"/>
          <w:szCs w:val="18"/>
          <w:color w:val="auto"/>
        </w:rPr>
        <w:t>Notwithstanding the foregoing, (i) if the Participant undergoes a Termination by the Service Recipient without Cause by the Participant for Good Reason, or due to death or Disability, then upon such Termination, then the Participant shall vest in respect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6"/>
              </w:rPr>
              <w:t>next immediate four tranches of the Options that are scheduled to vest immediately following such</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9"/>
              </w:rPr>
              <w:t xml:space="preserve">Termination and become exercisable;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that any Options which vest as a result of such</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2"/>
              </w:rPr>
              <w:t>Termination may only be exercised during the 90-day period following the date on which such Options</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4"/>
              </w:rPr>
              <w:t>would have otherwise vested in accordance with this Grant Notice and (ii) the Options shall fully vest</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0"/>
              </w:rPr>
              <w:t>and become exercisable if either (A) the Options would not otherwise be continued, converted, assumed,</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0"/>
              </w:rPr>
              <w:t>or replaced by the Company, a member of the Company Group or a successor entity thereto; or (B) if the</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4"/>
              </w:rPr>
              <w:t>Participant undergoes a Termination by the Service Recipient without Cause, by such Participant for</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7"/>
              </w:rPr>
              <w:t>Good Reason, or due to death or Disability at any time following a Change in Control in which the</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3"/>
              </w:rPr>
              <w:t>Options are continued, converted, assumed, or replaced by the Company, a member of the Company</w:t>
            </w:r>
          </w:p>
        </w:tc>
      </w:tr>
      <w:tr>
        <w:trPr>
          <w:trHeight w:val="230"/>
        </w:trPr>
        <w:tc>
          <w:tcPr>
            <w:tcW w:w="3420" w:type="dxa"/>
            <w:vAlign w:val="bottom"/>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Group or a successor entity thereto.</w:t>
            </w:r>
          </w:p>
        </w:tc>
      </w:tr>
      <w:tr>
        <w:trPr>
          <w:trHeight w:val="392"/>
        </w:trPr>
        <w:tc>
          <w:tcPr>
            <w:tcW w:w="3420" w:type="dxa"/>
            <w:vAlign w:val="bottom"/>
          </w:tcPr>
          <w:p>
            <w:pPr>
              <w:spacing w:after="0"/>
              <w:rPr>
                <w:sz w:val="20"/>
                <w:szCs w:val="20"/>
                <w:color w:val="auto"/>
              </w:rPr>
            </w:pPr>
            <w:r>
              <w:rPr>
                <w:rFonts w:ascii="Arial" w:cs="Arial" w:eastAsia="Arial" w:hAnsi="Arial"/>
                <w:sz w:val="18"/>
                <w:szCs w:val="18"/>
                <w:b w:val="1"/>
                <w:bCs w:val="1"/>
                <w:color w:val="auto"/>
              </w:rPr>
              <w:t>Certain Definitions:</w:t>
            </w:r>
          </w:p>
        </w:tc>
        <w:tc>
          <w:tcPr>
            <w:tcW w:w="7540" w:type="dxa"/>
            <w:vAlign w:val="bottom"/>
            <w:gridSpan w:val="5"/>
          </w:tcPr>
          <w:p>
            <w:pPr>
              <w:spacing w:after="0"/>
              <w:rPr>
                <w:sz w:val="20"/>
                <w:szCs w:val="20"/>
                <w:color w:val="auto"/>
              </w:rPr>
            </w:pPr>
            <w:r>
              <w:rPr>
                <w:rFonts w:ascii="Arial" w:cs="Arial" w:eastAsia="Arial" w:hAnsi="Arial"/>
                <w:sz w:val="18"/>
                <w:szCs w:val="18"/>
                <w:color w:val="auto"/>
              </w:rPr>
              <w:t>“Good Reason” shall be deemed to exist upon the occurrence of (i) a material reduction in the</w:t>
            </w: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5"/>
              </w:rPr>
              <w:t>Participant’s total target cash compensation or (ii) a material diminution in the Participant’s position,</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3"/>
              </w:rPr>
              <w:t>function, responsibility, or reporting level, in each case, without the Participants prior written consent;</w:t>
            </w:r>
          </w:p>
        </w:tc>
      </w:tr>
      <w:tr>
        <w:trPr>
          <w:trHeight w:val="190"/>
        </w:trPr>
        <w:tc>
          <w:tcPr>
            <w:tcW w:w="3420" w:type="dxa"/>
            <w:vAlign w:val="bottom"/>
          </w:tcPr>
          <w:p>
            <w:pPr>
              <w:spacing w:after="0"/>
              <w:rPr>
                <w:sz w:val="16"/>
                <w:szCs w:val="16"/>
                <w:color w:val="auto"/>
              </w:rPr>
            </w:pPr>
          </w:p>
        </w:tc>
        <w:tc>
          <w:tcPr>
            <w:tcW w:w="7540" w:type="dxa"/>
            <w:vAlign w:val="bottom"/>
            <w:gridSpan w:val="5"/>
          </w:tcPr>
          <w:p>
            <w:pPr>
              <w:spacing w:after="0" w:line="190" w:lineRule="exact"/>
              <w:rPr>
                <w:sz w:val="20"/>
                <w:szCs w:val="20"/>
                <w:color w:val="auto"/>
              </w:rPr>
            </w:pPr>
            <w:r>
              <w:rPr>
                <w:rFonts w:ascii="Arial" w:cs="Arial" w:eastAsia="Arial" w:hAnsi="Arial"/>
                <w:sz w:val="18"/>
                <w:szCs w:val="18"/>
                <w:color w:val="auto"/>
                <w:w w:val="93"/>
              </w:rPr>
              <w:t>provided, that none of the foregoing events shall constitute Good Reason unless the Company fails to</w:t>
            </w:r>
          </w:p>
        </w:tc>
      </w:tr>
      <w:tr>
        <w:trPr>
          <w:trHeight w:val="20"/>
        </w:trPr>
        <w:tc>
          <w:tcPr>
            <w:tcW w:w="3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5"/>
              </w:rPr>
              <w:t>cure such event within 30 days after receipt from the Participant of written notice of the event which</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1"/>
              </w:rPr>
              <w:t>constitutes Good Reason; provided, further, that “Good Reason” shall cease to exist for an event on the</w:t>
            </w:r>
          </w:p>
        </w:tc>
      </w:tr>
      <w:tr>
        <w:trPr>
          <w:trHeight w:val="216"/>
        </w:trPr>
        <w:tc>
          <w:tcPr>
            <w:tcW w:w="3420" w:type="dxa"/>
            <w:vAlign w:val="bottom"/>
          </w:tcPr>
          <w:p>
            <w:pPr>
              <w:spacing w:after="0"/>
              <w:rPr>
                <w:sz w:val="18"/>
                <w:szCs w:val="18"/>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60th day following the later of its occurrence or the Participant’s knowledge thereof, unless the</w:t>
            </w:r>
          </w:p>
        </w:tc>
      </w:tr>
      <w:tr>
        <w:trPr>
          <w:trHeight w:val="230"/>
        </w:trPr>
        <w:tc>
          <w:tcPr>
            <w:tcW w:w="3420" w:type="dxa"/>
            <w:vAlign w:val="bottom"/>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Participant has given the Company written notice thereof prior to such date.</w:t>
            </w:r>
          </w:p>
        </w:tc>
      </w:tr>
      <w:tr>
        <w:trPr>
          <w:trHeight w:val="418"/>
        </w:trPr>
        <w:tc>
          <w:tcPr>
            <w:tcW w:w="3420" w:type="dxa"/>
            <w:vAlign w:val="bottom"/>
          </w:tcPr>
          <w:p>
            <w:pPr>
              <w:spacing w:after="0"/>
              <w:rPr>
                <w:sz w:val="24"/>
                <w:szCs w:val="24"/>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3"/>
              </w:rPr>
              <w:t>“Termination” shall mean a termination of Participant’s employment with the Service Recipient for any</w:t>
            </w: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222"/>
        </w:trPr>
        <w:tc>
          <w:tcPr>
            <w:tcW w:w="3420" w:type="dxa"/>
            <w:vAlign w:val="bottom"/>
          </w:tcPr>
          <w:p>
            <w:pPr>
              <w:spacing w:after="0"/>
              <w:rPr>
                <w:sz w:val="19"/>
                <w:szCs w:val="19"/>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w w:val="98"/>
              </w:rPr>
              <w:t>reason (including death or Disability), without regard to whether Participant continues to provide</w:t>
            </w:r>
          </w:p>
        </w:tc>
      </w:tr>
      <w:tr>
        <w:trPr>
          <w:trHeight w:val="230"/>
        </w:trPr>
        <w:tc>
          <w:tcPr>
            <w:tcW w:w="3420" w:type="dxa"/>
            <w:vAlign w:val="bottom"/>
          </w:tcPr>
          <w:p>
            <w:pPr>
              <w:spacing w:after="0"/>
              <w:rPr>
                <w:sz w:val="20"/>
                <w:szCs w:val="20"/>
                <w:color w:val="auto"/>
              </w:rPr>
            </w:pPr>
          </w:p>
        </w:tc>
        <w:tc>
          <w:tcPr>
            <w:tcW w:w="7540" w:type="dxa"/>
            <w:vAlign w:val="bottom"/>
            <w:gridSpan w:val="5"/>
          </w:tcPr>
          <w:p>
            <w:pPr>
              <w:spacing w:after="0"/>
              <w:rPr>
                <w:sz w:val="20"/>
                <w:szCs w:val="20"/>
                <w:color w:val="auto"/>
              </w:rPr>
            </w:pPr>
            <w:r>
              <w:rPr>
                <w:rFonts w:ascii="Arial" w:cs="Arial" w:eastAsia="Arial" w:hAnsi="Arial"/>
                <w:sz w:val="18"/>
                <w:szCs w:val="18"/>
                <w:color w:val="auto"/>
              </w:rPr>
              <w:t>services to the Service Recipient in a non-employee capacity.</w:t>
            </w:r>
          </w:p>
        </w:tc>
      </w:tr>
      <w:tr>
        <w:trPr>
          <w:trHeight w:val="445"/>
        </w:trPr>
        <w:tc>
          <w:tcPr>
            <w:tcW w:w="34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  *  *</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00" w:type="dxa"/>
            <w:vAlign w:val="bottom"/>
          </w:tcPr>
          <w:p>
            <w:pPr>
              <w:spacing w:after="0"/>
              <w:rPr>
                <w:sz w:val="24"/>
                <w:szCs w:val="24"/>
                <w:color w:val="auto"/>
              </w:rPr>
            </w:pPr>
          </w:p>
        </w:tc>
      </w:tr>
      <w:tr>
        <w:trPr>
          <w:trHeight w:val="365"/>
        </w:trPr>
        <w:tc>
          <w:tcPr>
            <w:tcW w:w="3420" w:type="dxa"/>
            <w:vAlign w:val="bottom"/>
          </w:tcPr>
          <w:p>
            <w:pPr>
              <w:spacing w:after="0"/>
              <w:rPr>
                <w:sz w:val="24"/>
                <w:szCs w:val="24"/>
                <w:color w:val="auto"/>
              </w:rPr>
            </w:pPr>
          </w:p>
        </w:tc>
        <w:tc>
          <w:tcPr>
            <w:tcW w:w="7540" w:type="dxa"/>
            <w:vAlign w:val="bottom"/>
            <w:gridSpan w:val="5"/>
          </w:tcPr>
          <w:p>
            <w:pPr>
              <w:ind w:left="2040"/>
              <w:spacing w:after="0"/>
              <w:rPr>
                <w:sz w:val="20"/>
                <w:szCs w:val="20"/>
                <w:color w:val="auto"/>
              </w:rPr>
            </w:pPr>
            <w:r>
              <w:rPr>
                <w:rFonts w:ascii="Arial" w:cs="Arial" w:eastAsia="Arial" w:hAnsi="Arial"/>
                <w:sz w:val="18"/>
                <w:szCs w:val="18"/>
                <w:color w:val="auto"/>
              </w:rPr>
              <w:t>2</w:t>
            </w:r>
          </w:p>
        </w:tc>
      </w:tr>
    </w:tbl>
    <w:p>
      <w:pPr>
        <w:ind w:left="204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TASKUS,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tab/>
        <w:t>[•]</w:t>
      </w:r>
    </w:p>
    <w:p>
      <w:pPr>
        <w:spacing w:after="0" w:line="143" w:lineRule="exact"/>
        <w:rPr>
          <w:sz w:val="20"/>
          <w:szCs w:val="20"/>
          <w:color w:val="auto"/>
        </w:rPr>
      </w:pPr>
    </w:p>
    <w:p>
      <w:pPr>
        <w:jc w:val="right"/>
        <w:ind w:right="3039"/>
        <w:spacing w:after="0"/>
        <w:rPr>
          <w:sz w:val="20"/>
          <w:szCs w:val="20"/>
          <w:color w:val="auto"/>
        </w:rPr>
      </w:pPr>
      <w:r>
        <w:rPr>
          <w:rFonts w:ascii="Arial" w:cs="Arial" w:eastAsia="Arial" w:hAnsi="Arial"/>
          <w:sz w:val="18"/>
          <w:szCs w:val="18"/>
          <w:i w:val="1"/>
          <w:iCs w:val="1"/>
          <w:color w:val="auto"/>
        </w:rPr>
        <w:t>[Signature Page to Option Grant Notice]</w:t>
      </w:r>
    </w:p>
    <w:p>
      <w:pPr>
        <w:sectPr>
          <w:pgSz w:w="11900" w:h="16838" w:orient="portrait"/>
          <w:cols w:equalWidth="0" w:num="1">
            <w:col w:w="10019"/>
          </w:cols>
          <w:pgMar w:left="440" w:top="274" w:right="1440" w:bottom="1440" w:gutter="0" w:footer="0" w:header="0"/>
        </w:sectPr>
      </w:pPr>
    </w:p>
    <w:bookmarkStart w:id="89" w:name="page90"/>
    <w:bookmarkEnd w:id="89"/>
    <w:p>
      <w:pPr>
        <w:jc w:val="both"/>
        <w:ind w:left="4"/>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PARTICIPANT ACKNOWLEDGES RECEIPT OF THIS OPTION GRANT NOTICE, THE OPTION AGREEMENT AND THE PLAN, AND, AS AN EXPRESS CONDITION TO THE GRANT OF OPTIONS HEREUNDER, AGREES TO BE BOUND BY THE TERMS OF THIS OPTION GRANT NOTICE, THE OPTION AGREEMENT AND THE PLAN.</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7946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383540</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4" w:right="900" w:hanging="424"/>
        <w:spacing w:after="0" w:line="277" w:lineRule="auto"/>
        <w:tabs>
          <w:tab w:leader="none" w:pos="424" w:val="left"/>
        </w:tabs>
        <w:numPr>
          <w:ilvl w:val="0"/>
          <w:numId w:val="74"/>
        </w:numPr>
        <w:rPr>
          <w:rFonts w:ascii="Arial" w:cs="Arial" w:eastAsia="Arial" w:hAnsi="Arial"/>
          <w:sz w:val="15"/>
          <w:szCs w:val="15"/>
          <w:color w:val="auto"/>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[Signature Page to Option Grant Notice]</w:t>
      </w:r>
    </w:p>
    <w:p>
      <w:pPr>
        <w:sectPr>
          <w:pgSz w:w="11900" w:h="16838" w:orient="portrait"/>
          <w:cols w:equalWidth="0" w:num="1">
            <w:col w:w="11004"/>
          </w:cols>
          <w:pgMar w:left="436" w:top="270" w:right="4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OMNIBUS INCENTIVE PLAN</w:t>
      </w:r>
    </w:p>
    <w:p>
      <w:pPr>
        <w:spacing w:after="0" w:line="211"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Pursuant to the Option Grant Notice (the “</w:t>
      </w:r>
      <w:r>
        <w:rPr>
          <w:rFonts w:ascii="Arial" w:cs="Arial" w:eastAsia="Arial" w:hAnsi="Arial"/>
          <w:sz w:val="18"/>
          <w:szCs w:val="18"/>
          <w:u w:val="single" w:color="auto"/>
          <w:color w:val="auto"/>
        </w:rPr>
        <w:t>Grant Notice</w:t>
      </w:r>
      <w:r>
        <w:rPr>
          <w:rFonts w:ascii="Arial" w:cs="Arial" w:eastAsia="Arial" w:hAnsi="Arial"/>
          <w:sz w:val="18"/>
          <w:szCs w:val="18"/>
          <w:color w:val="auto"/>
        </w:rPr>
        <w:t>”) delivered to the Participant (as defined in the Grant Notice), and subject to the terms of this Option Agreement (this “</w:t>
      </w:r>
      <w:r>
        <w:rPr>
          <w:rFonts w:ascii="Arial" w:cs="Arial" w:eastAsia="Arial" w:hAnsi="Arial"/>
          <w:sz w:val="18"/>
          <w:szCs w:val="18"/>
          <w:u w:val="single" w:color="auto"/>
          <w:color w:val="auto"/>
        </w:rPr>
        <w:t>Option Agreement</w:t>
      </w:r>
      <w:r>
        <w:rPr>
          <w:rFonts w:ascii="Arial" w:cs="Arial" w:eastAsia="Arial" w:hAnsi="Arial"/>
          <w:sz w:val="18"/>
          <w:szCs w:val="18"/>
          <w:color w:val="auto"/>
        </w:rPr>
        <w:t>”) and the TaskUs, Inc. 2021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TaskUs,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Participant agree as follows. Capitalized terms not otherwise defined herein shall have the same meaning as set forth in the Plan.</w:t>
      </w:r>
    </w:p>
    <w:p>
      <w:pPr>
        <w:spacing w:after="0" w:line="183" w:lineRule="exact"/>
        <w:rPr>
          <w:sz w:val="20"/>
          <w:szCs w:val="20"/>
          <w:color w:val="auto"/>
        </w:rPr>
      </w:pPr>
    </w:p>
    <w:p>
      <w:pPr>
        <w:ind w:right="60" w:firstLine="987"/>
        <w:spacing w:after="0" w:line="256" w:lineRule="auto"/>
        <w:tabs>
          <w:tab w:leader="none" w:pos="117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Subject to the terms and conditions set forth herein and in the Plan, the Company hereby grants to the Participant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Options provided in the Grant Notice (with each Option representing the right to purchase one share of Class A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87" w:lineRule="exact"/>
        <w:rPr>
          <w:rFonts w:ascii="Arial" w:cs="Arial" w:eastAsia="Arial" w:hAnsi="Arial"/>
          <w:sz w:val="18"/>
          <w:szCs w:val="18"/>
          <w:color w:val="auto"/>
        </w:rPr>
      </w:pPr>
    </w:p>
    <w:p>
      <w:pPr>
        <w:ind w:left="1160" w:hanging="173"/>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the conditions contained herein and in the Plan, the Options shall vest as provided in the Grant Notice.</w:t>
      </w:r>
    </w:p>
    <w:p>
      <w:pPr>
        <w:spacing w:after="0" w:line="225" w:lineRule="exact"/>
        <w:rPr>
          <w:rFonts w:ascii="Arial" w:cs="Arial" w:eastAsia="Arial" w:hAnsi="Arial"/>
          <w:sz w:val="18"/>
          <w:szCs w:val="18"/>
          <w:color w:val="auto"/>
        </w:rPr>
      </w:pPr>
    </w:p>
    <w:p>
      <w:pPr>
        <w:ind w:right="160" w:firstLine="987"/>
        <w:spacing w:after="0" w:line="266" w:lineRule="auto"/>
        <w:tabs>
          <w:tab w:leader="none" w:pos="117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Options Following Termination</w:t>
      </w:r>
      <w:r>
        <w:rPr>
          <w:rFonts w:ascii="Arial" w:cs="Arial" w:eastAsia="Arial" w:hAnsi="Arial"/>
          <w:sz w:val="18"/>
          <w:szCs w:val="18"/>
          <w:color w:val="auto"/>
        </w:rPr>
        <w:t>. The provisions of Section 7(c)(ii) of the Plan are incorporated herein by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 hereof, subject to the Vesting Schedule as provided in the Grant Notice (and for the avoidance for doubt, in the event of any conflict of the Grant Notice and Section 7(c)(ii) of the Plan, the provisions of the Grant Notice will prevail).</w:t>
      </w:r>
    </w:p>
    <w:p>
      <w:pPr>
        <w:spacing w:after="0" w:line="175" w:lineRule="exact"/>
        <w:rPr>
          <w:rFonts w:ascii="Arial" w:cs="Arial" w:eastAsia="Arial" w:hAnsi="Arial"/>
          <w:sz w:val="18"/>
          <w:szCs w:val="18"/>
          <w:color w:val="auto"/>
        </w:rPr>
      </w:pPr>
    </w:p>
    <w:p>
      <w:pPr>
        <w:ind w:firstLine="987"/>
        <w:spacing w:after="0" w:line="254" w:lineRule="auto"/>
        <w:tabs>
          <w:tab w:leader="none" w:pos="117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Exercising Options</w:t>
      </w:r>
      <w:r>
        <w:rPr>
          <w:rFonts w:ascii="Arial" w:cs="Arial" w:eastAsia="Arial" w:hAnsi="Arial"/>
          <w:sz w:val="18"/>
          <w:szCs w:val="18"/>
          <w:color w:val="auto"/>
        </w:rPr>
        <w:t>. The Options may be exercised by the delivery of notice of the number of Options that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VP Legal, Corporate Secretary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Participant shall obtain written consent from the Committee prior to the use of the methods described in Section 7(d)(ii)(A) of the Plan.</w:t>
      </w:r>
    </w:p>
    <w:p>
      <w:pPr>
        <w:spacing w:after="0" w:line="191" w:lineRule="exact"/>
        <w:rPr>
          <w:rFonts w:ascii="Arial" w:cs="Arial" w:eastAsia="Arial" w:hAnsi="Arial"/>
          <w:sz w:val="18"/>
          <w:szCs w:val="18"/>
          <w:color w:val="auto"/>
        </w:rPr>
      </w:pPr>
    </w:p>
    <w:p>
      <w:pPr>
        <w:ind w:right="20" w:firstLine="987"/>
        <w:spacing w:after="0" w:line="256" w:lineRule="auto"/>
        <w:tabs>
          <w:tab w:leader="none" w:pos="1171"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Class A Common Stock</w:t>
      </w:r>
      <w:r>
        <w:rPr>
          <w:rFonts w:ascii="Arial" w:cs="Arial" w:eastAsia="Arial" w:hAnsi="Arial"/>
          <w:sz w:val="18"/>
          <w:szCs w:val="18"/>
          <w:color w:val="auto"/>
        </w:rPr>
        <w:t>. Following the exercise of an Option hereunder, as promptly as practical after receipt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notification and full payment of such Exercise Price and any required income or other tax withholding amount (as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the Company shall issue or transfer, or cause such issue or transfer, to the Participant the number of shares of Class A Common Stock with respect to which the Options have been so exercised, and shall either (a) deliver, or cause to be delivered, to the Participant, a certificate or certificates therefor, registered in the Participant’s name or (b) cause such shares of Class A Common Stock to be credited to the Participant’s account at the third-party plan administrator.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91" w:name="page92"/>
    <w:bookmarkEnd w:id="91"/>
    <w:p>
      <w:pPr>
        <w:ind w:left="1160" w:hanging="173"/>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Participant</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The term “Company” as used in this Option Agreement with reference to employment or service shall include the applicable Service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Recipient.</w:t>
      </w:r>
    </w:p>
    <w:p>
      <w:pPr>
        <w:spacing w:after="0" w:line="211" w:lineRule="exact"/>
        <w:rPr>
          <w:sz w:val="20"/>
          <w:szCs w:val="20"/>
          <w:color w:val="auto"/>
        </w:rPr>
      </w:pPr>
    </w:p>
    <w:p>
      <w:pPr>
        <w:ind w:right="20" w:firstLine="987"/>
        <w:spacing w:after="0" w:line="263" w:lineRule="auto"/>
        <w:tabs>
          <w:tab w:leader="none" w:pos="12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Whenever the word “Participant” is used in any provision of this Option Agreement under circumstances where the provision should logically be construed to apply to the executors, the administrators, or the person or persons to whom the Options may be transferred in accordance with Section 13(b) of the Plan, the word “Participant” shall be deemed to include such person or persons.</w:t>
      </w:r>
    </w:p>
    <w:p>
      <w:pPr>
        <w:spacing w:after="0" w:line="180" w:lineRule="exact"/>
        <w:rPr>
          <w:sz w:val="20"/>
          <w:szCs w:val="20"/>
          <w:color w:val="auto"/>
        </w:rPr>
      </w:pPr>
    </w:p>
    <w:p>
      <w:pPr>
        <w:ind w:right="220" w:firstLine="987"/>
        <w:spacing w:after="0" w:line="281" w:lineRule="auto"/>
        <w:tabs>
          <w:tab w:leader="none" w:pos="1171" w:val="left"/>
        </w:tabs>
        <w:numPr>
          <w:ilvl w:val="0"/>
          <w:numId w:val="78"/>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w:t>
      </w:r>
      <w:r>
        <w:rPr>
          <w:rFonts w:ascii="Arial" w:cs="Arial" w:eastAsia="Arial" w:hAnsi="Arial"/>
          <w:sz w:val="17"/>
          <w:szCs w:val="17"/>
          <w:color w:val="auto"/>
        </w:rPr>
        <w:t>. The Options are not transferable by the Participant except to Permitted Transferees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13(b) of the Plan.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64" w:lineRule="exact"/>
        <w:rPr>
          <w:rFonts w:ascii="Arial" w:cs="Arial" w:eastAsia="Arial" w:hAnsi="Arial"/>
          <w:sz w:val="17"/>
          <w:szCs w:val="17"/>
          <w:color w:val="auto"/>
        </w:rPr>
      </w:pPr>
    </w:p>
    <w:p>
      <w:pPr>
        <w:ind w:firstLine="987"/>
        <w:spacing w:after="0" w:line="258" w:lineRule="auto"/>
        <w:tabs>
          <w:tab w:leader="none" w:pos="1171"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Stockholder</w:t>
      </w:r>
      <w:r>
        <w:rPr>
          <w:rFonts w:ascii="Arial" w:cs="Arial" w:eastAsia="Arial" w:hAnsi="Arial"/>
          <w:sz w:val="18"/>
          <w:szCs w:val="18"/>
          <w:color w:val="auto"/>
        </w:rPr>
        <w:t>. The Participant or a Permitted Transferee of the Options shall have no rights as a stockholder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 of Class A Common Stock covered by an Option unless and until the Participant shall have become the holder of record or the beneficial owner of such share of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spacing w:after="0" w:line="183" w:lineRule="exact"/>
        <w:rPr>
          <w:rFonts w:ascii="Arial" w:cs="Arial" w:eastAsia="Arial" w:hAnsi="Arial"/>
          <w:sz w:val="18"/>
          <w:szCs w:val="18"/>
          <w:color w:val="auto"/>
        </w:rPr>
      </w:pPr>
    </w:p>
    <w:p>
      <w:pPr>
        <w:ind w:firstLine="987"/>
        <w:spacing w:after="0" w:line="274" w:lineRule="auto"/>
        <w:tabs>
          <w:tab w:leader="none" w:pos="1171" w:val="left"/>
        </w:tabs>
        <w:numPr>
          <w:ilvl w:val="0"/>
          <w:numId w:val="78"/>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The provisions of Section 13(d) of the Plan are incorporated herein by reference and made a part 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shall satisfy such Participant’s withholding liability, if any, referred to in Section 13(d) of the Plan by having the Company withhold from the number of shares of Class A Common Stock otherwise issuable or deliverable pursuant to the exercise or settlement of the Award a number of shares of Class A Common Stock with a Fair Market Value, on the date that the shares of Class A Common Stock are issued or delivered, equal to such withholding liability; </w:t>
      </w:r>
      <w:r>
        <w:rPr>
          <w:rFonts w:ascii="Arial" w:cs="Arial" w:eastAsia="Arial" w:hAnsi="Arial"/>
          <w:sz w:val="17"/>
          <w:szCs w:val="17"/>
          <w:u w:val="single" w:color="auto"/>
          <w:color w:val="auto"/>
        </w:rPr>
        <w:t>provided</w:t>
      </w:r>
      <w:r>
        <w:rPr>
          <w:rFonts w:ascii="Arial" w:cs="Arial" w:eastAsia="Arial" w:hAnsi="Arial"/>
          <w:sz w:val="17"/>
          <w:szCs w:val="17"/>
          <w:color w:val="auto"/>
        </w:rPr>
        <w:t>, that the number of such shares of Class A Common Stock may not have a Fair Market Value greater than the minimum required statutory withholding liability unless determined by the Committee not to result in adverse accounting consequences.</w:t>
      </w:r>
    </w:p>
    <w:p>
      <w:pPr>
        <w:spacing w:after="0" w:line="173" w:lineRule="exact"/>
        <w:rPr>
          <w:rFonts w:ascii="Arial" w:cs="Arial" w:eastAsia="Arial" w:hAnsi="Arial"/>
          <w:sz w:val="17"/>
          <w:szCs w:val="17"/>
          <w:color w:val="auto"/>
        </w:rPr>
      </w:pPr>
    </w:p>
    <w:p>
      <w:pPr>
        <w:ind w:right="20" w:firstLine="987"/>
        <w:spacing w:after="0" w:line="271" w:lineRule="auto"/>
        <w:tabs>
          <w:tab w:leader="none" w:pos="1261" w:val="left"/>
        </w:tabs>
        <w:numPr>
          <w:ilvl w:val="0"/>
          <w:numId w:val="7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Every notice or other communication relating to this Option Agreement between the Company and the Participant shall be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73" w:lineRule="exact"/>
        <w:rPr>
          <w:rFonts w:ascii="Arial" w:cs="Arial" w:eastAsia="Arial" w:hAnsi="Arial"/>
          <w:sz w:val="17"/>
          <w:szCs w:val="17"/>
          <w:color w:val="auto"/>
        </w:rPr>
      </w:pPr>
    </w:p>
    <w:p>
      <w:pPr>
        <w:ind w:right="40" w:firstLine="987"/>
        <w:spacing w:after="0" w:line="282" w:lineRule="auto"/>
        <w:tabs>
          <w:tab w:leader="none" w:pos="1254"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color w:val="auto"/>
        </w:rPr>
        <w:t>. This Option Agreement does not confer upon the Participant any right to continue as an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 to the Service Recipient or any other member of the Company Group.</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92" w:name="page93"/>
    <w:bookmarkEnd w:id="92"/>
    <w:p>
      <w:pPr>
        <w:ind w:left="1240" w:hanging="273"/>
        <w:spacing w:after="0"/>
        <w:tabs>
          <w:tab w:leader="none" w:pos="1240"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Binding Effect</w:t>
      </w:r>
      <w:r>
        <w:rPr>
          <w:rFonts w:ascii="Arial" w:cs="Arial" w:eastAsia="Arial" w:hAnsi="Arial"/>
          <w:sz w:val="16"/>
          <w:szCs w:val="16"/>
          <w:color w:val="auto"/>
        </w:rPr>
        <w:t>. This Option Agreement shall be binding upon the heirs, executors, administrators and successors of the parties hereto.</w:t>
      </w:r>
    </w:p>
    <w:p>
      <w:pPr>
        <w:spacing w:after="0" w:line="248" w:lineRule="exact"/>
        <w:rPr>
          <w:rFonts w:ascii="Arial" w:cs="Arial" w:eastAsia="Arial" w:hAnsi="Arial"/>
          <w:sz w:val="16"/>
          <w:szCs w:val="16"/>
          <w:color w:val="auto"/>
        </w:rPr>
      </w:pPr>
    </w:p>
    <w:p>
      <w:pPr>
        <w:ind w:left="-20" w:right="60" w:firstLine="987"/>
        <w:spacing w:after="0" w:line="258" w:lineRule="auto"/>
        <w:tabs>
          <w:tab w:leader="none" w:pos="1241"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12 of the Plan, any waiver, alteration, amendment or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of the terms of this Option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3" w:lineRule="exact"/>
        <w:rPr>
          <w:rFonts w:ascii="Arial" w:cs="Arial" w:eastAsia="Arial" w:hAnsi="Arial"/>
          <w:sz w:val="18"/>
          <w:szCs w:val="18"/>
          <w:color w:val="auto"/>
        </w:rPr>
      </w:pPr>
    </w:p>
    <w:p>
      <w:pPr>
        <w:ind w:left="-20" w:firstLine="987"/>
        <w:spacing w:after="0" w:line="277" w:lineRule="auto"/>
        <w:tabs>
          <w:tab w:leader="none" w:pos="1241"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Clawback/Repayment</w:t>
      </w:r>
      <w:r>
        <w:rPr>
          <w:rFonts w:ascii="Arial" w:cs="Arial" w:eastAsia="Arial" w:hAnsi="Arial"/>
          <w:sz w:val="17"/>
          <w:szCs w:val="17"/>
          <w:color w:val="auto"/>
        </w:rPr>
        <w:t>. This Option Agreement shall be subject to reduction, cancellation, forfeiture or recoupment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w:t>
      </w:r>
    </w:p>
    <w:p>
      <w:pPr>
        <w:spacing w:after="0" w:line="167" w:lineRule="exact"/>
        <w:rPr>
          <w:rFonts w:ascii="Arial" w:cs="Arial" w:eastAsia="Arial" w:hAnsi="Arial"/>
          <w:sz w:val="17"/>
          <w:szCs w:val="17"/>
          <w:color w:val="auto"/>
        </w:rPr>
      </w:pPr>
    </w:p>
    <w:p>
      <w:pPr>
        <w:jc w:val="both"/>
        <w:ind w:left="-20" w:right="180" w:firstLine="987"/>
        <w:spacing w:after="0" w:line="303" w:lineRule="auto"/>
        <w:tabs>
          <w:tab w:leader="none" w:pos="1241"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Detrimental Activity</w:t>
      </w:r>
      <w:r>
        <w:rPr>
          <w:rFonts w:ascii="Arial" w:cs="Arial" w:eastAsia="Arial" w:hAnsi="Arial"/>
          <w:sz w:val="16"/>
          <w:szCs w:val="16"/>
          <w:color w:val="auto"/>
        </w:rPr>
        <w:t>. Notwithstanding anything to the contrary contained herein or in the Plan, if the Participant has engaged in or</w:t>
      </w:r>
      <w:r>
        <w:rPr>
          <w:rFonts w:ascii="Arial" w:cs="Arial" w:eastAsia="Arial" w:hAnsi="Arial"/>
          <w:sz w:val="16"/>
          <w:szCs w:val="16"/>
          <w:b w:val="1"/>
          <w:bCs w:val="1"/>
          <w:color w:val="auto"/>
        </w:rPr>
        <w:t xml:space="preserve"> </w:t>
      </w:r>
      <w:r>
        <w:rPr>
          <w:rFonts w:ascii="Arial" w:cs="Arial" w:eastAsia="Arial" w:hAnsi="Arial"/>
          <w:sz w:val="16"/>
          <w:szCs w:val="16"/>
          <w:color w:val="auto"/>
        </w:rPr>
        <w:t>engages in any Detrimental Activity, as determined by the Committee, then the Committee may, in its sole discretion, take actions permitted under the Plan, including, but not limited to: (i) cancelling any and all Option, or (ii) requiring that the Participant forfeit any gain realized on the exercise of the Options or the disposition of any Class A Common Stock received upon exercise of the Options, and repay such gain to the Company.</w:t>
      </w:r>
    </w:p>
    <w:p>
      <w:pPr>
        <w:spacing w:after="0" w:line="150" w:lineRule="exact"/>
        <w:rPr>
          <w:rFonts w:ascii="Arial" w:cs="Arial" w:eastAsia="Arial" w:hAnsi="Arial"/>
          <w:sz w:val="16"/>
          <w:szCs w:val="16"/>
          <w:color w:val="auto"/>
        </w:rPr>
      </w:pPr>
    </w:p>
    <w:p>
      <w:pPr>
        <w:ind w:left="1240" w:hanging="273"/>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Offset</w:t>
      </w:r>
      <w:r>
        <w:rPr>
          <w:rFonts w:ascii="Arial" w:cs="Arial" w:eastAsia="Arial" w:hAnsi="Arial"/>
          <w:sz w:val="18"/>
          <w:szCs w:val="18"/>
          <w:color w:val="auto"/>
        </w:rPr>
        <w:t>. The provisions of Section 13(x) of the Plan are incorporated herein by reference and made a part hereof.</w:t>
      </w:r>
    </w:p>
    <w:p>
      <w:pPr>
        <w:spacing w:after="0" w:line="225" w:lineRule="exact"/>
        <w:rPr>
          <w:rFonts w:ascii="Arial" w:cs="Arial" w:eastAsia="Arial" w:hAnsi="Arial"/>
          <w:sz w:val="18"/>
          <w:szCs w:val="18"/>
          <w:color w:val="auto"/>
        </w:rPr>
      </w:pPr>
    </w:p>
    <w:p>
      <w:pPr>
        <w:ind w:left="-20" w:right="140" w:firstLine="987"/>
        <w:spacing w:after="0" w:line="281" w:lineRule="auto"/>
        <w:tabs>
          <w:tab w:leader="none" w:pos="1241"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Option Agreement shall be construed and interpreted in accordance with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Delaware.</w:t>
      </w:r>
    </w:p>
    <w:p>
      <w:pPr>
        <w:spacing w:after="0" w:line="164" w:lineRule="exact"/>
        <w:rPr>
          <w:rFonts w:ascii="Arial" w:cs="Arial" w:eastAsia="Arial" w:hAnsi="Arial"/>
          <w:sz w:val="17"/>
          <w:szCs w:val="17"/>
          <w:color w:val="auto"/>
        </w:rPr>
      </w:pPr>
    </w:p>
    <w:p>
      <w:pPr>
        <w:ind w:left="-20" w:right="20" w:firstLine="987"/>
        <w:spacing w:after="0" w:line="347" w:lineRule="auto"/>
        <w:tabs>
          <w:tab w:leader="none" w:pos="1241"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The terms and provisions of the Plan are incorporated herein by reference. In the event of a conflict or inconsistency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provisions of the Plan and the provisions of this Option Agreement (including the Grant Notice), the Plan shall govern and control.</w:t>
      </w:r>
    </w:p>
    <w:p>
      <w:pPr>
        <w:spacing w:after="0" w:line="115" w:lineRule="exact"/>
        <w:rPr>
          <w:rFonts w:ascii="Arial" w:cs="Arial" w:eastAsia="Arial" w:hAnsi="Arial"/>
          <w:sz w:val="16"/>
          <w:szCs w:val="16"/>
          <w:color w:val="auto"/>
        </w:rPr>
      </w:pPr>
    </w:p>
    <w:p>
      <w:pPr>
        <w:jc w:val="both"/>
        <w:ind w:left="-20" w:right="100" w:firstLine="987"/>
        <w:spacing w:after="0" w:line="261" w:lineRule="auto"/>
        <w:tabs>
          <w:tab w:leader="none" w:pos="1241"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Plan, on the Option and on any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spacing w:after="0" w:line="179" w:lineRule="exact"/>
        <w:rPr>
          <w:rFonts w:ascii="Arial" w:cs="Arial" w:eastAsia="Arial" w:hAnsi="Arial"/>
          <w:sz w:val="18"/>
          <w:szCs w:val="18"/>
          <w:color w:val="auto"/>
        </w:rPr>
      </w:pPr>
    </w:p>
    <w:p>
      <w:pPr>
        <w:ind w:left="-20" w:right="120" w:firstLine="987"/>
        <w:spacing w:after="0" w:line="314" w:lineRule="auto"/>
        <w:tabs>
          <w:tab w:leader="none" w:pos="1241"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0" w:right="459" w:bottom="1440" w:gutter="0" w:footer="0" w:header="0"/>
        </w:sectPr>
      </w:pPr>
    </w:p>
    <w:bookmarkStart w:id="93" w:name="page94"/>
    <w:bookmarkEnd w:id="93"/>
    <w:p>
      <w:pPr>
        <w:ind w:left="-100" w:firstLine="987"/>
        <w:spacing w:after="0" w:line="266" w:lineRule="auto"/>
        <w:tabs>
          <w:tab w:leader="none" w:pos="1161"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Arial" w:cs="Arial" w:eastAsia="Arial" w:hAnsi="Arial"/>
          <w:sz w:val="18"/>
          <w:szCs w:val="18"/>
          <w:color w:val="auto"/>
        </w:rPr>
        <w:t>. This Option Agreement (including, without limitation, all exhibits attached hereto), the Grant Notice and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the entire agreement of the parties hereto in respect of the subject matter contained herein and supersede all prior agreements and understandings of the parties, oral and written, with respect to such subject matter.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540" w:top="270" w:right="5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VESTING AWARD</w:t>
      </w:r>
    </w:p>
    <w:p>
      <w:pPr>
        <w:spacing w:after="0" w:line="21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TaskUs,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2021 Omnibus Incentive Plan (as it may be amended and/or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the number of performance-based Restricted Stock Units (“</w:t>
      </w:r>
      <w:r>
        <w:rPr>
          <w:rFonts w:ascii="Arial" w:cs="Arial" w:eastAsia="Arial" w:hAnsi="Arial"/>
          <w:sz w:val="18"/>
          <w:szCs w:val="18"/>
          <w:u w:val="single" w:color="auto"/>
          <w:color w:val="auto"/>
        </w:rPr>
        <w:t>Performance Stock Units</w:t>
      </w:r>
      <w:r>
        <w:rPr>
          <w:rFonts w:ascii="Arial" w:cs="Arial" w:eastAsia="Arial" w:hAnsi="Arial"/>
          <w:sz w:val="18"/>
          <w:szCs w:val="18"/>
          <w:color w:val="auto"/>
        </w:rPr>
        <w:t xml:space="preserve">”) equal to the “Number of Performance Stock Units” set forth below. The Performance Stock Units are subject to all of the terms and conditions as set forth herein, in the Performance Stock Unit Agreement (attached hereto or previously provided to the Participant in connection with a prior grant),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and in the Plan, all of which are incorporated herein in their entirety. Capitalized terms not otherwise defined herein shall have the meaning set forth in the Plan.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58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Participant Name</w:t>
            </w:r>
            <w:r>
              <w:rPr>
                <w:rFonts w:ascii="Arial" w:cs="Arial" w:eastAsia="Arial" w:hAnsi="Arial"/>
                <w:sz w:val="18"/>
                <w:szCs w:val="18"/>
                <w:color w:val="auto"/>
              </w:rPr>
              <w:t>]</w:t>
            </w:r>
          </w:p>
        </w:tc>
      </w:tr>
      <w:tr>
        <w:trPr>
          <w:trHeight w:val="473"/>
        </w:trPr>
        <w:tc>
          <w:tcPr>
            <w:tcW w:w="41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588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2021</w:t>
            </w:r>
          </w:p>
        </w:tc>
      </w:tr>
      <w:tr>
        <w:trPr>
          <w:trHeight w:val="458"/>
        </w:trPr>
        <w:tc>
          <w:tcPr>
            <w:tcW w:w="4180" w:type="dxa"/>
            <w:vAlign w:val="bottom"/>
          </w:tcPr>
          <w:p>
            <w:pPr>
              <w:spacing w:after="0"/>
              <w:rPr>
                <w:sz w:val="20"/>
                <w:szCs w:val="20"/>
                <w:color w:val="auto"/>
              </w:rPr>
            </w:pPr>
            <w:r>
              <w:rPr>
                <w:rFonts w:ascii="Arial" w:cs="Arial" w:eastAsia="Arial" w:hAnsi="Arial"/>
                <w:sz w:val="18"/>
                <w:szCs w:val="18"/>
                <w:b w:val="1"/>
                <w:bCs w:val="1"/>
                <w:color w:val="auto"/>
              </w:rPr>
              <w:t>Performance Period:</w:t>
            </w:r>
          </w:p>
        </w:tc>
        <w:tc>
          <w:tcPr>
            <w:tcW w:w="5880" w:type="dxa"/>
            <w:vAlign w:val="bottom"/>
            <w:gridSpan w:val="4"/>
          </w:tcPr>
          <w:p>
            <w:pPr>
              <w:spacing w:after="0"/>
              <w:rPr>
                <w:sz w:val="20"/>
                <w:szCs w:val="20"/>
                <w:color w:val="auto"/>
              </w:rPr>
            </w:pPr>
            <w:r>
              <w:rPr>
                <w:rFonts w:ascii="Arial" w:cs="Arial" w:eastAsia="Arial" w:hAnsi="Arial"/>
                <w:sz w:val="18"/>
                <w:szCs w:val="18"/>
                <w:color w:val="auto"/>
                <w:w w:val="90"/>
              </w:rPr>
              <w:t>The Performance Period applicable to the Performance Stock Units is set forth on</w:t>
            </w:r>
          </w:p>
        </w:tc>
      </w:tr>
      <w:tr>
        <w:trPr>
          <w:trHeight w:val="190"/>
        </w:trPr>
        <w:tc>
          <w:tcPr>
            <w:tcW w:w="4180" w:type="dxa"/>
            <w:vAlign w:val="bottom"/>
          </w:tcPr>
          <w:p>
            <w:pPr>
              <w:spacing w:after="0"/>
              <w:rPr>
                <w:sz w:val="16"/>
                <w:szCs w:val="16"/>
                <w:color w:val="auto"/>
              </w:rPr>
            </w:pPr>
          </w:p>
        </w:tc>
        <w:tc>
          <w:tcPr>
            <w:tcW w:w="5880" w:type="dxa"/>
            <w:vAlign w:val="bottom"/>
            <w:gridSpan w:val="4"/>
          </w:tcPr>
          <w:p>
            <w:pPr>
              <w:spacing w:after="0" w:line="190" w:lineRule="exact"/>
              <w:rPr>
                <w:sz w:val="20"/>
                <w:szCs w:val="20"/>
                <w:color w:val="auto"/>
              </w:rPr>
            </w:pPr>
            <w:r>
              <w:rPr>
                <w:rFonts w:ascii="Arial" w:cs="Arial" w:eastAsia="Arial" w:hAnsi="Arial"/>
                <w:sz w:val="18"/>
                <w:szCs w:val="18"/>
                <w:color w:val="auto"/>
              </w:rPr>
              <w:t>Appendix A.</w:t>
            </w:r>
          </w:p>
        </w:tc>
      </w:tr>
      <w:tr>
        <w:trPr>
          <w:trHeight w:val="480"/>
        </w:trPr>
        <w:tc>
          <w:tcPr>
            <w:tcW w:w="4180" w:type="dxa"/>
            <w:vAlign w:val="bottom"/>
          </w:tcPr>
          <w:p>
            <w:pPr>
              <w:spacing w:after="0"/>
              <w:rPr>
                <w:sz w:val="20"/>
                <w:szCs w:val="20"/>
                <w:color w:val="auto"/>
              </w:rPr>
            </w:pPr>
            <w:r>
              <w:rPr>
                <w:rFonts w:ascii="Arial" w:cs="Arial" w:eastAsia="Arial" w:hAnsi="Arial"/>
                <w:sz w:val="18"/>
                <w:szCs w:val="18"/>
                <w:b w:val="1"/>
                <w:bCs w:val="1"/>
                <w:color w:val="auto"/>
              </w:rPr>
              <w:t>Number of Performance Stock Units:</w:t>
            </w: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0" w:type="dxa"/>
            <w:vAlign w:val="bottom"/>
            <w:gridSpan w:val="3"/>
          </w:tcPr>
          <w:p>
            <w:pPr>
              <w:spacing w:after="0"/>
              <w:rPr>
                <w:sz w:val="24"/>
                <w:szCs w:val="24"/>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880" w:type="dxa"/>
            <w:vAlign w:val="bottom"/>
            <w:gridSpan w:val="4"/>
          </w:tcPr>
          <w:p>
            <w:pPr>
              <w:spacing w:after="0"/>
              <w:rPr>
                <w:sz w:val="20"/>
                <w:szCs w:val="20"/>
                <w:color w:val="auto"/>
              </w:rPr>
            </w:pPr>
            <w:r>
              <w:rPr>
                <w:rFonts w:ascii="Arial" w:cs="Arial" w:eastAsia="Arial" w:hAnsi="Arial"/>
                <w:sz w:val="18"/>
                <w:szCs w:val="18"/>
                <w:color w:val="auto"/>
              </w:rPr>
              <w:t>The Performance Stock Units shall vest in accordance with Appendix A.</w:t>
            </w:r>
          </w:p>
        </w:tc>
      </w:tr>
      <w:tr>
        <w:trPr>
          <w:trHeight w:val="466"/>
        </w:trPr>
        <w:tc>
          <w:tcPr>
            <w:tcW w:w="4180" w:type="dxa"/>
            <w:vAlign w:val="bottom"/>
          </w:tcPr>
          <w:p>
            <w:pPr>
              <w:spacing w:after="0"/>
              <w:rPr>
                <w:sz w:val="24"/>
                <w:szCs w:val="24"/>
                <w:color w:val="auto"/>
              </w:rPr>
            </w:pPr>
          </w:p>
        </w:tc>
        <w:tc>
          <w:tcPr>
            <w:tcW w:w="4300" w:type="dxa"/>
            <w:vAlign w:val="bottom"/>
            <w:gridSpan w:val="2"/>
          </w:tcPr>
          <w:p>
            <w:pPr>
              <w:ind w:left="980"/>
              <w:spacing w:after="0"/>
              <w:rPr>
                <w:sz w:val="20"/>
                <w:szCs w:val="20"/>
                <w:color w:val="auto"/>
              </w:rPr>
            </w:pPr>
            <w:r>
              <w:rPr>
                <w:rFonts w:ascii="Arial" w:cs="Arial" w:eastAsia="Arial" w:hAnsi="Arial"/>
                <w:sz w:val="18"/>
                <w:szCs w:val="18"/>
                <w:b w:val="1"/>
                <w:bCs w:val="1"/>
                <w:color w:val="auto"/>
              </w:rPr>
              <w:t>*   *  *</w:t>
            </w:r>
          </w:p>
        </w:tc>
        <w:tc>
          <w:tcPr>
            <w:tcW w:w="8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020"/>
          </w:cols>
          <w:pgMar w:left="440" w:top="121"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TASKUS, INC.</w:t>
      </w:r>
    </w:p>
    <w:p>
      <w:pPr>
        <w:spacing w:after="0" w:line="200" w:lineRule="exact"/>
        <w:rPr>
          <w:sz w:val="20"/>
          <w:szCs w:val="20"/>
          <w:color w:val="auto"/>
        </w:rPr>
      </w:pPr>
    </w:p>
    <w:p>
      <w:pPr>
        <w:spacing w:after="0" w:line="25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Jeffrey Chugg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Legal &amp; Corporate Secretary</w:t>
      </w:r>
    </w:p>
    <w:p>
      <w:pPr>
        <w:spacing w:after="0" w:line="143" w:lineRule="exact"/>
        <w:rPr>
          <w:sz w:val="20"/>
          <w:szCs w:val="20"/>
          <w:color w:val="auto"/>
        </w:rPr>
      </w:pPr>
    </w:p>
    <w:p>
      <w:pPr>
        <w:jc w:val="right"/>
        <w:ind w:right="2419"/>
        <w:spacing w:after="0"/>
        <w:rPr>
          <w:sz w:val="20"/>
          <w:szCs w:val="20"/>
          <w:color w:val="auto"/>
        </w:rPr>
      </w:pPr>
      <w:r>
        <w:rPr>
          <w:rFonts w:ascii="Arial" w:cs="Arial" w:eastAsia="Arial" w:hAnsi="Arial"/>
          <w:sz w:val="18"/>
          <w:szCs w:val="18"/>
          <w:i w:val="1"/>
          <w:iCs w:val="1"/>
          <w:color w:val="auto"/>
        </w:rPr>
        <w:t>[Signature Page to Performance Stock Unit Grant Notice]</w:t>
      </w:r>
    </w:p>
    <w:p>
      <w:pPr>
        <w:sectPr>
          <w:pgSz w:w="11900" w:h="16838" w:orient="portrait"/>
          <w:cols w:equalWidth="0" w:num="1">
            <w:col w:w="10019"/>
          </w:cols>
          <w:pgMar w:left="440" w:top="274" w:right="1440" w:bottom="1440" w:gutter="0" w:footer="0" w:header="0"/>
        </w:sectPr>
      </w:pPr>
    </w:p>
    <w:bookmarkStart w:id="96" w:name="page97"/>
    <w:bookmarkEnd w:id="96"/>
    <w:p>
      <w:pPr>
        <w:ind w:left="4"/>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PARTICIPANT</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27946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520700</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4" w:right="700" w:hanging="424"/>
        <w:spacing w:after="0" w:line="277" w:lineRule="auto"/>
        <w:tabs>
          <w:tab w:leader="none" w:pos="424" w:val="left"/>
        </w:tabs>
        <w:numPr>
          <w:ilvl w:val="0"/>
          <w:numId w:val="81"/>
        </w:numPr>
        <w:rPr>
          <w:rFonts w:ascii="Arial" w:cs="Arial" w:eastAsia="Arial" w:hAnsi="Arial"/>
          <w:sz w:val="15"/>
          <w:szCs w:val="15"/>
          <w:color w:val="auto"/>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103" w:lineRule="exact"/>
        <w:rPr>
          <w:sz w:val="20"/>
          <w:szCs w:val="20"/>
          <w:color w:val="auto"/>
        </w:rPr>
      </w:pPr>
    </w:p>
    <w:p>
      <w:pPr>
        <w:jc w:val="center"/>
        <w:ind w:right="-203"/>
        <w:spacing w:after="0"/>
        <w:rPr>
          <w:sz w:val="20"/>
          <w:szCs w:val="20"/>
          <w:color w:val="auto"/>
        </w:rPr>
      </w:pPr>
      <w:r>
        <w:rPr>
          <w:rFonts w:ascii="Arial" w:cs="Arial" w:eastAsia="Arial" w:hAnsi="Arial"/>
          <w:sz w:val="18"/>
          <w:szCs w:val="18"/>
          <w:i w:val="1"/>
          <w:iCs w:val="1"/>
          <w:color w:val="auto"/>
        </w:rPr>
        <w:t>[Signature Page to Performance Stock Unit Grant Notice]</w:t>
      </w:r>
    </w:p>
    <w:p>
      <w:pPr>
        <w:sectPr>
          <w:pgSz w:w="11900" w:h="16838" w:orient="portrait"/>
          <w:cols w:equalWidth="0" w:num="1">
            <w:col w:w="10804"/>
          </w:cols>
          <w:pgMar w:left="436" w:top="270" w:right="6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STOCK UNIT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TASKUS,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VESTING AWARD</w:t>
      </w:r>
    </w:p>
    <w:p>
      <w:pPr>
        <w:spacing w:after="0" w:line="211" w:lineRule="exact"/>
        <w:rPr>
          <w:sz w:val="20"/>
          <w:szCs w:val="20"/>
          <w:color w:val="auto"/>
        </w:rPr>
      </w:pPr>
    </w:p>
    <w:p>
      <w:pPr>
        <w:ind w:right="260" w:firstLine="991"/>
        <w:spacing w:after="0" w:line="301" w:lineRule="auto"/>
        <w:rPr>
          <w:sz w:val="20"/>
          <w:szCs w:val="20"/>
          <w:color w:val="auto"/>
        </w:rPr>
      </w:pPr>
      <w:r>
        <w:rPr>
          <w:rFonts w:ascii="Arial" w:cs="Arial" w:eastAsia="Arial" w:hAnsi="Arial"/>
          <w:sz w:val="16"/>
          <w:szCs w:val="16"/>
          <w:color w:val="auto"/>
        </w:rPr>
        <w:t>Pursuant to the Performance Stock Unit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delivered to the Participant (as defined in the Grant Notice), and subject to the terms of this Performance Stock Unit Agreement (this “</w:t>
      </w:r>
      <w:r>
        <w:rPr>
          <w:rFonts w:ascii="Arial" w:cs="Arial" w:eastAsia="Arial" w:hAnsi="Arial"/>
          <w:sz w:val="16"/>
          <w:szCs w:val="16"/>
          <w:b w:val="1"/>
          <w:bCs w:val="1"/>
          <w:i w:val="1"/>
          <w:iCs w:val="1"/>
          <w:color w:val="auto"/>
        </w:rPr>
        <w:t>Performance Stock Unit Agreement</w:t>
      </w:r>
      <w:r>
        <w:rPr>
          <w:rFonts w:ascii="Arial" w:cs="Arial" w:eastAsia="Arial" w:hAnsi="Arial"/>
          <w:sz w:val="16"/>
          <w:szCs w:val="16"/>
          <w:color w:val="auto"/>
        </w:rPr>
        <w:t>”) and the TaskUs, Inc. 2021 Omnibus Incentive Plan, as it may be amended and restated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TaskUs,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the Participant agree as follows. Capitalized terms not otherwise defined herein shall have the same meaning as set forth in the Plan.</w:t>
      </w:r>
    </w:p>
    <w:p>
      <w:pPr>
        <w:spacing w:after="0" w:line="153" w:lineRule="exact"/>
        <w:rPr>
          <w:sz w:val="20"/>
          <w:szCs w:val="20"/>
          <w:color w:val="auto"/>
        </w:rPr>
      </w:pPr>
    </w:p>
    <w:p>
      <w:pPr>
        <w:ind w:right="40" w:firstLine="987"/>
        <w:spacing w:after="0" w:line="255" w:lineRule="auto"/>
        <w:tabs>
          <w:tab w:leader="none" w:pos="1171"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Performance Stock Units</w:t>
      </w:r>
      <w:r>
        <w:rPr>
          <w:rFonts w:ascii="Arial" w:cs="Arial" w:eastAsia="Arial" w:hAnsi="Arial"/>
          <w:sz w:val="18"/>
          <w:szCs w:val="18"/>
          <w:color w:val="auto"/>
        </w:rPr>
        <w:t>. Subject to the terms and conditions set forth herein and in the Plan, the Company hereby grants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the number of performance-based Restricted Stock Units (“</w:t>
      </w:r>
      <w:r>
        <w:rPr>
          <w:rFonts w:ascii="Arial" w:cs="Arial" w:eastAsia="Arial" w:hAnsi="Arial"/>
          <w:sz w:val="18"/>
          <w:szCs w:val="18"/>
          <w:u w:val="single" w:color="auto"/>
          <w:color w:val="auto"/>
        </w:rPr>
        <w:t>Performance Stock Units</w:t>
      </w:r>
      <w:r>
        <w:rPr>
          <w:rFonts w:ascii="Arial" w:cs="Arial" w:eastAsia="Arial" w:hAnsi="Arial"/>
          <w:sz w:val="18"/>
          <w:szCs w:val="18"/>
          <w:color w:val="auto"/>
        </w:rPr>
        <w:t>”) provided in the Grant Notice (with each Performance Stock Unit representing an unfunded, unsecured right to receive one share of Class A Common Stock).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88" w:lineRule="exact"/>
        <w:rPr>
          <w:rFonts w:ascii="Arial" w:cs="Arial" w:eastAsia="Arial" w:hAnsi="Arial"/>
          <w:sz w:val="18"/>
          <w:szCs w:val="18"/>
          <w:color w:val="auto"/>
        </w:rPr>
      </w:pPr>
    </w:p>
    <w:p>
      <w:pPr>
        <w:ind w:right="360" w:firstLine="987"/>
        <w:spacing w:after="0" w:line="282" w:lineRule="auto"/>
        <w:tabs>
          <w:tab w:leader="none" w:pos="1171"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Subject to the conditions contained herein and in the Plan, the Performance Stock Units shall vest as provided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and </w:t>
      </w:r>
      <w:r>
        <w:rPr>
          <w:rFonts w:ascii="Arial" w:cs="Arial" w:eastAsia="Arial" w:hAnsi="Arial"/>
          <w:sz w:val="18"/>
          <w:szCs w:val="18"/>
          <w:u w:val="single" w:color="auto"/>
          <w:color w:val="auto"/>
        </w:rPr>
        <w:t>Appendix A</w:t>
      </w:r>
      <w:r>
        <w:rPr>
          <w:rFonts w:ascii="Arial" w:cs="Arial" w:eastAsia="Arial" w:hAnsi="Arial"/>
          <w:sz w:val="18"/>
          <w:szCs w:val="18"/>
          <w:color w:val="auto"/>
        </w:rPr>
        <w:t>, attached hereto.</w:t>
      </w:r>
    </w:p>
    <w:p>
      <w:pPr>
        <w:spacing w:after="0" w:line="161" w:lineRule="exact"/>
        <w:rPr>
          <w:rFonts w:ascii="Arial" w:cs="Arial" w:eastAsia="Arial" w:hAnsi="Arial"/>
          <w:sz w:val="18"/>
          <w:szCs w:val="18"/>
          <w:color w:val="auto"/>
        </w:rPr>
      </w:pPr>
    </w:p>
    <w:p>
      <w:pPr>
        <w:ind w:firstLine="987"/>
        <w:spacing w:after="0" w:line="271" w:lineRule="auto"/>
        <w:tabs>
          <w:tab w:leader="none" w:pos="1171" w:val="left"/>
        </w:tabs>
        <w:numPr>
          <w:ilvl w:val="0"/>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 of Performance Stock Units</w:t>
      </w:r>
      <w:r>
        <w:rPr>
          <w:rFonts w:ascii="Arial" w:cs="Arial" w:eastAsia="Arial" w:hAnsi="Arial"/>
          <w:sz w:val="17"/>
          <w:szCs w:val="17"/>
          <w:color w:val="auto"/>
        </w:rPr>
        <w:t>. Subject to any election by the Committee pursuant to Section 9(d)(ii) of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deliver to the Participant, without charge, as soon as reasonably practicable (and, in any event, within two and one-half months) following the applicable vesting date, one share of Class A Common Stock for each Performance Stock Unit (as adjusted under the Plan, as applicable) which becomes vested hereunder and such vested Performance Stock Unit shall be cancelled upon such delivery. The Company shall either (a) deliver, or cause to be delivered, to the Participant a certificate or certificates therefor, registered in the Participant’s name or (b) cause such shares of Class A Common Stock to be credited to the Participant’s account at the third party plan administrator. Notwithstanding anything in this Performance Stock Unit Agreement to the contrary, the Company shall have no obligation to issue or transfer any shares of Class A Common Stock as contemplated by this Performance Stock Unit Agreement unless and until such issuance or transfer complies with all relevant provisions of law and the requirements of any stock exchange on which the Company’s shares of Class A Common Stock are listed for trading.</w:t>
      </w:r>
    </w:p>
    <w:p>
      <w:pPr>
        <w:spacing w:after="0" w:line="173" w:lineRule="exact"/>
        <w:rPr>
          <w:rFonts w:ascii="Arial" w:cs="Arial" w:eastAsia="Arial" w:hAnsi="Arial"/>
          <w:sz w:val="17"/>
          <w:szCs w:val="17"/>
          <w:color w:val="auto"/>
        </w:rPr>
      </w:pPr>
    </w:p>
    <w:p>
      <w:pPr>
        <w:ind w:right="160" w:firstLine="987"/>
        <w:spacing w:after="0" w:line="282" w:lineRule="auto"/>
        <w:tabs>
          <w:tab w:leader="none" w:pos="1171"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Performance Stock Units upon Termination</w:t>
      </w:r>
      <w:r>
        <w:rPr>
          <w:rFonts w:ascii="Arial" w:cs="Arial" w:eastAsia="Arial" w:hAnsi="Arial"/>
          <w:sz w:val="18"/>
          <w:szCs w:val="18"/>
          <w:color w:val="auto"/>
        </w:rPr>
        <w:t>. The provisions of Section 9(c)(ii) of the Plan are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made a part hereof.</w:t>
      </w:r>
    </w:p>
    <w:p>
      <w:pPr>
        <w:spacing w:after="0" w:line="161" w:lineRule="exact"/>
        <w:rPr>
          <w:rFonts w:ascii="Arial" w:cs="Arial" w:eastAsia="Arial" w:hAnsi="Arial"/>
          <w:sz w:val="18"/>
          <w:szCs w:val="18"/>
          <w:color w:val="auto"/>
        </w:rPr>
      </w:pPr>
    </w:p>
    <w:p>
      <w:pPr>
        <w:ind w:left="1160" w:hanging="173"/>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Participant</w:t>
      </w:r>
      <w:r>
        <w:rPr>
          <w:rFonts w:ascii="Arial" w:cs="Arial" w:eastAsia="Arial" w:hAnsi="Arial"/>
          <w:sz w:val="18"/>
          <w:szCs w:val="18"/>
          <w:color w:val="auto"/>
        </w:rPr>
        <w:t>.</w:t>
      </w:r>
    </w:p>
    <w:p>
      <w:pPr>
        <w:spacing w:after="0" w:line="229" w:lineRule="exact"/>
        <w:rPr>
          <w:sz w:val="20"/>
          <w:szCs w:val="20"/>
          <w:color w:val="auto"/>
        </w:rPr>
      </w:pPr>
    </w:p>
    <w:p>
      <w:pPr>
        <w:ind w:right="340" w:firstLine="987"/>
        <w:spacing w:after="0" w:line="277" w:lineRule="auto"/>
        <w:tabs>
          <w:tab w:leader="none" w:pos="123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 “Company” as used in this Performance Stock Unit Agreement with reference to employment or service shall include the applicable Service Recipient.</w:t>
      </w:r>
    </w:p>
    <w:p>
      <w:pPr>
        <w:spacing w:after="0" w:line="170" w:lineRule="exact"/>
        <w:rPr>
          <w:rFonts w:ascii="Arial" w:cs="Arial" w:eastAsia="Arial" w:hAnsi="Arial"/>
          <w:sz w:val="18"/>
          <w:szCs w:val="18"/>
          <w:color w:val="auto"/>
        </w:rPr>
      </w:pPr>
    </w:p>
    <w:p>
      <w:pPr>
        <w:ind w:firstLine="987"/>
        <w:spacing w:after="0" w:line="286" w:lineRule="auto"/>
        <w:tabs>
          <w:tab w:leader="none" w:pos="1246" w:val="left"/>
        </w:tabs>
        <w:numPr>
          <w:ilvl w:val="0"/>
          <w:numId w:val="83"/>
        </w:numPr>
        <w:rPr>
          <w:rFonts w:ascii="Arial" w:cs="Arial" w:eastAsia="Arial" w:hAnsi="Arial"/>
          <w:sz w:val="17"/>
          <w:szCs w:val="17"/>
          <w:color w:val="auto"/>
        </w:rPr>
      </w:pPr>
      <w:r>
        <w:rPr>
          <w:rFonts w:ascii="Arial" w:cs="Arial" w:eastAsia="Arial" w:hAnsi="Arial"/>
          <w:sz w:val="17"/>
          <w:szCs w:val="17"/>
          <w:color w:val="auto"/>
        </w:rPr>
        <w:t>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persons.</w:t>
      </w:r>
    </w:p>
    <w:p>
      <w:pPr>
        <w:sectPr>
          <w:pgSz w:w="11900" w:h="16838" w:orient="portrait"/>
          <w:cols w:equalWidth="0" w:num="1">
            <w:col w:w="11000"/>
          </w:cols>
          <w:pgMar w:left="440" w:top="270" w:right="459" w:bottom="1440" w:gutter="0" w:footer="0" w:header="0"/>
        </w:sectPr>
      </w:pPr>
    </w:p>
    <w:bookmarkStart w:id="98" w:name="page99"/>
    <w:bookmarkEnd w:id="98"/>
    <w:p>
      <w:pPr>
        <w:ind w:right="40" w:firstLine="987"/>
        <w:spacing w:after="0" w:line="303" w:lineRule="auto"/>
        <w:tabs>
          <w:tab w:leader="none" w:pos="1171" w:val="left"/>
        </w:tabs>
        <w:numPr>
          <w:ilvl w:val="0"/>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Non-Transferability</w:t>
      </w:r>
      <w:r>
        <w:rPr>
          <w:rFonts w:ascii="Arial" w:cs="Arial" w:eastAsia="Arial" w:hAnsi="Arial"/>
          <w:sz w:val="16"/>
          <w:szCs w:val="16"/>
          <w:color w:val="auto"/>
        </w:rPr>
        <w:t>. The Performance Stock Units are not transferable by the Participant except to Permitted Transferees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13(b)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50" w:lineRule="exact"/>
        <w:rPr>
          <w:rFonts w:ascii="Arial" w:cs="Arial" w:eastAsia="Arial" w:hAnsi="Arial"/>
          <w:sz w:val="16"/>
          <w:szCs w:val="16"/>
          <w:color w:val="auto"/>
        </w:rPr>
      </w:pPr>
    </w:p>
    <w:p>
      <w:pPr>
        <w:ind w:left="1160" w:hanging="173"/>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Stockholder</w:t>
      </w:r>
      <w:r>
        <w:rPr>
          <w:rFonts w:ascii="Arial" w:cs="Arial" w:eastAsia="Arial" w:hAnsi="Arial"/>
          <w:sz w:val="18"/>
          <w:szCs w:val="18"/>
          <w:color w:val="auto"/>
        </w:rPr>
        <w:t>. Subject to any payments to be provided to the Participant in accordance with the Grant Notice and</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Section 13(c)(iii) of the Plan, the Participant or a Permitted Transferee shall have no rights as a stockholder with respect to any share of Class A Common Stock underlying a Performance Stock Unit unless and until the Participant shall have become the holder of record or the beneficial owner of such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spacing w:after="0" w:line="157" w:lineRule="exact"/>
        <w:rPr>
          <w:sz w:val="20"/>
          <w:szCs w:val="20"/>
          <w:color w:val="auto"/>
        </w:rPr>
      </w:pPr>
    </w:p>
    <w:p>
      <w:pPr>
        <w:ind w:firstLine="987"/>
        <w:spacing w:after="0" w:line="274" w:lineRule="auto"/>
        <w:tabs>
          <w:tab w:leader="none" w:pos="1171"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color w:val="auto"/>
        </w:rPr>
        <w:t>. The provisions of Section 13(d) of the Plan are incorporated herein by reference and made a part 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shall satisfy such Participant’s withholding liability, if any, referred to in Section 13(d) of the Plan by having the Company withhold from the number of shares of Class A Common Stock otherwise deliverable pursuant to the settlement of the Performance Stock Units, a number of shares with a Fair Market Value, on the date that the Performance Stock Units are settled, equal to such withholding liability; </w:t>
      </w:r>
      <w:r>
        <w:rPr>
          <w:rFonts w:ascii="Arial" w:cs="Arial" w:eastAsia="Arial" w:hAnsi="Arial"/>
          <w:sz w:val="17"/>
          <w:szCs w:val="17"/>
          <w:i w:val="1"/>
          <w:iCs w:val="1"/>
          <w:color w:val="auto"/>
        </w:rPr>
        <w:t>provided</w:t>
      </w:r>
      <w:r>
        <w:rPr>
          <w:rFonts w:ascii="Arial" w:cs="Arial" w:eastAsia="Arial" w:hAnsi="Arial"/>
          <w:sz w:val="17"/>
          <w:szCs w:val="17"/>
          <w:color w:val="auto"/>
        </w:rPr>
        <w:t>, that the number of such shares of Class A Common Stock may not have a Fair Market Value greater than the minimum required statutory withholding liability unless determined by the Committee not to result in adverse accounting consequences.</w:t>
      </w:r>
    </w:p>
    <w:p>
      <w:pPr>
        <w:spacing w:after="0" w:line="173" w:lineRule="exact"/>
        <w:rPr>
          <w:rFonts w:ascii="Arial" w:cs="Arial" w:eastAsia="Arial" w:hAnsi="Arial"/>
          <w:sz w:val="17"/>
          <w:szCs w:val="17"/>
          <w:color w:val="auto"/>
        </w:rPr>
      </w:pPr>
    </w:p>
    <w:p>
      <w:pPr>
        <w:ind w:right="40" w:firstLine="987"/>
        <w:spacing w:after="0" w:line="271" w:lineRule="auto"/>
        <w:tabs>
          <w:tab w:leader="none" w:pos="1171"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Every notice or other communication relating to this Performance Stock Unit Agreement between the Company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7"/>
          <w:szCs w:val="17"/>
          <w:u w:val="single" w:color="auto"/>
          <w:color w:val="auto"/>
        </w:rPr>
        <w:t>provided</w:t>
      </w:r>
      <w:r>
        <w:rPr>
          <w:rFonts w:ascii="Arial" w:cs="Arial" w:eastAsia="Arial" w:hAnsi="Arial"/>
          <w:sz w:val="17"/>
          <w:szCs w:val="17"/>
          <w:color w:val="auto"/>
        </w:rPr>
        <w:t>,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73" w:lineRule="exact"/>
        <w:rPr>
          <w:rFonts w:ascii="Arial" w:cs="Arial" w:eastAsia="Arial" w:hAnsi="Arial"/>
          <w:sz w:val="17"/>
          <w:szCs w:val="17"/>
          <w:color w:val="auto"/>
        </w:rPr>
      </w:pPr>
    </w:p>
    <w:p>
      <w:pPr>
        <w:ind w:right="160" w:firstLine="987"/>
        <w:spacing w:after="0" w:line="282" w:lineRule="auto"/>
        <w:tabs>
          <w:tab w:leader="none" w:pos="126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color w:val="auto"/>
        </w:rPr>
        <w:t>. This Performance Stock Unit Agreement does not confer upon the Participant any right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or service provider to the Service Recipient or any other member of the Company Group.</w:t>
      </w:r>
    </w:p>
    <w:p>
      <w:pPr>
        <w:spacing w:after="0" w:line="161" w:lineRule="exact"/>
        <w:rPr>
          <w:rFonts w:ascii="Arial" w:cs="Arial" w:eastAsia="Arial" w:hAnsi="Arial"/>
          <w:sz w:val="18"/>
          <w:szCs w:val="18"/>
          <w:color w:val="auto"/>
        </w:rPr>
      </w:pPr>
    </w:p>
    <w:p>
      <w:pPr>
        <w:ind w:right="140" w:firstLine="987"/>
        <w:spacing w:after="0" w:line="282" w:lineRule="auto"/>
        <w:tabs>
          <w:tab w:leader="none" w:pos="1254"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Performance Stock Unit Agreement shall be binding upon the heirs, executors, administrators and successors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99" w:name="page100"/>
    <w:bookmarkEnd w:id="99"/>
    <w:p>
      <w:pPr>
        <w:jc w:val="both"/>
        <w:ind w:right="20" w:firstLine="987"/>
        <w:spacing w:after="0" w:line="258" w:lineRule="auto"/>
        <w:tabs>
          <w:tab w:leader="none" w:pos="1261"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and Amendments</w:t>
      </w:r>
      <w:r>
        <w:rPr>
          <w:rFonts w:ascii="Arial" w:cs="Arial" w:eastAsia="Arial" w:hAnsi="Arial"/>
          <w:sz w:val="18"/>
          <w:szCs w:val="18"/>
          <w:color w:val="auto"/>
        </w:rPr>
        <w:t>. Except as otherwise set forth in Section 12 of the Plan, any waiver, alteration, amendment or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of the terms of this Performance Stock Unit Agreement shall be valid only if made in writing and signed by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3" w:lineRule="exact"/>
        <w:rPr>
          <w:rFonts w:ascii="Arial" w:cs="Arial" w:eastAsia="Arial" w:hAnsi="Arial"/>
          <w:sz w:val="18"/>
          <w:szCs w:val="18"/>
          <w:color w:val="auto"/>
        </w:rPr>
      </w:pPr>
    </w:p>
    <w:p>
      <w:pPr>
        <w:ind w:firstLine="987"/>
        <w:spacing w:after="0" w:line="298" w:lineRule="auto"/>
        <w:tabs>
          <w:tab w:leader="none" w:pos="1261" w:val="left"/>
        </w:tabs>
        <w:numPr>
          <w:ilvl w:val="0"/>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Clawback/Forfeiture</w:t>
      </w:r>
      <w:r>
        <w:rPr>
          <w:rFonts w:ascii="Arial" w:cs="Arial" w:eastAsia="Arial" w:hAnsi="Arial"/>
          <w:sz w:val="16"/>
          <w:szCs w:val="16"/>
          <w:color w:val="auto"/>
        </w:rPr>
        <w:t>. This Performance Stock Unit Agreement shall be subject to reduction, cancellation, forfeiture or recoupment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w:t>
      </w:r>
    </w:p>
    <w:p>
      <w:pPr>
        <w:spacing w:after="0" w:line="153" w:lineRule="exact"/>
        <w:rPr>
          <w:rFonts w:ascii="Arial" w:cs="Arial" w:eastAsia="Arial" w:hAnsi="Arial"/>
          <w:sz w:val="16"/>
          <w:szCs w:val="16"/>
          <w:color w:val="auto"/>
        </w:rPr>
      </w:pPr>
    </w:p>
    <w:p>
      <w:pPr>
        <w:ind w:right="20" w:firstLine="987"/>
        <w:spacing w:after="0" w:line="258" w:lineRule="auto"/>
        <w:tabs>
          <w:tab w:leader="none" w:pos="1261"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Detrimental Activity</w:t>
      </w:r>
      <w:r>
        <w:rPr>
          <w:rFonts w:ascii="Arial" w:cs="Arial" w:eastAsia="Arial" w:hAnsi="Arial"/>
          <w:sz w:val="18"/>
          <w:szCs w:val="18"/>
          <w:color w:val="auto"/>
        </w:rPr>
        <w:t>. Notwithstanding anything to the contrary contained herein or in the Plan, if the Participant has engaged in or</w:t>
      </w:r>
      <w:r>
        <w:rPr>
          <w:rFonts w:ascii="Arial" w:cs="Arial" w:eastAsia="Arial" w:hAnsi="Arial"/>
          <w:sz w:val="18"/>
          <w:szCs w:val="18"/>
          <w:b w:val="1"/>
          <w:bCs w:val="1"/>
          <w:color w:val="auto"/>
        </w:rPr>
        <w:t xml:space="preserve"> </w:t>
      </w:r>
      <w:r>
        <w:rPr>
          <w:rFonts w:ascii="Arial" w:cs="Arial" w:eastAsia="Arial" w:hAnsi="Arial"/>
          <w:sz w:val="18"/>
          <w:szCs w:val="18"/>
          <w:color w:val="auto"/>
        </w:rPr>
        <w:t>engages in any Detrimental Activity, as determined by the Committee, then the Committee may, in its sole discretion, take actions permitted under the Plan, including, but not limited to: (i) cancelling any and all Performance Stock Units, or (ii) requiring that the Participant forfeit any gain realized on the settlement of the Performance Stock Unit or the disposition of any Class A Common Stock received upon settlement of the Performance Stock Units, and repay such gain to the Company.</w:t>
      </w:r>
    </w:p>
    <w:p>
      <w:pPr>
        <w:spacing w:after="0" w:line="183" w:lineRule="exact"/>
        <w:rPr>
          <w:rFonts w:ascii="Arial" w:cs="Arial" w:eastAsia="Arial" w:hAnsi="Arial"/>
          <w:sz w:val="18"/>
          <w:szCs w:val="18"/>
          <w:color w:val="auto"/>
        </w:rPr>
      </w:pPr>
    </w:p>
    <w:p>
      <w:pPr>
        <w:ind w:left="1260" w:hanging="273"/>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Offset</w:t>
      </w:r>
      <w:r>
        <w:rPr>
          <w:rFonts w:ascii="Arial" w:cs="Arial" w:eastAsia="Arial" w:hAnsi="Arial"/>
          <w:sz w:val="18"/>
          <w:szCs w:val="18"/>
          <w:color w:val="auto"/>
        </w:rPr>
        <w:t>. The provisions of Section 13(x) of the Plan are incorporated herein by reference and made a part hereof.</w:t>
      </w:r>
    </w:p>
    <w:p>
      <w:pPr>
        <w:spacing w:after="0" w:line="225" w:lineRule="exact"/>
        <w:rPr>
          <w:sz w:val="20"/>
          <w:szCs w:val="20"/>
          <w:color w:val="auto"/>
        </w:rPr>
      </w:pPr>
    </w:p>
    <w:p>
      <w:pPr>
        <w:ind w:right="100" w:firstLine="987"/>
        <w:spacing w:after="0" w:line="303" w:lineRule="auto"/>
        <w:tabs>
          <w:tab w:leader="none" w:pos="1261"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Performance Stock Unit Agreement shall be construed and interpreted in accordance with the laws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50" w:lineRule="exact"/>
        <w:rPr>
          <w:rFonts w:ascii="Arial" w:cs="Arial" w:eastAsia="Arial" w:hAnsi="Arial"/>
          <w:sz w:val="16"/>
          <w:szCs w:val="16"/>
          <w:color w:val="auto"/>
        </w:rPr>
      </w:pPr>
    </w:p>
    <w:p>
      <w:pPr>
        <w:ind w:right="40" w:firstLine="987"/>
        <w:spacing w:after="0" w:line="266" w:lineRule="auto"/>
        <w:tabs>
          <w:tab w:leader="none" w:pos="1261"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The terms and provisions of the Plan are incorporated herein by reference. In the event of a conflict or inconsistency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and provisions of the Plan and the provisions of this Performance Stock Unit Agreement (including the Grant Notice and </w:t>
      </w:r>
      <w:r>
        <w:rPr>
          <w:rFonts w:ascii="Arial" w:cs="Arial" w:eastAsia="Arial" w:hAnsi="Arial"/>
          <w:sz w:val="18"/>
          <w:szCs w:val="18"/>
          <w:u w:val="single" w:color="auto"/>
          <w:color w:val="auto"/>
        </w:rPr>
        <w:t>Appendix A</w:t>
      </w:r>
      <w:r>
        <w:rPr>
          <w:rFonts w:ascii="Arial" w:cs="Arial" w:eastAsia="Arial" w:hAnsi="Arial"/>
          <w:sz w:val="18"/>
          <w:szCs w:val="18"/>
          <w:color w:val="auto"/>
        </w:rPr>
        <w:t>), the Plan shall govern and control.</w:t>
      </w:r>
    </w:p>
    <w:p>
      <w:pPr>
        <w:spacing w:after="0" w:line="175" w:lineRule="exact"/>
        <w:rPr>
          <w:rFonts w:ascii="Arial" w:cs="Arial" w:eastAsia="Arial" w:hAnsi="Arial"/>
          <w:sz w:val="18"/>
          <w:szCs w:val="18"/>
          <w:color w:val="auto"/>
        </w:rPr>
      </w:pPr>
    </w:p>
    <w:p>
      <w:pPr>
        <w:ind w:right="180" w:firstLine="987"/>
        <w:spacing w:after="0" w:line="266" w:lineRule="auto"/>
        <w:tabs>
          <w:tab w:leader="none" w:pos="1261"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It is intended that the Performance Stock Units granted hereunder shall be exempt from 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“short-term deferral” rule applicable to such section, as set forth in the regulations or other guidance published by the Internal Revenue Service thereunder and shall be interpreted as such.</w:t>
      </w:r>
    </w:p>
    <w:p>
      <w:pPr>
        <w:spacing w:after="0" w:line="176" w:lineRule="exact"/>
        <w:rPr>
          <w:sz w:val="20"/>
          <w:szCs w:val="20"/>
          <w:color w:val="auto"/>
        </w:rPr>
      </w:pPr>
    </w:p>
    <w:p>
      <w:pPr>
        <w:ind w:right="80" w:firstLine="987"/>
        <w:spacing w:after="0" w:line="261" w:lineRule="auto"/>
        <w:tabs>
          <w:tab w:leader="none" w:pos="1261"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Participant’s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Plan, on the Performance Stock Units and on any shares of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spacing w:after="0" w:line="179" w:lineRule="exact"/>
        <w:rPr>
          <w:rFonts w:ascii="Arial" w:cs="Arial" w:eastAsia="Arial" w:hAnsi="Arial"/>
          <w:sz w:val="18"/>
          <w:szCs w:val="18"/>
          <w:color w:val="auto"/>
        </w:rPr>
      </w:pPr>
    </w:p>
    <w:p>
      <w:pPr>
        <w:ind w:right="140" w:firstLine="987"/>
        <w:spacing w:after="0" w:line="314" w:lineRule="auto"/>
        <w:tabs>
          <w:tab w:leader="none" w:pos="1261"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00" w:name="page101"/>
    <w:bookmarkEnd w:id="100"/>
    <w:p>
      <w:pPr>
        <w:ind w:left="-480" w:firstLine="987"/>
        <w:spacing w:after="0" w:line="314" w:lineRule="auto"/>
        <w:tabs>
          <w:tab w:leader="none" w:pos="781"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Arial" w:cs="Arial" w:eastAsia="Arial" w:hAnsi="Arial"/>
          <w:sz w:val="16"/>
          <w:szCs w:val="16"/>
          <w:color w:val="auto"/>
        </w:rPr>
        <w:t>. This Performance Stock Unit Agreement (including, without limitation, all exhibits and appendices 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hereto), the Grant 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40"/>
          </w:cols>
          <w:pgMar w:left="920" w:top="270" w:right="939" w:bottom="1440" w:gutter="0" w:footer="0" w:header="0"/>
        </w:sectPr>
      </w:pPr>
    </w:p>
    <w:bookmarkStart w:id="101" w:name="page102"/>
    <w:bookmarkEnd w:id="101"/>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9"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 xml:space="preserve">Provided that the Participant has not undergone a Termination as of the Determination Date (as defined below) and subject to the other provisions of this </w:t>
      </w:r>
      <w:r>
        <w:rPr>
          <w:rFonts w:ascii="Arial" w:cs="Arial" w:eastAsia="Arial" w:hAnsi="Arial"/>
          <w:sz w:val="18"/>
          <w:szCs w:val="18"/>
          <w:u w:val="single" w:color="auto"/>
          <w:color w:val="auto"/>
        </w:rPr>
        <w:t>Appendix A</w:t>
      </w:r>
      <w:r>
        <w:rPr>
          <w:rFonts w:ascii="Arial" w:cs="Arial" w:eastAsia="Arial" w:hAnsi="Arial"/>
          <w:sz w:val="18"/>
          <w:szCs w:val="18"/>
          <w:color w:val="auto"/>
        </w:rPr>
        <w:t>, the Performance Stock Units will become vested based on achievement of the Performance Condition with respect to the Performance Period.</w:t>
      </w:r>
    </w:p>
    <w:p>
      <w:pPr>
        <w:spacing w:after="0" w:line="184" w:lineRule="exact"/>
        <w:rPr>
          <w:sz w:val="20"/>
          <w:szCs w:val="20"/>
          <w:color w:val="auto"/>
        </w:rPr>
      </w:pPr>
    </w:p>
    <w:p>
      <w:pPr>
        <w:ind w:left="4" w:right="340" w:hanging="4"/>
        <w:spacing w:after="0" w:line="277" w:lineRule="auto"/>
        <w:tabs>
          <w:tab w:leader="none" w:pos="1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Period</w:t>
      </w:r>
      <w:r>
        <w:rPr>
          <w:rFonts w:ascii="Arial" w:cs="Arial" w:eastAsia="Arial" w:hAnsi="Arial"/>
          <w:sz w:val="18"/>
          <w:szCs w:val="18"/>
          <w:color w:val="auto"/>
        </w:rPr>
        <w:t>. With respect to each of the PSUs, the applicable Performance Period shall be the Date of Grant to the 4</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w:t>
      </w:r>
    </w:p>
    <w:p>
      <w:pPr>
        <w:spacing w:after="0" w:line="170" w:lineRule="exact"/>
        <w:rPr>
          <w:rFonts w:ascii="Arial" w:cs="Arial" w:eastAsia="Arial" w:hAnsi="Arial"/>
          <w:sz w:val="18"/>
          <w:szCs w:val="18"/>
          <w:color w:val="auto"/>
        </w:rPr>
      </w:pPr>
    </w:p>
    <w:p>
      <w:pPr>
        <w:ind w:left="4" w:right="160" w:hanging="4"/>
        <w:spacing w:after="0" w:line="277" w:lineRule="auto"/>
        <w:tabs>
          <w:tab w:leader="none" w:pos="184" w:val="left"/>
        </w:tabs>
        <w:numPr>
          <w:ilvl w:val="0"/>
          <w:numId w:val="90"/>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Condition</w:t>
      </w:r>
      <w:r>
        <w:rPr>
          <w:rFonts w:ascii="Arial" w:cs="Arial" w:eastAsia="Arial" w:hAnsi="Arial"/>
          <w:sz w:val="18"/>
          <w:szCs w:val="18"/>
          <w:color w:val="auto"/>
        </w:rPr>
        <w:t>. The number of Vesting Eligible PSUs that satisfy the Performance Condition during the Performance Period shall be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achievement of the specified Market Cap CAGR levels set forth below:</w:t>
      </w:r>
    </w:p>
    <w:p>
      <w:pPr>
        <w:spacing w:after="0" w:line="189" w:lineRule="exact"/>
        <w:rPr>
          <w:sz w:val="20"/>
          <w:szCs w:val="20"/>
          <w:color w:val="auto"/>
        </w:rPr>
      </w:pPr>
    </w:p>
    <w:tbl>
      <w:tblPr>
        <w:tblLayout w:type="fixed"/>
        <w:tblInd w:w="2744" w:type="dxa"/>
        <w:tblCellMar>
          <w:top w:w="0" w:type="dxa"/>
          <w:left w:w="0" w:type="dxa"/>
          <w:bottom w:w="0" w:type="dxa"/>
          <w:right w:w="0" w:type="dxa"/>
        </w:tblCellMar>
      </w:tblPr>
      <w:tr>
        <w:trPr>
          <w:trHeight w:val="178"/>
        </w:trPr>
        <w:tc>
          <w:tcPr>
            <w:tcW w:w="2480" w:type="dxa"/>
            <w:vAlign w:val="bottom"/>
            <w:gridSpan w:val="2"/>
          </w:tcPr>
          <w:p>
            <w:pPr>
              <w:jc w:val="center"/>
              <w:ind w:left="928"/>
              <w:spacing w:after="0"/>
              <w:rPr>
                <w:sz w:val="20"/>
                <w:szCs w:val="20"/>
                <w:color w:val="auto"/>
              </w:rPr>
            </w:pPr>
            <w:r>
              <w:rPr>
                <w:rFonts w:ascii="Arial" w:cs="Arial" w:eastAsia="Arial" w:hAnsi="Arial"/>
                <w:sz w:val="14"/>
                <w:szCs w:val="14"/>
                <w:b w:val="1"/>
                <w:bCs w:val="1"/>
                <w:color w:val="auto"/>
                <w:w w:val="92"/>
              </w:rPr>
              <w:t>Performance Condition</w:t>
            </w:r>
          </w:p>
        </w:tc>
        <w:tc>
          <w:tcPr>
            <w:tcW w:w="1420" w:type="dxa"/>
            <w:vAlign w:val="bottom"/>
          </w:tcPr>
          <w:p>
            <w:pPr>
              <w:spacing w:after="0"/>
              <w:rPr>
                <w:sz w:val="15"/>
                <w:szCs w:val="15"/>
                <w:color w:val="auto"/>
              </w:rPr>
            </w:pPr>
          </w:p>
        </w:tc>
        <w:tc>
          <w:tcPr>
            <w:tcW w:w="16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of Achievement</w:t>
            </w:r>
          </w:p>
        </w:tc>
      </w:tr>
      <w:tr>
        <w:trPr>
          <w:trHeight w:val="148"/>
        </w:trPr>
        <w:tc>
          <w:tcPr>
            <w:tcW w:w="10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tcBorders>
              <w:top w:val="single" w:sz="8" w:color="auto"/>
            </w:tcBorders>
            <w:gridSpan w:val="2"/>
          </w:tcPr>
          <w:p>
            <w:pPr>
              <w:ind w:left="100"/>
              <w:spacing w:after="0" w:line="149" w:lineRule="exact"/>
              <w:rPr>
                <w:sz w:val="20"/>
                <w:szCs w:val="20"/>
                <w:color w:val="auto"/>
              </w:rPr>
            </w:pPr>
            <w:r>
              <w:rPr>
                <w:rFonts w:ascii="Arial" w:cs="Arial" w:eastAsia="Arial" w:hAnsi="Arial"/>
                <w:sz w:val="14"/>
                <w:szCs w:val="14"/>
                <w:b w:val="1"/>
                <w:bCs w:val="1"/>
                <w:color w:val="auto"/>
              </w:rPr>
              <w:t>First</w:t>
            </w: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Second</w:t>
            </w:r>
          </w:p>
        </w:tc>
      </w:tr>
      <w:tr>
        <w:trPr>
          <w:trHeight w:val="209"/>
        </w:trPr>
        <w:tc>
          <w:tcPr>
            <w:tcW w:w="10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Market Cap CAGR</w:t>
            </w:r>
          </w:p>
        </w:tc>
        <w:tc>
          <w:tcPr>
            <w:tcW w:w="1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 w:right="200" w:hanging="4"/>
        <w:spacing w:after="0" w:line="311" w:lineRule="auto"/>
        <w:tabs>
          <w:tab w:leader="none" w:pos="184" w:val="left"/>
        </w:tabs>
        <w:numPr>
          <w:ilvl w:val="0"/>
          <w:numId w:val="91"/>
        </w:numPr>
        <w:rPr>
          <w:rFonts w:ascii="Arial" w:cs="Arial" w:eastAsia="Arial" w:hAnsi="Arial"/>
          <w:sz w:val="16"/>
          <w:szCs w:val="16"/>
          <w:color w:val="auto"/>
        </w:rPr>
      </w:pPr>
      <w:r>
        <w:rPr>
          <w:rFonts w:ascii="Arial" w:cs="Arial" w:eastAsia="Arial" w:hAnsi="Arial"/>
          <w:sz w:val="16"/>
          <w:szCs w:val="16"/>
          <w:i w:val="1"/>
          <w:iCs w:val="1"/>
          <w:u w:val="single" w:color="auto"/>
          <w:color w:val="auto"/>
        </w:rPr>
        <w:t>Calculation of Number of Vested Performance Stock Units</w:t>
      </w:r>
      <w:r>
        <w:rPr>
          <w:rFonts w:ascii="Arial" w:cs="Arial" w:eastAsia="Arial" w:hAnsi="Arial"/>
          <w:sz w:val="16"/>
          <w:szCs w:val="16"/>
          <w:color w:val="auto"/>
        </w:rPr>
        <w:t>. As soon as practicable following the completion of the Performance Period,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shall determine, in its sole discretion, the achievement with respect to the Performance Condition and calculate the “Percentage of Vesting Eligible PSUs Earned” based on the table set forth below based on the “Level of Achievement” specified above during the Performance Period.</w:t>
      </w:r>
    </w:p>
    <w:p>
      <w:pPr>
        <w:spacing w:after="0" w:line="14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The Performance Condition shall not be achieved and no Performance Stock Unit shall be vested until the Committee certifies in writing the extent to which the Performance Condition has been met (each such date, the “</w:t>
      </w:r>
      <w:r>
        <w:rPr>
          <w:rFonts w:ascii="Arial" w:cs="Arial" w:eastAsia="Arial" w:hAnsi="Arial"/>
          <w:sz w:val="17"/>
          <w:szCs w:val="17"/>
          <w:u w:val="single" w:color="auto"/>
          <w:color w:val="auto"/>
        </w:rPr>
        <w:t>Determination Date</w:t>
      </w:r>
      <w:r>
        <w:rPr>
          <w:rFonts w:ascii="Arial" w:cs="Arial" w:eastAsia="Arial" w:hAnsi="Arial"/>
          <w:sz w:val="17"/>
          <w:szCs w:val="17"/>
          <w:color w:val="auto"/>
        </w:rPr>
        <w:t>”). All determinations with respect to whether and the extent to which the Performance Condition has been achieved shall be made by the Committee in its sole discretion.</w:t>
      </w:r>
    </w:p>
    <w:p>
      <w:pPr>
        <w:spacing w:after="0" w:line="165"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In the event that actual performance in respect of the Performance Period does not meet the “First” level of achievement with respect to the Performance Condition as set forth in the table above, the “Percentage of Vesting Eligible PSUs Earned” shall be 0%. In the event that actual performance in respect of the Performance Period exceeds the “Second” level of achievement with respect to the Performance Condition as set forth in the table above, the “Percentage of Vesting Eligible PSUs Earned” shall be 100%.</w:t>
      </w:r>
    </w:p>
    <w:p>
      <w:pPr>
        <w:spacing w:after="0" w:line="205" w:lineRule="exact"/>
        <w:rPr>
          <w:sz w:val="20"/>
          <w:szCs w:val="20"/>
          <w:color w:val="auto"/>
        </w:rPr>
      </w:pPr>
    </w:p>
    <w:tbl>
      <w:tblPr>
        <w:tblLayout w:type="fixed"/>
        <w:tblInd w:w="2744" w:type="dxa"/>
        <w:tblCellMar>
          <w:top w:w="0" w:type="dxa"/>
          <w:left w:w="0" w:type="dxa"/>
          <w:bottom w:w="0" w:type="dxa"/>
          <w:right w:w="0" w:type="dxa"/>
        </w:tblCellMar>
      </w:tblPr>
      <w:tr>
        <w:trPr>
          <w:trHeight w:val="191"/>
        </w:trPr>
        <w:tc>
          <w:tcPr>
            <w:tcW w:w="2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of Achievement</w:t>
            </w:r>
          </w:p>
        </w:tc>
        <w:tc>
          <w:tcPr>
            <w:tcW w:w="124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Arial" w:cs="Arial" w:eastAsia="Arial" w:hAnsi="Arial"/>
                <w:sz w:val="14"/>
                <w:szCs w:val="14"/>
                <w:b w:val="1"/>
                <w:bCs w:val="1"/>
                <w:color w:val="auto"/>
                <w:w w:val="90"/>
              </w:rPr>
              <w:t>Percentage of Vesting Eligible PSUs Earned</w:t>
            </w:r>
          </w:p>
        </w:tc>
      </w:tr>
      <w:tr>
        <w:trPr>
          <w:trHeight w:val="203"/>
        </w:trPr>
        <w:tc>
          <w:tcPr>
            <w:tcW w:w="2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Below First</w:t>
            </w:r>
          </w:p>
        </w:tc>
        <w:tc>
          <w:tcPr>
            <w:tcW w:w="124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r>
      <w:tr>
        <w:trPr>
          <w:trHeight w:val="216"/>
        </w:trPr>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First</w:t>
            </w:r>
          </w:p>
        </w:tc>
        <w:tc>
          <w:tcPr>
            <w:tcW w:w="3920" w:type="dxa"/>
            <w:vAlign w:val="bottom"/>
            <w:gridSpan w:val="2"/>
          </w:tcPr>
          <w:p>
            <w:pPr>
              <w:jc w:val="center"/>
              <w:ind w:left="1130"/>
              <w:spacing w:after="0"/>
              <w:rPr>
                <w:sz w:val="20"/>
                <w:szCs w:val="20"/>
                <w:color w:val="auto"/>
              </w:rPr>
            </w:pPr>
            <w:r>
              <w:rPr>
                <w:rFonts w:ascii="Arial" w:cs="Arial" w:eastAsia="Arial" w:hAnsi="Arial"/>
                <w:sz w:val="18"/>
                <w:szCs w:val="18"/>
                <w:color w:val="auto"/>
                <w:w w:val="94"/>
              </w:rPr>
              <w:t>50%</w:t>
            </w:r>
          </w:p>
        </w:tc>
      </w:tr>
      <w:tr>
        <w:trPr>
          <w:trHeight w:val="216"/>
        </w:trPr>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Second</w:t>
            </w:r>
          </w:p>
        </w:tc>
        <w:tc>
          <w:tcPr>
            <w:tcW w:w="392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1"/>
              </w:rPr>
              <w:t>100%</w:t>
            </w:r>
          </w:p>
        </w:tc>
      </w:tr>
      <w:tr>
        <w:trPr>
          <w:trHeight w:val="230"/>
        </w:trPr>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Above Second</w:t>
            </w:r>
          </w:p>
        </w:tc>
        <w:tc>
          <w:tcPr>
            <w:tcW w:w="3920" w:type="dxa"/>
            <w:vAlign w:val="bottom"/>
            <w:gridSpan w:val="2"/>
          </w:tcPr>
          <w:p>
            <w:pPr>
              <w:jc w:val="center"/>
              <w:ind w:left="1130"/>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ind w:left="4" w:right="400" w:firstLine="440"/>
        <w:spacing w:after="0" w:line="263" w:lineRule="auto"/>
        <w:rPr>
          <w:sz w:val="20"/>
          <w:szCs w:val="20"/>
          <w:color w:val="auto"/>
        </w:rPr>
      </w:pPr>
      <w:r>
        <w:rPr>
          <w:rFonts w:ascii="Arial" w:cs="Arial" w:eastAsia="Arial" w:hAnsi="Arial"/>
          <w:sz w:val="18"/>
          <w:szCs w:val="18"/>
          <w:color w:val="auto"/>
        </w:rPr>
        <w:t xml:space="preserve">Provided that the Participant has not undergone a Termination, any Performance Stock Units that become earned Performance Stock Units in accordance with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shall become vested on the Determination Date for the Performance Period, and shall settle in accordance with Section 3 of the Performance Stock Unit Agreement.</w:t>
      </w:r>
    </w:p>
    <w:p>
      <w:pPr>
        <w:sectPr>
          <w:pgSz w:w="11900" w:h="16838" w:orient="portrait"/>
          <w:cols w:equalWidth="0" w:num="1">
            <w:col w:w="10984"/>
          </w:cols>
          <w:pgMar w:left="436" w:top="270" w:right="479" w:bottom="1440" w:gutter="0" w:footer="0" w:header="0"/>
        </w:sectPr>
      </w:pPr>
    </w:p>
    <w:bookmarkStart w:id="102" w:name="page103"/>
    <w:bookmarkEnd w:id="102"/>
    <w:p>
      <w:pPr>
        <w:ind w:left="4"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Performance Stock Units which do not become vested based on actual performance during the Performance Period shall be forfeited for no consideration therefor as of the Determination Date.</w:t>
      </w:r>
    </w:p>
    <w:p>
      <w:pPr>
        <w:spacing w:after="0" w:line="170" w:lineRule="exact"/>
        <w:rPr>
          <w:sz w:val="20"/>
          <w:szCs w:val="20"/>
          <w:color w:val="auto"/>
        </w:rPr>
      </w:pPr>
    </w:p>
    <w:p>
      <w:pPr>
        <w:ind w:left="184" w:hanging="184"/>
        <w:spacing w:after="0"/>
        <w:tabs>
          <w:tab w:leader="none" w:pos="184" w:val="left"/>
        </w:tabs>
        <w:numPr>
          <w:ilvl w:val="0"/>
          <w:numId w:val="92"/>
        </w:numPr>
        <w:rPr>
          <w:rFonts w:ascii="Arial" w:cs="Arial" w:eastAsia="Arial" w:hAnsi="Arial"/>
          <w:sz w:val="17"/>
          <w:szCs w:val="17"/>
          <w:color w:val="auto"/>
        </w:rPr>
      </w:pPr>
      <w:r>
        <w:rPr>
          <w:rFonts w:ascii="Arial" w:cs="Arial" w:eastAsia="Arial" w:hAnsi="Arial"/>
          <w:sz w:val="17"/>
          <w:szCs w:val="17"/>
          <w:i w:val="1"/>
          <w:iCs w:val="1"/>
          <w:u w:val="single" w:color="auto"/>
          <w:color w:val="auto"/>
        </w:rPr>
        <w:t>Treatment of Performance Stock Units on a Change in Control</w:t>
      </w:r>
      <w:r>
        <w:rPr>
          <w:rFonts w:ascii="Arial" w:cs="Arial" w:eastAsia="Arial" w:hAnsi="Arial"/>
          <w:sz w:val="17"/>
          <w:szCs w:val="17"/>
          <w:color w:val="auto"/>
        </w:rPr>
        <w:t>. Notwithstanding the foregoing or anything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Appendix A</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contrary:</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the event of a Change in Control prior to the Participant’s Termination:</w:t>
      </w:r>
    </w:p>
    <w:p>
      <w:pPr>
        <w:spacing w:after="0" w:line="130" w:lineRule="exact"/>
        <w:rPr>
          <w:rFonts w:ascii="Arial" w:cs="Arial" w:eastAsia="Arial" w:hAnsi="Arial"/>
          <w:sz w:val="18"/>
          <w:szCs w:val="18"/>
          <w:color w:val="auto"/>
        </w:rPr>
      </w:pPr>
    </w:p>
    <w:p>
      <w:pPr>
        <w:ind w:left="1424" w:hanging="331"/>
        <w:spacing w:after="0" w:line="259" w:lineRule="auto"/>
        <w:tabs>
          <w:tab w:leader="none" w:pos="1424" w:val="left"/>
        </w:tabs>
        <w:numPr>
          <w:ilvl w:val="2"/>
          <w:numId w:val="92"/>
        </w:numPr>
        <w:rPr>
          <w:rFonts w:ascii="Arial" w:cs="Arial" w:eastAsia="Arial" w:hAnsi="Arial"/>
          <w:sz w:val="15"/>
          <w:szCs w:val="15"/>
          <w:color w:val="auto"/>
        </w:rPr>
      </w:pPr>
      <w:r>
        <w:rPr>
          <w:rFonts w:ascii="Arial" w:cs="Arial" w:eastAsia="Arial" w:hAnsi="Arial"/>
          <w:sz w:val="18"/>
          <w:szCs w:val="18"/>
          <w:color w:val="auto"/>
        </w:rPr>
        <w:t>In the event that the Performance Period has been completed as of such Change in Control but which the Determination Date has not yet occurred in respect of such completed Performance Period, then the Committee shall determine the “Percentage of Vesting Eligible PSUs Earned” based on the level of achievement specified above based on actual performance for the Performance Period and vest as of the date of the Change in Control; and</w:t>
      </w:r>
    </w:p>
    <w:p>
      <w:pPr>
        <w:spacing w:after="0" w:line="92" w:lineRule="exact"/>
        <w:rPr>
          <w:rFonts w:ascii="Arial" w:cs="Arial" w:eastAsia="Arial" w:hAnsi="Arial"/>
          <w:sz w:val="15"/>
          <w:szCs w:val="15"/>
          <w:color w:val="auto"/>
        </w:rPr>
      </w:pPr>
    </w:p>
    <w:p>
      <w:pPr>
        <w:ind w:left="1424" w:right="60" w:hanging="331"/>
        <w:spacing w:after="0" w:line="311" w:lineRule="auto"/>
        <w:tabs>
          <w:tab w:leader="none" w:pos="1424" w:val="left"/>
        </w:tabs>
        <w:numPr>
          <w:ilvl w:val="2"/>
          <w:numId w:val="92"/>
        </w:numPr>
        <w:rPr>
          <w:rFonts w:ascii="Arial" w:cs="Arial" w:eastAsia="Arial" w:hAnsi="Arial"/>
          <w:sz w:val="13"/>
          <w:szCs w:val="13"/>
          <w:color w:val="auto"/>
        </w:rPr>
      </w:pPr>
      <w:r>
        <w:rPr>
          <w:rFonts w:ascii="Arial" w:cs="Arial" w:eastAsia="Arial" w:hAnsi="Arial"/>
          <w:sz w:val="16"/>
          <w:szCs w:val="16"/>
          <w:color w:val="auto"/>
        </w:rPr>
        <w:t>The Committee shall determine, in its sole discretion, the achievement with respect to the Performance Condition and calculate the “Percentage of Vesting Eligible PSUs Earned” based on the level of achievement specified above based on actual performance as of the date of the Change in Control (the “</w:t>
      </w:r>
      <w:r>
        <w:rPr>
          <w:rFonts w:ascii="Arial" w:cs="Arial" w:eastAsia="Arial" w:hAnsi="Arial"/>
          <w:sz w:val="16"/>
          <w:szCs w:val="16"/>
          <w:u w:val="single" w:color="auto"/>
          <w:color w:val="auto"/>
        </w:rPr>
        <w:t>CIC Determination Date</w:t>
      </w:r>
      <w:r>
        <w:rPr>
          <w:rFonts w:ascii="Arial" w:cs="Arial" w:eastAsia="Arial" w:hAnsi="Arial"/>
          <w:sz w:val="16"/>
          <w:szCs w:val="16"/>
          <w:color w:val="auto"/>
        </w:rPr>
        <w:t>”). With respect to any Performance Stock Units for which:</w:t>
      </w:r>
    </w:p>
    <w:p>
      <w:pPr>
        <w:spacing w:after="0" w:line="54" w:lineRule="exact"/>
        <w:rPr>
          <w:rFonts w:ascii="Arial" w:cs="Arial" w:eastAsia="Arial" w:hAnsi="Arial"/>
          <w:sz w:val="13"/>
          <w:szCs w:val="13"/>
          <w:color w:val="auto"/>
        </w:rPr>
      </w:pPr>
    </w:p>
    <w:p>
      <w:pPr>
        <w:ind w:left="2084" w:right="120" w:hanging="545"/>
        <w:spacing w:after="0" w:line="279" w:lineRule="auto"/>
        <w:tabs>
          <w:tab w:leader="none" w:pos="2084" w:val="left"/>
        </w:tabs>
        <w:numPr>
          <w:ilvl w:val="3"/>
          <w:numId w:val="92"/>
        </w:numPr>
        <w:rPr>
          <w:rFonts w:ascii="Arial" w:cs="Arial" w:eastAsia="Arial" w:hAnsi="Arial"/>
          <w:sz w:val="17"/>
          <w:szCs w:val="17"/>
          <w:color w:val="auto"/>
        </w:rPr>
      </w:pPr>
      <w:r>
        <w:rPr>
          <w:rFonts w:ascii="Arial" w:cs="Arial" w:eastAsia="Arial" w:hAnsi="Arial"/>
          <w:sz w:val="17"/>
          <w:szCs w:val="17"/>
          <w:color w:val="auto"/>
        </w:rPr>
        <w:t>The Performance Period has been completed and the Determination Date in respect of such Performance Period has occurred as of such Change in Control but which such Performance Stock Units remain outstanding and eligible to vest in connection with the Performance Period, to the extent that any such Performance Stock Units vest on the CIC Determination Date, such Performance Stock Units shall vest upon the Change in Control; and</w:t>
      </w:r>
    </w:p>
    <w:p>
      <w:pPr>
        <w:spacing w:after="0" w:line="76" w:lineRule="exact"/>
        <w:rPr>
          <w:rFonts w:ascii="Arial" w:cs="Arial" w:eastAsia="Arial" w:hAnsi="Arial"/>
          <w:sz w:val="17"/>
          <w:szCs w:val="17"/>
          <w:color w:val="auto"/>
        </w:rPr>
      </w:pPr>
    </w:p>
    <w:p>
      <w:pPr>
        <w:ind w:left="2084" w:right="120" w:hanging="545"/>
        <w:spacing w:after="0" w:line="257" w:lineRule="auto"/>
        <w:tabs>
          <w:tab w:leader="none" w:pos="2084" w:val="left"/>
        </w:tabs>
        <w:numPr>
          <w:ilvl w:val="3"/>
          <w:numId w:val="92"/>
        </w:numPr>
        <w:rPr>
          <w:rFonts w:ascii="Arial" w:cs="Arial" w:eastAsia="Arial" w:hAnsi="Arial"/>
          <w:sz w:val="18"/>
          <w:szCs w:val="18"/>
          <w:color w:val="auto"/>
        </w:rPr>
      </w:pPr>
      <w:r>
        <w:rPr>
          <w:rFonts w:ascii="Arial" w:cs="Arial" w:eastAsia="Arial" w:hAnsi="Arial"/>
          <w:sz w:val="18"/>
          <w:szCs w:val="18"/>
          <w:color w:val="auto"/>
        </w:rPr>
        <w:t xml:space="preserve">The Performance Period has not been completed as of the Change in Control, but to the extent that the Performance Stock Units satisfy the Performance Condition in connection with the CIC Determination Date, such Performance Stock Units shall instead vest on a quarterly basis following the Change in Control over the lesser of (i) the time remaining in the Performance Period or (ii) two years; </w:t>
      </w:r>
      <w:r>
        <w:rPr>
          <w:rFonts w:ascii="Arial" w:cs="Arial" w:eastAsia="Arial" w:hAnsi="Arial"/>
          <w:sz w:val="18"/>
          <w:szCs w:val="18"/>
          <w:i w:val="1"/>
          <w:iCs w:val="1"/>
          <w:color w:val="auto"/>
        </w:rPr>
        <w:t>provided</w:t>
      </w:r>
      <w:r>
        <w:rPr>
          <w:rFonts w:ascii="Arial" w:cs="Arial" w:eastAsia="Arial" w:hAnsi="Arial"/>
          <w:sz w:val="18"/>
          <w:szCs w:val="18"/>
          <w:color w:val="auto"/>
        </w:rPr>
        <w:t>, in each case, that the Participant has not undergone a Termination on or prior to the applicable quarterly vesting date(s).</w:t>
      </w:r>
    </w:p>
    <w:p>
      <w:pPr>
        <w:spacing w:after="0" w:line="93" w:lineRule="exact"/>
        <w:rPr>
          <w:rFonts w:ascii="Arial" w:cs="Arial" w:eastAsia="Arial" w:hAnsi="Arial"/>
          <w:sz w:val="18"/>
          <w:szCs w:val="18"/>
          <w:color w:val="auto"/>
        </w:rPr>
      </w:pPr>
    </w:p>
    <w:p>
      <w:pPr>
        <w:jc w:val="both"/>
        <w:ind w:left="2084" w:right="80" w:hanging="545"/>
        <w:spacing w:after="0" w:line="263" w:lineRule="auto"/>
        <w:tabs>
          <w:tab w:leader="none" w:pos="2084" w:val="left"/>
        </w:tabs>
        <w:numPr>
          <w:ilvl w:val="3"/>
          <w:numId w:val="92"/>
        </w:numPr>
        <w:rPr>
          <w:rFonts w:ascii="Arial" w:cs="Arial" w:eastAsia="Arial" w:hAnsi="Arial"/>
          <w:sz w:val="18"/>
          <w:szCs w:val="18"/>
          <w:color w:val="auto"/>
        </w:rPr>
      </w:pPr>
      <w:r>
        <w:rPr>
          <w:rFonts w:ascii="Arial" w:cs="Arial" w:eastAsia="Arial" w:hAnsi="Arial"/>
          <w:sz w:val="18"/>
          <w:szCs w:val="18"/>
          <w:color w:val="auto"/>
        </w:rPr>
        <w:t>Any Performance Stock Units which do not (i) vest in connection with the CIC Determination Date or (ii) become eligible to vest following the Change in Control in accordance with the above, shall be forfeited upon the Change in Control for no consideration.</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92"/>
        </w:numPr>
        <w:rPr>
          <w:rFonts w:ascii="Arial" w:cs="Arial" w:eastAsia="Arial" w:hAnsi="Arial"/>
          <w:sz w:val="18"/>
          <w:szCs w:val="18"/>
          <w:color w:val="auto"/>
        </w:rPr>
      </w:pPr>
      <w:r>
        <w:rPr>
          <w:rFonts w:ascii="Arial" w:cs="Arial" w:eastAsia="Arial" w:hAnsi="Arial"/>
          <w:sz w:val="18"/>
          <w:szCs w:val="18"/>
          <w:i w:val="1"/>
          <w:iCs w:val="1"/>
          <w:u w:val="single" w:color="auto"/>
          <w:color w:val="auto"/>
        </w:rPr>
        <w:t>Treatment of Performance Stock Units on the Participant’s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80" w:hanging="424"/>
        <w:spacing w:after="0" w:line="263" w:lineRule="auto"/>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 the event the Participant undergoes a Termination by the Service Recipient prior to the fourth anniversary of the Date of Grant, the Performance Stock Units will not be eligible to become vested Performance Stock Units on the Termination Determination Date and shall be forfeited for no consideration.</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103" w:name="page104"/>
    <w:bookmarkEnd w:id="103"/>
    <w:p>
      <w:pPr>
        <w:ind w:left="964" w:right="240" w:hanging="424"/>
        <w:spacing w:after="0" w:line="277" w:lineRule="auto"/>
        <w:tabs>
          <w:tab w:leader="none" w:pos="964" w:val="left"/>
        </w:tabs>
        <w:numPr>
          <w:ilvl w:val="1"/>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of the Performance Stock Units that are not eligible to become vested Performance Stock Units on the Termination Determination Date or that do not vest on the Termination Determination Date shall be forfeited for no consideration.</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93"/>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Defined Terms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Beginning Market Cap</w:t>
      </w:r>
      <w:r>
        <w:rPr>
          <w:rFonts w:ascii="Arial" w:cs="Arial" w:eastAsia="Arial" w:hAnsi="Arial"/>
          <w:sz w:val="18"/>
          <w:szCs w:val="18"/>
          <w:color w:val="auto"/>
        </w:rPr>
        <w:t>” shall mean $[•].</w:t>
      </w:r>
    </w:p>
    <w:p>
      <w:pPr>
        <w:spacing w:after="0" w:line="225"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Ending Market Cap</w:t>
      </w:r>
      <w:r>
        <w:rPr>
          <w:rFonts w:ascii="Arial" w:cs="Arial" w:eastAsia="Arial" w:hAnsi="Arial"/>
          <w:sz w:val="18"/>
          <w:szCs w:val="18"/>
          <w:color w:val="auto"/>
        </w:rPr>
        <w:t>” shall mean the Market Cap calculated as of the last day of the Performance Period (or, if applicable, as of a Change in Control).</w:t>
      </w:r>
    </w:p>
    <w:p>
      <w:pPr>
        <w:spacing w:after="0" w:line="170"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Cap</w:t>
      </w:r>
      <w:r>
        <w:rPr>
          <w:rFonts w:ascii="Arial" w:cs="Arial" w:eastAsia="Arial" w:hAnsi="Arial"/>
          <w:sz w:val="16"/>
          <w:szCs w:val="16"/>
          <w:color w:val="auto"/>
        </w:rPr>
        <w:t xml:space="preserve">” shall mean, as of the relevant determination date, (x) the total number of outstanding shares of Class A Common Stock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w:t>
      </w:r>
      <w:r>
        <w:rPr>
          <w:rFonts w:ascii="Arial" w:cs="Arial" w:eastAsia="Arial" w:hAnsi="Arial"/>
          <w:sz w:val="16"/>
          <w:szCs w:val="16"/>
          <w:color w:val="auto"/>
        </w:rPr>
        <w:t>(y) the average closing stock price over the 20 trading days ending on the relevant determination date;</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 that, in connection with a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Market Cap shall be determined using the price per share of the Class A Common Stock implied by the Change in Control.</w:t>
      </w:r>
    </w:p>
    <w:p>
      <w:pPr>
        <w:spacing w:after="0" w:line="149"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Cap CAGR</w:t>
      </w:r>
      <w:r>
        <w:rPr>
          <w:rFonts w:ascii="Arial" w:cs="Arial" w:eastAsia="Arial" w:hAnsi="Arial"/>
          <w:sz w:val="18"/>
          <w:szCs w:val="18"/>
          <w:color w:val="auto"/>
        </w:rPr>
        <w:t>” shall mean compounded annual growth rate with respect to Market Cap, which shall be expressed as a percentage (rounded to the nearest tenth of a percent) and calculated for the Performance Period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134620</wp:posOffset>
            </wp:positionV>
            <wp:extent cx="3634740"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36347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24" w:right="440"/>
        <w:spacing w:after="0" w:line="277" w:lineRule="auto"/>
        <w:rPr>
          <w:sz w:val="20"/>
          <w:szCs w:val="20"/>
          <w:color w:val="auto"/>
        </w:rPr>
      </w:pPr>
      <w:r>
        <w:rPr>
          <w:rFonts w:ascii="Arial" w:cs="Arial" w:eastAsia="Arial" w:hAnsi="Arial"/>
          <w:sz w:val="18"/>
          <w:szCs w:val="18"/>
          <w:color w:val="auto"/>
        </w:rPr>
        <w:t>Where “n” equals the period of time (in years) elapsed from the Date of Grant to the last day of the Performance Period (or, if applicable, to a Change in Control).</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shall mean the termination of Participant’s employment with the Company, regardless of reason.</w:t>
      </w:r>
    </w:p>
    <w:p>
      <w:pPr>
        <w:spacing w:after="0" w:line="225"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Determination Date</w:t>
      </w:r>
      <w:r>
        <w:rPr>
          <w:rFonts w:ascii="Arial" w:cs="Arial" w:eastAsia="Arial" w:hAnsi="Arial"/>
          <w:sz w:val="18"/>
          <w:szCs w:val="18"/>
          <w:color w:val="auto"/>
        </w:rPr>
        <w:t>” shall mean the Committee’s certification in writing the extent to which the Performance Condition has been met in respect of the Termination Performance Period.</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Performance Period</w:t>
      </w:r>
      <w:r>
        <w:rPr>
          <w:rFonts w:ascii="Arial" w:cs="Arial" w:eastAsia="Arial" w:hAnsi="Arial"/>
          <w:sz w:val="18"/>
          <w:szCs w:val="18"/>
          <w:color w:val="auto"/>
        </w:rPr>
        <w:t>” shall mean the Performance Period beginning on the Date of Grant and ending on the first anniversary of the date of Termination.</w:t>
      </w:r>
    </w:p>
    <w:p>
      <w:pPr>
        <w:spacing w:after="0" w:line="170" w:lineRule="exact"/>
        <w:rPr>
          <w:sz w:val="20"/>
          <w:szCs w:val="20"/>
          <w:color w:val="auto"/>
        </w:rPr>
      </w:pPr>
    </w:p>
    <w:p>
      <w:pPr>
        <w:ind w:left="4" w:right="4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Vesting-Eligible PSUs</w:t>
      </w:r>
      <w:r>
        <w:rPr>
          <w:rFonts w:ascii="Arial" w:cs="Arial" w:eastAsia="Arial" w:hAnsi="Arial"/>
          <w:sz w:val="17"/>
          <w:szCs w:val="17"/>
          <w:color w:val="auto"/>
        </w:rPr>
        <w:t>” shall mean the number of Performance Stock Units that will be deemed to have been Vesting Eligible Performance Stock Units (in lieu of the schedule set forth under “Performance Period,” above) as of and prior to the Termination.</w:t>
      </w:r>
    </w:p>
    <w:p>
      <w:pPr>
        <w:spacing w:after="0" w:line="7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4" w:right="5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Bryce Maddock, certify that:</w:t>
      </w:r>
    </w:p>
    <w:p>
      <w:pPr>
        <w:spacing w:after="0" w:line="131" w:lineRule="exact"/>
        <w:rPr>
          <w:sz w:val="20"/>
          <w:szCs w:val="20"/>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2021 of TaskUs,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Bryce Maddock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Balaji Sekar, certify that:</w:t>
      </w:r>
    </w:p>
    <w:p>
      <w:pPr>
        <w:spacing w:after="0" w:line="131" w:lineRule="exact"/>
        <w:rPr>
          <w:sz w:val="20"/>
          <w:szCs w:val="20"/>
          <w:color w:val="auto"/>
        </w:rPr>
      </w:pPr>
    </w:p>
    <w:p>
      <w:pPr>
        <w:ind w:left="960" w:hanging="532"/>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June 30, 2021 of TaskUs,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420" w:right="120" w:hanging="439"/>
        <w:spacing w:after="0" w:line="342" w:lineRule="auto"/>
        <w:tabs>
          <w:tab w:leader="none" w:pos="14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Balaji Sekar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0"/>
          </w:cols>
          <w:pgMar w:left="440" w:top="121" w:right="4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connection with the Quarterly Report on Form 10-Q of TaskUs,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three months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Bryce Maddock, Chief Executive Officer of the Company, certify, pursuant to 18 U.S.C. Section 1350, as adopted pursuant to Section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Bryce Maddock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p>
      <w:pPr>
        <w:spacing w:after="0" w:line="225"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i w:val="1"/>
          <w:iCs w:val="1"/>
          <w:color w:val="auto"/>
        </w:rPr>
        <w:t>A signed original of this certification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020"/>
          </w:cols>
          <w:pgMar w:left="440" w:top="121"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connection with the Quarterly Report on Form 10-Q of TaskUs, Inc. (the “</w:t>
      </w:r>
      <w:r>
        <w:rPr>
          <w:rFonts w:ascii="Arial" w:cs="Arial" w:eastAsia="Arial" w:hAnsi="Arial"/>
          <w:sz w:val="18"/>
          <w:szCs w:val="18"/>
          <w:u w:val="single" w:color="auto"/>
          <w:color w:val="auto"/>
        </w:rPr>
        <w:t>Company</w:t>
      </w:r>
      <w:r>
        <w:rPr>
          <w:rFonts w:ascii="Arial" w:cs="Arial" w:eastAsia="Arial" w:hAnsi="Arial"/>
          <w:sz w:val="18"/>
          <w:szCs w:val="18"/>
          <w:color w:val="auto"/>
        </w:rPr>
        <w:t>”) for the three months ended June 30,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Balaji Sekar, Chief Financial Officer of the Company, certify, pursuant to 18 U.S.C. Section 1350, as adopted pursuant to Section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Balaji Sekar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11, 2021</w:t>
      </w:r>
    </w:p>
    <w:p>
      <w:pPr>
        <w:spacing w:after="0" w:line="225"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i w:val="1"/>
          <w:iCs w:val="1"/>
          <w:color w:val="auto"/>
        </w:rPr>
        <w:t>A signed original of this certification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decimal"/>
      <w:start w:val="1"/>
    </w:lvl>
    <w:lvl w:ilvl="1">
      <w:lvlJc w:val="left"/>
      <w:lvlText w:val="•"/>
      <w:numFmt w:val="bullet"/>
      <w:start w:val="1"/>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lowerLetter"/>
      <w:start w:val="2"/>
    </w:lvl>
  </w:abstractNum>
  <w:abstractNum w:abstractNumId="7">
    <w:nsid w:val="12E685FB"/>
    <w:multiLevelType w:val="hybridMultilevel"/>
    <w:lvl w:ilvl="0">
      <w:lvlJc w:val="left"/>
      <w:lvlText w:val="(%1)"/>
      <w:numFmt w:val="lowerLetter"/>
      <w:start w:val="5"/>
    </w:lvl>
  </w:abstractNum>
  <w:abstractNum w:abstractNumId="8">
    <w:nsid w:val="70C6A529"/>
    <w:multiLevelType w:val="hybridMultilevel"/>
    <w:lvl w:ilvl="0">
      <w:lvlJc w:val="left"/>
      <w:lvlText w:val="(%1)"/>
      <w:numFmt w:val="decimal"/>
      <w:start w:val="8"/>
    </w:lvl>
    <w:lvl w:ilvl="1">
      <w:lvlJc w:val="left"/>
      <w:lvlText w:val="(%2)"/>
      <w:numFmt w:val="lowerLetter"/>
      <w:start w:val="1"/>
    </w:lvl>
  </w:abstractNum>
  <w:abstractNum w:abstractNumId="9">
    <w:nsid w:val="520EEDD1"/>
    <w:multiLevelType w:val="hybridMultilevel"/>
    <w:lvl w:ilvl="0">
      <w:lvlJc w:val="left"/>
      <w:lvlText w:val="(%1)"/>
      <w:numFmt w:val="decimal"/>
      <w:start w:val="11"/>
    </w:lvl>
  </w:abstractNum>
  <w:abstractNum w:abstractNumId="10">
    <w:nsid w:val="374A3FE6"/>
    <w:multiLevelType w:val="hybridMultilevel"/>
    <w:lvl w:ilvl="0">
      <w:lvlJc w:val="left"/>
      <w:lvlText w:val="(%1)"/>
      <w:numFmt w:val="lowerRoman"/>
      <w:start w:val="1"/>
    </w:lvl>
  </w:abstractNum>
  <w:abstractNum w:abstractNumId="11">
    <w:nsid w:val="4F4EF005"/>
    <w:multiLevelType w:val="hybridMultilevel"/>
    <w:lvl w:ilvl="0">
      <w:lvlJc w:val="left"/>
      <w:lvlText w:val="(%1)"/>
      <w:numFmt w:val="decimal"/>
      <w:start w:val="14"/>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1"/>
      <w:numFmt w:val="decimal"/>
      <w:start w:val="104"/>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1."/>
      <w:numFmt w:val="decimal"/>
      <w:start w:val="4"/>
    </w:lvl>
    <w:lvl w:ilvl="1">
      <w:lvlJc w:val="left"/>
      <w:lvlText w:val="(%2)"/>
      <w:numFmt w:val="lowerLetter"/>
      <w:start w:val="1"/>
    </w:lvl>
  </w:abstractNum>
  <w:abstractNum w:abstractNumId="20">
    <w:nsid w:val="354FE9F9"/>
    <w:multiLevelType w:val="hybridMultilevel"/>
    <w:lvl w:ilvl="0">
      <w:lvlJc w:val="left"/>
      <w:lvlText w:val="(%1)"/>
      <w:numFmt w:val="lowerLetter"/>
      <w:start w:val="1"/>
    </w:lvl>
    <w:lvl w:ilvl="1">
      <w:lvlJc w:val="left"/>
      <w:lvlText w:val="(%2)"/>
      <w:numFmt w:val="lowerRoman"/>
      <w:start w:val="1"/>
    </w:lvl>
  </w:abstractNum>
  <w:abstractNum w:abstractNumId="21">
    <w:nsid w:val="15B5AF5C"/>
    <w:multiLevelType w:val="hybridMultilevel"/>
    <w:lvl w:ilvl="0">
      <w:lvlJc w:val="left"/>
      <w:lvlText w:val="%1"/>
      <w:numFmt w:val="lowerLetter"/>
      <w:start w:val="1"/>
    </w:lvl>
    <w:lvl w:ilvl="1">
      <w:lvlJc w:val="left"/>
      <w:lvlText w:val="(%2)"/>
      <w:numFmt w:val="lowerRoman"/>
      <w:start w:val="1"/>
    </w:lvl>
  </w:abstractNum>
  <w:abstractNum w:abstractNumId="22">
    <w:nsid w:val="741226BB"/>
    <w:multiLevelType w:val="hybridMultilevel"/>
    <w:lvl w:ilvl="0">
      <w:lvlJc w:val="left"/>
      <w:lvlText w:val="(%1)"/>
      <w:numFmt w:val="lowerLetter"/>
      <w:start w:val="3"/>
    </w:lvl>
    <w:lvl w:ilvl="1">
      <w:lvlJc w:val="left"/>
      <w:lvlText w:val="(%2)"/>
      <w:numFmt w:val="lowerRoman"/>
      <w:start w:val="1"/>
    </w:lvl>
  </w:abstractNum>
  <w:abstractNum w:abstractNumId="23">
    <w:nsid w:val="D34B6A8"/>
    <w:multiLevelType w:val="hybridMultilevel"/>
    <w:lvl w:ilvl="0">
      <w:lvlJc w:val="left"/>
      <w:lvlText w:val="%1."/>
      <w:numFmt w:val="decimal"/>
      <w:start w:val="5"/>
    </w:lvl>
  </w:abstractNum>
  <w:abstractNum w:abstractNumId="24">
    <w:nsid w:val="10233C99"/>
    <w:multiLevelType w:val="hybridMultilevel"/>
    <w:lvl w:ilvl="0">
      <w:lvlJc w:val="left"/>
      <w:lvlText w:val="(%1)"/>
      <w:numFmt w:val="lowerLetter"/>
      <w:start w:val="1"/>
    </w:lvl>
    <w:lvl w:ilvl="1">
      <w:lvlJc w:val="left"/>
      <w:lvlText w:val="(%2)"/>
      <w:numFmt w:val="lowerRoman"/>
      <w:start w:val="1"/>
    </w:lvl>
  </w:abstractNum>
  <w:abstractNum w:abstractNumId="25">
    <w:nsid w:val="3F6AB60F"/>
    <w:multiLevelType w:val="hybridMultilevel"/>
    <w:lvl w:ilvl="0">
      <w:lvlJc w:val="left"/>
      <w:lvlText w:val="(%1)"/>
      <w:numFmt w:val="lowerLetter"/>
      <w:start w:val="2"/>
    </w:lvl>
    <w:lvl w:ilvl="1">
      <w:lvlJc w:val="left"/>
      <w:lvlText w:val="(%2)"/>
      <w:numFmt w:val="lowerRoman"/>
      <w:start w:val="1"/>
    </w:lvl>
  </w:abstractNum>
  <w:abstractNum w:abstractNumId="26">
    <w:nsid w:val="61574095"/>
    <w:multiLevelType w:val="hybridMultilevel"/>
    <w:lvl w:ilvl="0">
      <w:lvlJc w:val="left"/>
      <w:lvlText w:val="(%1)"/>
      <w:numFmt w:val="lowerLetter"/>
      <w:start w:val="3"/>
    </w:lvl>
    <w:lvl w:ilvl="1">
      <w:lvlJc w:val="left"/>
      <w:lvlText w:val="(%2)"/>
      <w:numFmt w:val="lowerRoman"/>
      <w:start w:val="1"/>
    </w:lvl>
  </w:abstractNum>
  <w:abstractNum w:abstractNumId="27">
    <w:nsid w:val="7E0C57B1"/>
    <w:multiLevelType w:val="hybridMultilevel"/>
    <w:lvl w:ilvl="0">
      <w:lvlJc w:val="left"/>
      <w:lvlText w:val="(%1)"/>
      <w:numFmt w:val="lowerLetter"/>
      <w:start w:val="1"/>
    </w:lvl>
  </w:abstractNum>
  <w:abstractNum w:abstractNumId="28">
    <w:nsid w:val="77AE35EB"/>
    <w:multiLevelType w:val="hybridMultilevel"/>
    <w:lvl w:ilvl="0">
      <w:lvlJc w:val="left"/>
      <w:lvlText w:val="(%1)"/>
      <w:numFmt w:val="lowerLetter"/>
      <w:start w:val="1"/>
    </w:lvl>
    <w:lvl w:ilvl="1">
      <w:lvlJc w:val="left"/>
      <w:lvlText w:val="(%2)"/>
      <w:numFmt w:val="lowerLetter"/>
      <w:start w:val="9"/>
    </w:lvl>
  </w:abstractNum>
  <w:abstractNum w:abstractNumId="29">
    <w:nsid w:val="579BE4F1"/>
    <w:multiLevelType w:val="hybridMultilevel"/>
    <w:lvl w:ilvl="0">
      <w:lvlJc w:val="left"/>
      <w:lvlText w:val="(%1)"/>
      <w:numFmt w:val="lowerRoman"/>
      <w:start w:val="2"/>
    </w:lvl>
  </w:abstractNum>
  <w:abstractNum w:abstractNumId="30">
    <w:nsid w:val="310C50B3"/>
    <w:multiLevelType w:val="hybridMultilevel"/>
    <w:lvl w:ilvl="0">
      <w:lvlJc w:val="left"/>
      <w:lvlText w:val="(%1)"/>
      <w:numFmt w:val="lowerLetter"/>
      <w:start w:val="3"/>
    </w:lvl>
  </w:abstractNum>
  <w:abstractNum w:abstractNumId="31">
    <w:nsid w:val="5FF87E05"/>
    <w:multiLevelType w:val="hybridMultilevel"/>
    <w:lvl w:ilvl="0">
      <w:lvlJc w:val="left"/>
      <w:lvlText w:val="(%1)"/>
      <w:numFmt w:val="lowerLetter"/>
      <w:start w:val="1"/>
    </w:lvl>
  </w:abstractNum>
  <w:abstractNum w:abstractNumId="32">
    <w:nsid w:val="2F305DEF"/>
    <w:multiLevelType w:val="hybridMultilevel"/>
    <w:lvl w:ilvl="0">
      <w:lvlJc w:val="left"/>
      <w:lvlText w:val="%1."/>
      <w:numFmt w:val="decimal"/>
      <w:start w:val="6"/>
    </w:lvl>
  </w:abstractNum>
  <w:abstractNum w:abstractNumId="33">
    <w:nsid w:val="25A70BF7"/>
    <w:multiLevelType w:val="hybridMultilevel"/>
    <w:lvl w:ilvl="0">
      <w:lvlJc w:val="left"/>
      <w:lvlText w:val="%1."/>
      <w:numFmt w:val="decimal"/>
      <w:start w:val="7"/>
    </w:lvl>
    <w:lvl w:ilvl="1">
      <w:lvlJc w:val="left"/>
      <w:lvlText w:val="(%2)"/>
      <w:numFmt w:val="lowerLetter"/>
      <w:start w:val="1"/>
    </w:lvl>
  </w:abstractNum>
  <w:abstractNum w:abstractNumId="34">
    <w:nsid w:val="1DBABF00"/>
    <w:multiLevelType w:val="hybridMultilevel"/>
    <w:lvl w:ilvl="0">
      <w:lvlJc w:val="left"/>
      <w:lvlText w:val="%1."/>
      <w:numFmt w:val="decimal"/>
      <w:start w:val="8"/>
    </w:lvl>
  </w:abstractNum>
  <w:abstractNum w:abstractNumId="35">
    <w:nsid w:val="4AD084E9"/>
    <w:multiLevelType w:val="hybridMultilevel"/>
    <w:lvl w:ilvl="0">
      <w:lvlJc w:val="left"/>
      <w:lvlText w:val="%1."/>
      <w:numFmt w:val="decimal"/>
      <w:start w:val="9"/>
    </w:lvl>
  </w:abstractNum>
  <w:abstractNum w:abstractNumId="36">
    <w:nsid w:val="1F48EAA1"/>
    <w:multiLevelType w:val="hybridMultilevel"/>
    <w:lvl w:ilvl="0">
      <w:lvlJc w:val="left"/>
      <w:lvlText w:val="%1."/>
      <w:numFmt w:val="decimal"/>
      <w:start w:val="10"/>
    </w:lvl>
  </w:abstractNum>
  <w:abstractNum w:abstractNumId="37">
    <w:nsid w:val="1381823A"/>
    <w:multiLevelType w:val="hybridMultilevel"/>
    <w:lvl w:ilvl="0">
      <w:lvlJc w:val="left"/>
      <w:lvlText w:val="%1."/>
      <w:numFmt w:val="decimal"/>
      <w:start w:val="11"/>
    </w:lvl>
  </w:abstractNum>
  <w:abstractNum w:abstractNumId="38">
    <w:nsid w:val="5DB70AE5"/>
    <w:multiLevelType w:val="hybridMultilevel"/>
    <w:lvl w:ilvl="0">
      <w:lvlJc w:val="left"/>
      <w:lvlText w:val="%1."/>
      <w:numFmt w:val="decimal"/>
      <w:start w:val="12"/>
    </w:lvl>
  </w:abstractNum>
  <w:abstractNum w:abstractNumId="39">
    <w:nsid w:val="100F8FCA"/>
    <w:multiLevelType w:val="hybridMultilevel"/>
    <w:lvl w:ilvl="0">
      <w:lvlJc w:val="left"/>
      <w:lvlText w:val="%1"/>
      <w:numFmt w:val="decimal"/>
      <w:start w:val="1"/>
    </w:lvl>
    <w:lvl w:ilvl="1">
      <w:lvlJc w:val="left"/>
      <w:lvlText w:val="(%2)"/>
      <w:numFmt w:val="lowerLetter"/>
      <w:start w:val="1"/>
    </w:lvl>
  </w:abstractNum>
  <w:abstractNum w:abstractNumId="40">
    <w:nsid w:val="6590700B"/>
    <w:multiLevelType w:val="hybridMultilevel"/>
    <w:lvl w:ilvl="0">
      <w:lvlJc w:val="left"/>
      <w:lvlText w:val="%1."/>
      <w:numFmt w:val="decimal"/>
      <w:start w:val="18"/>
    </w:lvl>
    <w:lvl w:ilvl="1">
      <w:lvlJc w:val="left"/>
      <w:lvlText w:val="%2"/>
      <w:numFmt w:val="lowerLetter"/>
      <w:start w:val="1"/>
    </w:lvl>
  </w:abstractNum>
  <w:abstractNum w:abstractNumId="41">
    <w:nsid w:val="15014ACB"/>
    <w:multiLevelType w:val="hybridMultilevel"/>
    <w:lvl w:ilvl="0">
      <w:lvlJc w:val="left"/>
      <w:lvlText w:val="%1."/>
      <w:numFmt w:val="decimal"/>
      <w:start w:val="20"/>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lowerLetter"/>
      <w:start w:val="1"/>
    </w:lvl>
    <w:lvl w:ilvl="1">
      <w:lvlJc w:val="left"/>
      <w:lvlText w:val="(%2)"/>
      <w:numFmt w:val="lowerRoman"/>
      <w:start w:val="1"/>
    </w:lvl>
  </w:abstractNum>
  <w:abstractNum w:abstractNumId="45">
    <w:nsid w:val="6B94764"/>
    <w:multiLevelType w:val="hybridMultilevel"/>
    <w:lvl w:ilvl="0">
      <w:lvlJc w:val="left"/>
      <w:lvlText w:val="(%1)"/>
      <w:numFmt w:val="lowerRoman"/>
      <w:start w:val="1"/>
    </w:lvl>
  </w:abstractNum>
  <w:abstractNum w:abstractNumId="46">
    <w:nsid w:val="42C296B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7">
    <w:nsid w:val="168E121F"/>
    <w:multiLevelType w:val="hybridMultilevel"/>
    <w:lvl w:ilvl="0">
      <w:lvlJc w:val="left"/>
      <w:lvlText w:val="(%1)"/>
      <w:numFmt w:val="lowerLetter"/>
      <w:start w:val="2"/>
    </w:lvl>
    <w:lvl w:ilvl="1">
      <w:lvlJc w:val="left"/>
      <w:lvlText w:val="(%2)"/>
      <w:numFmt w:val="lowerRoman"/>
      <w:start w:val="1"/>
    </w:lvl>
  </w:abstractNum>
  <w:abstractNum w:abstractNumId="48">
    <w:nsid w:val="1EBA5D23"/>
    <w:multiLevelType w:val="hybridMultilevel"/>
    <w:lvl w:ilvl="0">
      <w:lvlJc w:val="left"/>
      <w:lvlText w:val="(%1)"/>
      <w:numFmt w:val="lowerRoman"/>
      <w:start w:val="6"/>
    </w:lvl>
  </w:abstractNum>
  <w:abstractNum w:abstractNumId="49">
    <w:nsid w:val="661E3F1E"/>
    <w:multiLevelType w:val="hybridMultilevel"/>
    <w:lvl w:ilvl="0">
      <w:lvlJc w:val="left"/>
      <w:lvlText w:val="(%1)"/>
      <w:numFmt w:val="lowerLetter"/>
      <w:start w:val="3"/>
    </w:lvl>
    <w:lvl w:ilvl="1">
      <w:lvlJc w:val="left"/>
      <w:lvlText w:val="(%2)"/>
      <w:numFmt w:val="lowerRoman"/>
      <w:start w:val="1"/>
    </w:lvl>
  </w:abstractNum>
  <w:abstractNum w:abstractNumId="50">
    <w:nsid w:val="5DC79EA8"/>
    <w:multiLevelType w:val="hybridMultilevel"/>
    <w:lvl w:ilvl="0">
      <w:lvlJc w:val="left"/>
      <w:lvlText w:val="(%1)"/>
      <w:numFmt w:val="lowerLetter"/>
      <w:start w:val="1"/>
    </w:lvl>
  </w:abstractNum>
  <w:abstractNum w:abstractNumId="51">
    <w:nsid w:val="540A471C"/>
    <w:multiLevelType w:val="hybridMultilevel"/>
    <w:lvl w:ilvl="0">
      <w:lvlJc w:val="left"/>
      <w:lvlText w:val="(%1)"/>
      <w:numFmt w:val="lowerLetter"/>
      <w:start w:val="2"/>
    </w:lvl>
  </w:abstractNum>
  <w:abstractNum w:abstractNumId="52">
    <w:nsid w:val="7BD3EE7B"/>
    <w:multiLevelType w:val="hybridMultilevel"/>
    <w:lvl w:ilvl="0">
      <w:lvlJc w:val="left"/>
      <w:lvlText w:val="(%1)"/>
      <w:numFmt w:val="lowerLetter"/>
      <w:start w:val="1"/>
    </w:lvl>
    <w:lvl w:ilvl="1">
      <w:lvlJc w:val="left"/>
      <w:lvlText w:val="(%2)"/>
      <w:numFmt w:val="lowerRoman"/>
      <w:start w:val="1"/>
    </w:lvl>
  </w:abstractNum>
  <w:abstractNum w:abstractNumId="53">
    <w:nsid w:val="51D9C564"/>
    <w:multiLevelType w:val="hybridMultilevel"/>
    <w:lvl w:ilvl="0">
      <w:lvlJc w:val="left"/>
      <w:lvlText w:val="(%1)"/>
      <w:numFmt w:val="lowerLetter"/>
      <w:start w:val="3"/>
    </w:lvl>
  </w:abstractNum>
  <w:abstractNum w:abstractNumId="54">
    <w:nsid w:val="613EFDC5"/>
    <w:multiLevelType w:val="hybridMultilevel"/>
    <w:lvl w:ilvl="0">
      <w:lvlJc w:val="left"/>
      <w:lvlText w:val="(%1)"/>
      <w:numFmt w:val="lowerLetter"/>
      <w:start w:val="1"/>
    </w:lvl>
  </w:abstractNum>
  <w:abstractNum w:abstractNumId="55">
    <w:nsid w:val="BF72B14"/>
    <w:multiLevelType w:val="hybridMultilevel"/>
    <w:lvl w:ilvl="0">
      <w:lvlJc w:val="left"/>
      <w:lvlText w:val="%1."/>
      <w:numFmt w:val="decimal"/>
      <w:start w:val="6"/>
    </w:lvl>
  </w:abstractNum>
  <w:abstractNum w:abstractNumId="56">
    <w:nsid w:val="11447B73"/>
    <w:multiLevelType w:val="hybridMultilevel"/>
    <w:lvl w:ilvl="0">
      <w:lvlJc w:val="left"/>
      <w:lvlText w:val="%1."/>
      <w:numFmt w:val="decimal"/>
      <w:start w:val="7"/>
    </w:lvl>
    <w:lvl w:ilvl="1">
      <w:lvlJc w:val="left"/>
      <w:lvlText w:val="(%2)"/>
      <w:numFmt w:val="lowerLetter"/>
      <w:start w:val="1"/>
    </w:lvl>
  </w:abstractNum>
  <w:abstractNum w:abstractNumId="57">
    <w:nsid w:val="42963E5A"/>
    <w:multiLevelType w:val="hybridMultilevel"/>
    <w:lvl w:ilvl="0">
      <w:lvlJc w:val="left"/>
      <w:lvlText w:val="(%1)"/>
      <w:numFmt w:val="lowerLetter"/>
      <w:start w:val="6"/>
    </w:lvl>
  </w:abstractNum>
  <w:abstractNum w:abstractNumId="58">
    <w:nsid w:val="A0382C5"/>
    <w:multiLevelType w:val="hybridMultilevel"/>
    <w:lvl w:ilvl="0">
      <w:lvlJc w:val="left"/>
      <w:lvlText w:val="%1."/>
      <w:numFmt w:val="decimal"/>
      <w:start w:val="8"/>
    </w:lvl>
  </w:abstractNum>
  <w:abstractNum w:abstractNumId="59">
    <w:nsid w:val="8F2B15E"/>
    <w:multiLevelType w:val="hybridMultilevel"/>
    <w:lvl w:ilvl="0">
      <w:lvlJc w:val="left"/>
      <w:lvlText w:val="%1."/>
      <w:numFmt w:val="decimal"/>
      <w:start w:val="9"/>
    </w:lvl>
  </w:abstractNum>
  <w:abstractNum w:abstractNumId="60">
    <w:nsid w:val="1A32234B"/>
    <w:multiLevelType w:val="hybridMultilevel"/>
    <w:lvl w:ilvl="0">
      <w:lvlJc w:val="left"/>
      <w:lvlText w:val="%1."/>
      <w:numFmt w:val="decimal"/>
      <w:start w:val="10"/>
    </w:lvl>
  </w:abstractNum>
  <w:abstractNum w:abstractNumId="61">
    <w:nsid w:val="3B0FD379"/>
    <w:multiLevelType w:val="hybridMultilevel"/>
    <w:lvl w:ilvl="0">
      <w:lvlJc w:val="left"/>
      <w:lvlText w:val="%1."/>
      <w:numFmt w:val="decimal"/>
      <w:start w:val="11"/>
    </w:lvl>
  </w:abstractNum>
  <w:abstractNum w:abstractNumId="62">
    <w:nsid w:val="68EB2F63"/>
    <w:multiLevelType w:val="hybridMultilevel"/>
    <w:lvl w:ilvl="0">
      <w:lvlJc w:val="left"/>
      <w:lvlText w:val="%1"/>
      <w:numFmt w:val="decimal"/>
      <w:start w:val="1"/>
    </w:lvl>
    <w:lvl w:ilvl="1">
      <w:lvlJc w:val="left"/>
      <w:lvlText w:val="(%2)"/>
      <w:numFmt w:val="lowerLetter"/>
      <w:start w:val="1"/>
    </w:lvl>
  </w:abstractNum>
  <w:abstractNum w:abstractNumId="63">
    <w:nsid w:val="4962813B"/>
    <w:multiLevelType w:val="hybridMultilevel"/>
    <w:lvl w:ilvl="0">
      <w:lvlJc w:val="left"/>
      <w:lvlText w:val="%1."/>
      <w:numFmt w:val="decimal"/>
      <w:start w:val="18"/>
    </w:lvl>
    <w:lvl w:ilvl="1">
      <w:lvlJc w:val="left"/>
      <w:lvlText w:val="%2"/>
      <w:numFmt w:val="lowerLetter"/>
      <w:start w:val="1"/>
    </w:lvl>
  </w:abstractNum>
  <w:abstractNum w:abstractNumId="64">
    <w:nsid w:val="60B6DF70"/>
    <w:multiLevelType w:val="hybridMultilevel"/>
    <w:lvl w:ilvl="0">
      <w:lvlJc w:val="left"/>
      <w:lvlText w:val="%1."/>
      <w:numFmt w:val="decimal"/>
      <w:start w:val="20"/>
    </w:lvl>
  </w:abstractNum>
  <w:abstractNum w:abstractNumId="65">
    <w:nsid w:val="6A5EE64"/>
    <w:multiLevelType w:val="hybridMultilevel"/>
    <w:lvl w:ilvl="0">
      <w:lvlJc w:val="left"/>
      <w:lvlText w:val="1"/>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lowerLetter"/>
      <w:start w:val="1"/>
    </w:lvl>
  </w:abstractNum>
  <w:abstractNum w:abstractNumId="68">
    <w:nsid w:val="1A27709E"/>
    <w:multiLevelType w:val="hybridMultilevel"/>
    <w:lvl w:ilvl="0">
      <w:lvlJc w:val="left"/>
      <w:lvlText w:val="%1."/>
      <w:numFmt w:val="decimal"/>
      <w:start w:val="6"/>
    </w:lvl>
  </w:abstractNum>
  <w:abstractNum w:abstractNumId="69">
    <w:nsid w:val="71EA1109"/>
    <w:multiLevelType w:val="hybridMultilevel"/>
    <w:lvl w:ilvl="0">
      <w:lvlJc w:val="left"/>
      <w:lvlText w:val="%1."/>
      <w:numFmt w:val="decimal"/>
      <w:start w:val="8"/>
    </w:lvl>
  </w:abstractNum>
  <w:abstractNum w:abstractNumId="70">
    <w:nsid w:val="100F59DC"/>
    <w:multiLevelType w:val="hybridMultilevel"/>
    <w:lvl w:ilvl="0">
      <w:lvlJc w:val="left"/>
      <w:lvlText w:val="%1."/>
      <w:numFmt w:val="decimal"/>
      <w:start w:val="13"/>
    </w:lvl>
  </w:abstractNum>
  <w:abstractNum w:abstractNumId="71">
    <w:nsid w:val="7FB7E0AA"/>
    <w:multiLevelType w:val="hybridMultilevel"/>
    <w:lvl w:ilvl="0">
      <w:lvlJc w:val="left"/>
      <w:lvlText w:val="%1."/>
      <w:numFmt w:val="decimal"/>
      <w:start w:val="15"/>
    </w:lvl>
  </w:abstractNum>
  <w:abstractNum w:abstractNumId="72">
    <w:nsid w:val="6EB5BD4"/>
    <w:multiLevelType w:val="hybridMultilevel"/>
    <w:lvl w:ilvl="0">
      <w:lvlJc w:val="left"/>
      <w:lvlText w:val="%1."/>
      <w:numFmt w:val="decimal"/>
      <w:start w:val="20"/>
    </w:lvl>
  </w:abstractNum>
  <w:abstractNum w:abstractNumId="73">
    <w:nsid w:val="6F6DD9AC"/>
    <w:multiLevelType w:val="hybridMultilevel"/>
    <w:lvl w:ilvl="0">
      <w:lvlJc w:val="left"/>
      <w:lvlText w:val="1"/>
      <w:numFmt w:val="bullet"/>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6"/>
    </w:lvl>
  </w:abstractNum>
  <w:abstractNum w:abstractNumId="76">
    <w:nsid w:val="76272110"/>
    <w:multiLevelType w:val="hybridMultilevel"/>
    <w:lvl w:ilvl="0">
      <w:lvlJc w:val="left"/>
      <w:lvlText w:val="(%1)"/>
      <w:numFmt w:val="lowerLetter"/>
      <w:start w:val="2"/>
    </w:lvl>
  </w:abstractNum>
  <w:abstractNum w:abstractNumId="77">
    <w:nsid w:val="4C04A8AF"/>
    <w:multiLevelType w:val="hybridMultilevel"/>
    <w:lvl w:ilvl="0">
      <w:lvlJc w:val="left"/>
      <w:lvlText w:val="%1."/>
      <w:numFmt w:val="decimal"/>
      <w:start w:val="7"/>
    </w:lvl>
  </w:abstractNum>
  <w:abstractNum w:abstractNumId="78">
    <w:nsid w:val="1716703B"/>
    <w:multiLevelType w:val="hybridMultilevel"/>
    <w:lvl w:ilvl="0">
      <w:lvlJc w:val="left"/>
      <w:lvlText w:val="%1."/>
      <w:numFmt w:val="decimal"/>
      <w:start w:val="12"/>
    </w:lvl>
  </w:abstractNum>
  <w:abstractNum w:abstractNumId="79">
    <w:nsid w:val="14E17E33"/>
    <w:multiLevelType w:val="hybridMultilevel"/>
    <w:lvl w:ilvl="0">
      <w:lvlJc w:val="left"/>
      <w:lvlText w:val="%1."/>
      <w:numFmt w:val="decimal"/>
      <w:start w:val="21"/>
    </w:lvl>
  </w:abstractNum>
  <w:abstractNum w:abstractNumId="80">
    <w:nsid w:val="3222E7CD"/>
    <w:multiLevelType w:val="hybridMultilevel"/>
    <w:lvl w:ilvl="0">
      <w:lvlJc w:val="left"/>
      <w:lvlText w:val="1"/>
      <w:numFmt w:val="bullet"/>
      <w:start w:val="1"/>
    </w:lvl>
  </w:abstractNum>
  <w:abstractNum w:abstractNumId="81">
    <w:nsid w:val="74DE0EE3"/>
    <w:multiLevelType w:val="hybridMultilevel"/>
    <w:lvl w:ilvl="0">
      <w:lvlJc w:val="left"/>
      <w:lvlText w:val="%1."/>
      <w:numFmt w:val="decimal"/>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decimal"/>
      <w:start w:val="6"/>
    </w:lvl>
  </w:abstractNum>
  <w:abstractNum w:abstractNumId="84">
    <w:nsid w:val="46B7D447"/>
    <w:multiLevelType w:val="hybridMultilevel"/>
    <w:lvl w:ilvl="0">
      <w:lvlJc w:val="left"/>
      <w:lvlText w:val="%1."/>
      <w:numFmt w:val="decimal"/>
      <w:start w:val="8"/>
    </w:lvl>
  </w:abstractNum>
  <w:abstractNum w:abstractNumId="85">
    <w:nsid w:val="4A2AC315"/>
    <w:multiLevelType w:val="hybridMultilevel"/>
    <w:lvl w:ilvl="0">
      <w:lvlJc w:val="left"/>
      <w:lvlText w:val="%1."/>
      <w:numFmt w:val="decimal"/>
      <w:start w:val="12"/>
    </w:lvl>
  </w:abstractNum>
  <w:abstractNum w:abstractNumId="86">
    <w:nsid w:val="39EE015C"/>
    <w:multiLevelType w:val="hybridMultilevel"/>
    <w:lvl w:ilvl="0">
      <w:lvlJc w:val="left"/>
      <w:lvlText w:val="%1."/>
      <w:numFmt w:val="decimal"/>
      <w:start w:val="15"/>
    </w:lvl>
  </w:abstractNum>
  <w:abstractNum w:abstractNumId="87">
    <w:nsid w:val="57FC4FBB"/>
    <w:multiLevelType w:val="hybridMultilevel"/>
    <w:lvl w:ilvl="0">
      <w:lvlJc w:val="left"/>
      <w:lvlText w:val="%1."/>
      <w:numFmt w:val="decimal"/>
      <w:start w:val="19"/>
    </w:lvl>
  </w:abstractNum>
  <w:abstractNum w:abstractNumId="88">
    <w:nsid w:val="CC1016F"/>
    <w:multiLevelType w:val="hybridMultilevel"/>
    <w:lvl w:ilvl="0">
      <w:lvlJc w:val="left"/>
      <w:lvlText w:val="%1."/>
      <w:numFmt w:val="decimal"/>
      <w:start w:val="21"/>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decimal"/>
      <w:start w:val="3"/>
    </w:lvl>
  </w:abstractNum>
  <w:abstractNum w:abstractNumId="91">
    <w:nsid w:val="26F324BA"/>
    <w:multiLevelType w:val="hybridMultilevel"/>
    <w:lvl w:ilvl="0">
      <w:lvlJc w:val="left"/>
      <w:lvlText w:val="%1."/>
      <w:numFmt w:val="decimal"/>
      <w:start w:val="4"/>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2">
    <w:nsid w:val="7F01579B"/>
    <w:multiLevelType w:val="hybridMultilevel"/>
    <w:lvl w:ilvl="0">
      <w:lvlJc w:val="left"/>
      <w:lvlText w:val="%1."/>
      <w:numFmt w:val="decimal"/>
      <w:start w:val="5"/>
    </w:lvl>
    <w:lvl w:ilvl="1">
      <w:lvlJc w:val="left"/>
      <w:lvlText w:val="•"/>
      <w:numFmt w:val="bullet"/>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jpe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66" Type="http://schemas.openxmlformats.org/officeDocument/2006/relationships/hyperlink" Target="http://www.sec.gov/Archives/edgar/data/1829864/000119312521191190/d191129dex31.htm" TargetMode="External"/><Relationship Id="rId67" Type="http://schemas.openxmlformats.org/officeDocument/2006/relationships/hyperlink" Target="http://www.sec.gov/Archives/edgar/data/1829864/000119312521191190/d191129dex32.htm" TargetMode="External"/><Relationship Id="rId68" Type="http://schemas.openxmlformats.org/officeDocument/2006/relationships/hyperlink" Target="http://www.sec.gov/Archives/edgar/data/1829864/000119312521191190/d191129dex101.htm" TargetMode="External"/><Relationship Id="rId69" Type="http://schemas.openxmlformats.org/officeDocument/2006/relationships/hyperlink" Target="http://www.sec.gov/Archives/edgar/data/1829864/000119312521191190/d191129dex102.htm" TargetMode="External"/><Relationship Id="rId70" Type="http://schemas.openxmlformats.org/officeDocument/2006/relationships/hyperlink" Target="http://www.sec.gov/Archives/edgar/data/1829864/000119312521191190/d191129dex103.htm" TargetMode="External"/><Relationship Id="rId71" Type="http://schemas.openxmlformats.org/officeDocument/2006/relationships/hyperlink" Target="http://www.sec.gov/Archives/edgar/data/1829864/000119312521191190/d191129dex104.htm" TargetMode="External"/><Relationship Id="rId72" Type="http://schemas.openxmlformats.org/officeDocument/2006/relationships/hyperlink" Target="http://www.sec.gov/Archives/edgar/data/1829864/000119312521153506/d200167dex104.htm" TargetMode="External"/><Relationship Id="rId73" Type="http://schemas.openxmlformats.org/officeDocument/2006/relationships/hyperlink" Target="http://www.sec.gov/Archives/edgar/data/1829864/000119312521153506/d200167dex105.htm" TargetMode="External"/><Relationship Id="rId74" Type="http://schemas.openxmlformats.org/officeDocument/2006/relationships/hyperlink" Target="http://www.sec.gov/Archives/edgar/data/1829864/000119312521153506/d20016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2021-08-11T16:02:23Z</dcterms:created>
  <dcterms:modified xsi:type="dcterms:W3CDTF">2021-08-11T16:02:23Z</dcterms:modified>
</cp:coreProperties>
</file>