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2025</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transition period from_____________to______________</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001-40482</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_______________________</w:t>
      </w:r>
    </w:p>
    <w:tbl>
      <w:tblPr>
        <w:tblW w:w="7304" w:type="dxa"/>
        <w:jc w:val="left"/>
        <w:tblInd w:w="0" w:type="dxa"/>
        <w:tblLayout w:type="fixed"/>
        <w:tblCellMar>
          <w:top w:w="28" w:type="dxa"/>
          <w:left w:w="28" w:type="dxa"/>
          <w:bottom w:w="28" w:type="dxa"/>
          <w:right w:w="28" w:type="dxa"/>
        </w:tblCellMar>
      </w:tblPr>
      <w:tblGrid>
        <w:gridCol w:w="1648"/>
        <w:gridCol w:w="1446"/>
        <w:gridCol w:w="1466"/>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83-1586636</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1650 Independence Drive, Suite 100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 Braunfels, Texas</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78132</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(888) 400-8275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756" w:type="dxa"/>
        <w:jc w:val="left"/>
        <w:tblInd w:w="0" w:type="dxa"/>
        <w:tblLayout w:type="fixed"/>
        <w:tblCellMar>
          <w:top w:w="28" w:type="dxa"/>
          <w:left w:w="28" w:type="dxa"/>
          <w:bottom w:w="28" w:type="dxa"/>
          <w:right w:w="28" w:type="dxa"/>
        </w:tblCellMar>
      </w:tblPr>
      <w:tblGrid>
        <w:gridCol w:w="1567"/>
        <w:gridCol w:w="1374"/>
        <w:gridCol w:w="1393"/>
        <w:gridCol w:w="109"/>
        <w:gridCol w:w="109"/>
        <w:gridCol w:w="109"/>
        <w:gridCol w:w="484"/>
        <w:gridCol w:w="484"/>
        <w:gridCol w:w="486"/>
        <w:gridCol w:w="109"/>
        <w:gridCol w:w="109"/>
        <w:gridCol w:w="109"/>
        <w:gridCol w:w="970"/>
        <w:gridCol w:w="970"/>
        <w:gridCol w:w="1374"/>
      </w:tblGrid>
      <w:tr>
        <w:trPr/>
        <w:tc>
          <w:tcPr>
            <w:tcW w:w="156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4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No</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8" w:type="dxa"/>
        <w:jc w:val="left"/>
        <w:tblInd w:w="0" w:type="dxa"/>
        <w:tblLayout w:type="fixed"/>
        <w:tblCellMar>
          <w:top w:w="28" w:type="dxa"/>
          <w:left w:w="28" w:type="dxa"/>
          <w:bottom w:w="28" w:type="dxa"/>
          <w:right w:w="28" w:type="dxa"/>
        </w:tblCellMar>
      </w:tblPr>
      <w:tblGrid>
        <w:gridCol w:w="696"/>
        <w:gridCol w:w="612"/>
        <w:gridCol w:w="613"/>
        <w:gridCol w:w="109"/>
        <w:gridCol w:w="109"/>
        <w:gridCol w:w="109"/>
        <w:gridCol w:w="109"/>
        <w:gridCol w:w="109"/>
        <w:gridCol w:w="109"/>
        <w:gridCol w:w="769"/>
        <w:gridCol w:w="769"/>
        <w:gridCol w:w="773"/>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40" w:after="283"/>
        <w:ind w:left="0" w:right="0" w:firstLine="540"/>
        <w:jc w:val="both"/>
        <w:rPr/>
      </w:pPr>
      <w:r>
        <w:rPr>
          <w:rFonts w:ascii="Times New Roman;serif" w:hAnsi="Times New Roman;serif"/>
          <w:b w:val="false"/>
          <w:color w:val="000000"/>
          <w:sz w:val="20"/>
        </w:rPr>
        <w:t xml:space="preserve">Indicate by check mark whether the registrant is a shell company (as defined in Rule 12b-2 of the Exchange Act).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August 1, 2025, the number of shares outstanding of the registrant’s common stock was as follows: Class A common stock, par value $0.01 per share: 34,843,287; Class B common stock, par value $0.01 per share: 55,032,694.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Quarterly Period Ended June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062" w:type="dxa"/>
        <w:jc w:val="left"/>
        <w:tblInd w:w="0" w:type="dxa"/>
        <w:tblLayout w:type="fixed"/>
        <w:tblCellMar>
          <w:top w:w="28" w:type="dxa"/>
          <w:left w:w="28" w:type="dxa"/>
          <w:bottom w:w="28" w:type="dxa"/>
          <w:right w:w="28" w:type="dxa"/>
        </w:tblCellMar>
      </w:tblPr>
      <w:tblGrid>
        <w:gridCol w:w="321"/>
        <w:gridCol w:w="281"/>
        <w:gridCol w:w="284"/>
        <w:gridCol w:w="2454"/>
        <w:gridCol w:w="2454"/>
        <w:gridCol w:w="2457"/>
        <w:gridCol w:w="237"/>
        <w:gridCol w:w="237"/>
        <w:gridCol w:w="337"/>
      </w:tblGrid>
      <w:tr>
        <w:trPr/>
        <w:tc>
          <w:tcPr>
            <w:tcW w:w="3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10">
              <w:r>
                <w:rPr>
                  <w:rStyle w:val="InternetLink"/>
                  <w:rFonts w:ascii="Times New Roman;serif" w:hAnsi="Times New Roman;serif"/>
                  <w:b w:val="false"/>
                  <w:color w:val="0000FF"/>
                  <w:sz w:val="20"/>
                  <w:u w:val="single"/>
                </w:rPr>
                <w:t>CAUTIONARY NOTE REGARDING FORWARD-LOOKING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d9e8bc54f84279b38a8e855d4d1689_10">
              <w:r>
                <w:rPr>
                  <w:rStyle w:val="InternetLink"/>
                  <w:rFonts w:ascii="Times New Roman;serif" w:hAnsi="Times New Roman;serif"/>
                  <w:b w:val="false"/>
                  <w:strike w:val="false"/>
                  <w:dstrike w:val="false"/>
                  <w:color w:val="000000"/>
                  <w:sz w:val="20"/>
                  <w:u w:val="none"/>
                  <w:effect w:val="none"/>
                </w:rPr>
                <w:t>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13">
              <w:r>
                <w:rPr>
                  <w:rStyle w:val="InternetLink"/>
                  <w:rFonts w:ascii="Times New Roman;serif" w:hAnsi="Times New Roman;serif"/>
                  <w:b w:val="false"/>
                  <w:color w:val="0000FF"/>
                  <w:sz w:val="20"/>
                  <w:u w:val="single"/>
                </w:rPr>
                <w:t>WEBSITE AND SOCIAL MEDIA DISCLOSURE</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d9e8bc54f84279b38a8e855d4d1689_13">
              <w:r>
                <w:rPr>
                  <w:rStyle w:val="InternetLink"/>
                  <w:rFonts w:ascii="Times New Roman;serif" w:hAnsi="Times New Roman;serif"/>
                  <w:b w:val="false"/>
                  <w:strike w:val="false"/>
                  <w:dstrike w:val="false"/>
                  <w:color w:val="000000"/>
                  <w:sz w:val="20"/>
                  <w:u w:val="none"/>
                  <w:effect w:val="none"/>
                </w:rPr>
                <w:t>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16">
              <w:r>
                <w:rPr>
                  <w:rStyle w:val="InternetLink"/>
                  <w:rFonts w:ascii="Times New Roman;serif" w:hAnsi="Times New Roman;serif"/>
                  <w:b/>
                  <w:color w:val="000000"/>
                  <w:sz w:val="20"/>
                  <w:u w:val="singl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16">
              <w:r>
                <w:rPr>
                  <w:rStyle w:val="InternetLink"/>
                  <w:rFonts w:ascii="Times New Roman;serif" w:hAnsi="Times New Roman;serif"/>
                  <w:b/>
                  <w:color w:val="0000FF"/>
                  <w:sz w:val="20"/>
                  <w:u w:val="single"/>
                </w:rPr>
                <w:t>FINANCIAL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d9e8bc54f84279b38a8e855d4d1689_16">
              <w:r>
                <w:rPr>
                  <w:rStyle w:val="InternetLink"/>
                  <w:rFonts w:ascii="Times New Roman;serif" w:hAnsi="Times New Roman;serif"/>
                  <w:b w:val="false"/>
                  <w:strike w:val="false"/>
                  <w:dstrike w:val="false"/>
                  <w:color w:val="000000"/>
                  <w:sz w:val="20"/>
                  <w:u w:val="none"/>
                  <w:effect w:val="non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19">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19">
              <w:r>
                <w:rPr>
                  <w:rStyle w:val="InternetLink"/>
                  <w:rFonts w:ascii="Times New Roman;serif" w:hAnsi="Times New Roman;serif"/>
                  <w:b w:val="false"/>
                  <w:color w:val="0000FF"/>
                  <w:sz w:val="20"/>
                  <w:u w:val="single"/>
                </w:rPr>
                <w:t>Financial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d9e8bc54f84279b38a8e855d4d1689_19">
              <w:r>
                <w:rPr>
                  <w:rStyle w:val="InternetLink"/>
                  <w:rFonts w:ascii="Times New Roman;serif" w:hAnsi="Times New Roman;serif"/>
                  <w:b w:val="false"/>
                  <w:strike w:val="false"/>
                  <w:dstrike w:val="false"/>
                  <w:color w:val="000000"/>
                  <w:sz w:val="20"/>
                  <w:u w:val="none"/>
                  <w:effect w:val="non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22">
              <w:r>
                <w:rPr>
                  <w:rStyle w:val="InternetLink"/>
                  <w:rFonts w:ascii="Times New Roman;serif" w:hAnsi="Times New Roman;serif"/>
                  <w:b w:val="false"/>
                  <w:color w:val="0000FF"/>
                  <w:sz w:val="20"/>
                  <w:u w:val="single"/>
                </w:rPr>
                <w:t>Unaudited Condensed Consolidated Balance Sheets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d9e8bc54f84279b38a8e855d4d1689_22">
              <w:r>
                <w:rPr>
                  <w:rStyle w:val="InternetLink"/>
                  <w:rFonts w:ascii="Times New Roman;serif" w:hAnsi="Times New Roman;serif"/>
                  <w:b w:val="false"/>
                  <w:strike w:val="false"/>
                  <w:dstrike w:val="false"/>
                  <w:color w:val="000000"/>
                  <w:sz w:val="20"/>
                  <w:u w:val="none"/>
                  <w:effect w:val="non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25">
              <w:r>
                <w:rPr>
                  <w:rStyle w:val="InternetLink"/>
                  <w:rFonts w:ascii="Times New Roman;serif" w:hAnsi="Times New Roman;serif"/>
                  <w:b w:val="false"/>
                  <w:color w:val="0000FF"/>
                  <w:sz w:val="20"/>
                  <w:u w:val="single"/>
                </w:rPr>
                <w:t>Unaudited Condensed Consolidated Statements of Income</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d9e8bc54f84279b38a8e855d4d1689_25">
              <w:r>
                <w:rPr>
                  <w:rStyle w:val="InternetLink"/>
                  <w:rFonts w:ascii="Times New Roman;serif" w:hAnsi="Times New Roman;serif"/>
                  <w:b w:val="false"/>
                  <w:strike w:val="false"/>
                  <w:dstrike w:val="false"/>
                  <w:color w:val="000000"/>
                  <w:sz w:val="20"/>
                  <w:u w:val="none"/>
                  <w:effect w:val="none"/>
                </w:rPr>
                <w:t>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28">
              <w:r>
                <w:rPr>
                  <w:rStyle w:val="InternetLink"/>
                  <w:rFonts w:ascii="Times New Roman;serif" w:hAnsi="Times New Roman;serif"/>
                  <w:b w:val="false"/>
                  <w:color w:val="0000FF"/>
                  <w:sz w:val="20"/>
                  <w:u w:val="single"/>
                </w:rPr>
                <w:t>Unaudited Condensed Consolidated Statements of Comprehensive Income</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d9e8bc54f84279b38a8e855d4d1689_28">
              <w:r>
                <w:rPr>
                  <w:rStyle w:val="InternetLink"/>
                  <w:rFonts w:ascii="Times New Roman;serif" w:hAnsi="Times New Roman;serif"/>
                  <w:b w:val="false"/>
                  <w:strike w:val="false"/>
                  <w:dstrike w:val="false"/>
                  <w:color w:val="000000"/>
                  <w:sz w:val="20"/>
                  <w:u w:val="none"/>
                  <w:effect w:val="none"/>
                </w:rPr>
                <w:t>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31">
              <w:r>
                <w:rPr>
                  <w:rStyle w:val="InternetLink"/>
                  <w:rFonts w:ascii="Times New Roman;serif" w:hAnsi="Times New Roman;serif"/>
                  <w:b w:val="false"/>
                  <w:color w:val="0000FF"/>
                  <w:sz w:val="20"/>
                  <w:u w:val="single"/>
                </w:rPr>
                <w:t>Unaudited Condensed Consolidated Statements of Shareholders’ Equity</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d9e8bc54f84279b38a8e855d4d1689_31">
              <w:r>
                <w:rPr>
                  <w:rStyle w:val="InternetLink"/>
                  <w:rFonts w:ascii="Times New Roman;serif" w:hAnsi="Times New Roman;serif"/>
                  <w:b w:val="false"/>
                  <w:strike w:val="false"/>
                  <w:dstrike w:val="false"/>
                  <w:color w:val="000000"/>
                  <w:sz w:val="20"/>
                  <w:u w:val="none"/>
                  <w:effect w:val="none"/>
                </w:rPr>
                <w:t>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34">
              <w:r>
                <w:rPr>
                  <w:rStyle w:val="InternetLink"/>
                  <w:rFonts w:ascii="Times New Roman;serif" w:hAnsi="Times New Roman;serif"/>
                  <w:b w:val="false"/>
                  <w:color w:val="0000FF"/>
                  <w:sz w:val="20"/>
                  <w:u w:val="single"/>
                </w:rPr>
                <w:t>Unaudited Condensed Consolidated Statements of Cash Flows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d9e8bc54f84279b38a8e855d4d1689_34">
              <w:r>
                <w:rPr>
                  <w:rStyle w:val="InternetLink"/>
                  <w:rFonts w:ascii="Times New Roman;serif" w:hAnsi="Times New Roman;serif"/>
                  <w:b w:val="false"/>
                  <w:strike w:val="false"/>
                  <w:dstrike w:val="false"/>
                  <w:color w:val="000000"/>
                  <w:sz w:val="20"/>
                  <w:u w:val="none"/>
                  <w:effect w:val="none"/>
                </w:rPr>
                <w:t>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37">
              <w:r>
                <w:rPr>
                  <w:rStyle w:val="InternetLink"/>
                  <w:rFonts w:ascii="Times New Roman;serif" w:hAnsi="Times New Roman;serif"/>
                  <w:b w:val="false"/>
                  <w:color w:val="0000FF"/>
                  <w:sz w:val="20"/>
                  <w:u w:val="single"/>
                </w:rPr>
                <w:t>Notes to Unaudited Condensed Consolidated Financial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d9e8bc54f84279b38a8e855d4d1689_37">
              <w:r>
                <w:rPr>
                  <w:rStyle w:val="InternetLink"/>
                  <w:rFonts w:ascii="Times New Roman;serif" w:hAnsi="Times New Roman;serif"/>
                  <w:b w:val="false"/>
                  <w:strike w:val="false"/>
                  <w:dstrike w:val="false"/>
                  <w:color w:val="000000"/>
                  <w:sz w:val="20"/>
                  <w:u w:val="none"/>
                  <w:effect w:val="none"/>
                </w:rPr>
                <w:t>8</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91">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9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d9e8bc54f84279b38a8e855d4d1689_91">
              <w:r>
                <w:rPr>
                  <w:rStyle w:val="InternetLink"/>
                  <w:rFonts w:ascii="Times New Roman;serif" w:hAnsi="Times New Roman;serif"/>
                  <w:b w:val="false"/>
                  <w:strike w:val="false"/>
                  <w:dstrike w:val="false"/>
                  <w:color w:val="000000"/>
                  <w:sz w:val="20"/>
                  <w:u w:val="none"/>
                  <w:effect w:val="none"/>
                </w:rPr>
                <w:t>20</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124">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124">
              <w:r>
                <w:rPr>
                  <w:rStyle w:val="InternetLink"/>
                  <w:rFonts w:ascii="Times New Roman;serif" w:hAnsi="Times New Roman;serif"/>
                  <w:b w:val="false"/>
                  <w:color w:val="0000FF"/>
                  <w:sz w:val="20"/>
                  <w:u w:val="single"/>
                </w:rPr>
                <w:t>Quantitative and Qualitative Disclosures About Market Risk</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d9e8bc54f84279b38a8e855d4d1689_124">
              <w:r>
                <w:rPr>
                  <w:rStyle w:val="InternetLink"/>
                  <w:rFonts w:ascii="Times New Roman;serif" w:hAnsi="Times New Roman;serif"/>
                  <w:b w:val="false"/>
                  <w:strike w:val="false"/>
                  <w:dstrike w:val="false"/>
                  <w:color w:val="000000"/>
                  <w:sz w:val="20"/>
                  <w:u w:val="none"/>
                  <w:effect w:val="none"/>
                </w:rPr>
                <w:t>32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127">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127">
              <w:r>
                <w:rPr>
                  <w:rStyle w:val="InternetLink"/>
                  <w:rFonts w:ascii="Times New Roman;serif" w:hAnsi="Times New Roman;serif"/>
                  <w:b w:val="false"/>
                  <w:color w:val="0000FF"/>
                  <w:sz w:val="20"/>
                  <w:u w:val="single"/>
                </w:rPr>
                <w:t>Controls and Procedures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d9e8bc54f84279b38a8e855d4d1689_127">
              <w:r>
                <w:rPr>
                  <w:rStyle w:val="InternetLink"/>
                  <w:rFonts w:ascii="Times New Roman;serif" w:hAnsi="Times New Roman;serif"/>
                  <w:b w:val="false"/>
                  <w:strike w:val="false"/>
                  <w:dstrike w:val="false"/>
                  <w:color w:val="000000"/>
                  <w:sz w:val="20"/>
                  <w:u w:val="none"/>
                  <w:effect w:val="none"/>
                </w:rPr>
                <w:t>33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130">
              <w:r>
                <w:rPr>
                  <w:rStyle w:val="InternetLink"/>
                  <w:rFonts w:ascii="Times New Roman;serif" w:hAnsi="Times New Roman;serif"/>
                  <w:b/>
                  <w:strike w:val="false"/>
                  <w:dstrike w:val="false"/>
                  <w:color w:val="000000"/>
                  <w:sz w:val="20"/>
                  <w:u w:val="none"/>
                  <w:effect w:val="non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130">
              <w:r>
                <w:rPr>
                  <w:rStyle w:val="InternetLink"/>
                  <w:rFonts w:ascii="Times New Roman;serif" w:hAnsi="Times New Roman;serif"/>
                  <w:b/>
                  <w:color w:val="0000FF"/>
                  <w:sz w:val="20"/>
                  <w:u w:val="single"/>
                </w:rPr>
                <w:t>OTHER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d9e8bc54f84279b38a8e855d4d1689_130">
              <w:r>
                <w:rPr>
                  <w:rStyle w:val="InternetLink"/>
                  <w:rFonts w:ascii="Times New Roman;serif" w:hAnsi="Times New Roman;serif"/>
                  <w:b w:val="false"/>
                  <w:strike w:val="false"/>
                  <w:dstrike w:val="false"/>
                  <w:color w:val="000000"/>
                  <w:sz w:val="20"/>
                  <w:u w:val="none"/>
                  <w:effect w:val="none"/>
                </w:rPr>
                <w:t>34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133">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133">
              <w:r>
                <w:rPr>
                  <w:rStyle w:val="InternetLink"/>
                  <w:rFonts w:ascii="Times New Roman;serif" w:hAnsi="Times New Roman;serif"/>
                  <w:b w:val="false"/>
                  <w:color w:val="0000FF"/>
                  <w:sz w:val="20"/>
                  <w:u w:val="single"/>
                </w:rPr>
                <w:t>Legal Proceedings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d9e8bc54f84279b38a8e855d4d1689_133">
              <w:r>
                <w:rPr>
                  <w:rStyle w:val="InternetLink"/>
                  <w:rFonts w:ascii="Times New Roman;serif" w:hAnsi="Times New Roman;serif"/>
                  <w:b w:val="false"/>
                  <w:strike w:val="false"/>
                  <w:dstrike w:val="false"/>
                  <w:color w:val="000000"/>
                  <w:sz w:val="20"/>
                  <w:u w:val="none"/>
                  <w:effect w:val="none"/>
                </w:rPr>
                <w:t>34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136">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136">
              <w:r>
                <w:rPr>
                  <w:rStyle w:val="InternetLink"/>
                  <w:rFonts w:ascii="Times New Roman;serif" w:hAnsi="Times New Roman;serif"/>
                  <w:b w:val="false"/>
                  <w:color w:val="0000FF"/>
                  <w:sz w:val="20"/>
                  <w:u w:val="single"/>
                </w:rPr>
                <w:t>Risk Factors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d9e8bc54f84279b38a8e855d4d1689_136">
              <w:r>
                <w:rPr>
                  <w:rStyle w:val="InternetLink"/>
                  <w:rFonts w:ascii="Times New Roman;serif" w:hAnsi="Times New Roman;serif"/>
                  <w:b w:val="false"/>
                  <w:strike w:val="false"/>
                  <w:dstrike w:val="false"/>
                  <w:color w:val="000000"/>
                  <w:sz w:val="20"/>
                  <w:u w:val="none"/>
                  <w:effect w:val="none"/>
                </w:rPr>
                <w:t>34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139">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139">
              <w:r>
                <w:rPr>
                  <w:rStyle w:val="InternetLink"/>
                  <w:rFonts w:ascii="Times New Roman;serif" w:hAnsi="Times New Roman;serif"/>
                  <w:b w:val="false"/>
                  <w:color w:val="0000FF"/>
                  <w:sz w:val="20"/>
                  <w:u w:val="single"/>
                </w:rPr>
                <w:t>Unregistered Sales of Equity Securities and Use of Proceeds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d9e8bc54f84279b38a8e855d4d1689_139">
              <w:r>
                <w:rPr>
                  <w:rStyle w:val="InternetLink"/>
                  <w:rFonts w:ascii="Times New Roman;serif" w:hAnsi="Times New Roman;serif"/>
                  <w:b w:val="false"/>
                  <w:strike w:val="false"/>
                  <w:dstrike w:val="false"/>
                  <w:color w:val="000000"/>
                  <w:sz w:val="20"/>
                  <w:u w:val="none"/>
                  <w:effect w:val="none"/>
                </w:rPr>
                <w:t>37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142">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142">
              <w:r>
                <w:rPr>
                  <w:rStyle w:val="InternetLink"/>
                  <w:rFonts w:ascii="Times New Roman;serif" w:hAnsi="Times New Roman;serif"/>
                  <w:b w:val="false"/>
                  <w:color w:val="0000FF"/>
                  <w:sz w:val="20"/>
                  <w:u w:val="single"/>
                </w:rPr>
                <w:t>Defaults Upon Senior Securities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d9e8bc54f84279b38a8e855d4d1689_142">
              <w:r>
                <w:rPr>
                  <w:rStyle w:val="InternetLink"/>
                  <w:rFonts w:ascii="Times New Roman;serif" w:hAnsi="Times New Roman;serif"/>
                  <w:b w:val="false"/>
                  <w:strike w:val="false"/>
                  <w:dstrike w:val="false"/>
                  <w:color w:val="000000"/>
                  <w:sz w:val="20"/>
                  <w:u w:val="none"/>
                  <w:effect w:val="none"/>
                </w:rPr>
                <w:t>37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145">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145">
              <w:r>
                <w:rPr>
                  <w:rStyle w:val="InternetLink"/>
                  <w:rFonts w:ascii="Times New Roman;serif" w:hAnsi="Times New Roman;serif"/>
                  <w:b w:val="false"/>
                  <w:color w:val="0000FF"/>
                  <w:sz w:val="20"/>
                  <w:u w:val="single"/>
                </w:rPr>
                <w:t>Mine Safety Disclosures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d9e8bc54f84279b38a8e855d4d1689_145">
              <w:r>
                <w:rPr>
                  <w:rStyle w:val="InternetLink"/>
                  <w:rFonts w:ascii="Times New Roman;serif" w:hAnsi="Times New Roman;serif"/>
                  <w:b w:val="false"/>
                  <w:strike w:val="false"/>
                  <w:dstrike w:val="false"/>
                  <w:color w:val="000000"/>
                  <w:sz w:val="20"/>
                  <w:u w:val="none"/>
                  <w:effect w:val="none"/>
                </w:rPr>
                <w:t>37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148">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148">
              <w:r>
                <w:rPr>
                  <w:rStyle w:val="InternetLink"/>
                  <w:rFonts w:ascii="Times New Roman;serif" w:hAnsi="Times New Roman;serif"/>
                  <w:b w:val="false"/>
                  <w:color w:val="0000FF"/>
                  <w:sz w:val="20"/>
                  <w:u w:val="single"/>
                </w:rPr>
                <w:t>Other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d9e8bc54f84279b38a8e855d4d1689_148">
              <w:r>
                <w:rPr>
                  <w:rStyle w:val="InternetLink"/>
                  <w:rFonts w:ascii="Times New Roman;serif" w:hAnsi="Times New Roman;serif"/>
                  <w:b w:val="false"/>
                  <w:strike w:val="false"/>
                  <w:dstrike w:val="false"/>
                  <w:color w:val="000000"/>
                  <w:sz w:val="20"/>
                  <w:u w:val="none"/>
                  <w:effect w:val="none"/>
                </w:rPr>
                <w:t>37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154">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154">
              <w:r>
                <w:rPr>
                  <w:rStyle w:val="InternetLink"/>
                  <w:rFonts w:ascii="Times New Roman;serif" w:hAnsi="Times New Roman;serif"/>
                  <w:b w:val="false"/>
                  <w:color w:val="0000FF"/>
                  <w:sz w:val="20"/>
                  <w:u w:val="single"/>
                </w:rPr>
                <w:t>Exhibits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d9e8bc54f84279b38a8e855d4d1689_154">
              <w:r>
                <w:rPr>
                  <w:rStyle w:val="InternetLink"/>
                  <w:rFonts w:ascii="Times New Roman;serif" w:hAnsi="Times New Roman;serif"/>
                  <w:b w:val="false"/>
                  <w:strike w:val="false"/>
                  <w:dstrike w:val="false"/>
                  <w:color w:val="000000"/>
                  <w:sz w:val="20"/>
                  <w:u w:val="none"/>
                  <w:effect w:val="none"/>
                </w:rPr>
                <w:t>38</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7d9e8bc54f84279b38a8e855d4d1689_157">
              <w:r>
                <w:rPr>
                  <w:rStyle w:val="InternetLink"/>
                  <w:rFonts w:ascii="Times New Roman;serif" w:hAnsi="Times New Roman;serif"/>
                  <w:b w:val="false"/>
                  <w:color w:val="0000FF"/>
                  <w:sz w:val="20"/>
                  <w:u w:val="single"/>
                </w:rPr>
                <w:t>Signatures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7d9e8bc54f84279b38a8e855d4d1689_157">
              <w:r>
                <w:rPr>
                  <w:rStyle w:val="InternetLink"/>
                  <w:rFonts w:ascii="Times New Roman;serif" w:hAnsi="Times New Roman;serif"/>
                  <w:b w:val="false"/>
                  <w:strike w:val="false"/>
                  <w:dstrike w:val="false"/>
                  <w:color w:val="000000"/>
                  <w:sz w:val="20"/>
                  <w:u w:val="none"/>
                  <w:effect w:val="none"/>
                </w:rPr>
                <w:t>39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(this "Quarterly Report") contains forward-looking statements within the meaning of the Private Securities Litigation Reform Act of 1995. Forward looking statements may also be contained in our other reports filed under Section 27A of the Securities Act of 1933, as amended (the "Securities Act"), and Section 21E of the Securities Exchange Act of 1934, as amended (the "Exchange Act"), which involve certain known and unknown risks and uncertainties. Forward-looking statements include all statements that are not historical facts. In some cases, you can identify these forward-looking statements by the use of words such as "outlook," "believes," "expects," "potential," "continues," "may," "will," "should," "could," "seeks," "predicts," "intends," "trends," "plans," "estimates," "anticipates," "position us,"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You are cautioned not to place undue reliance on these forward-looking statements, which speak only as of the date the statement was made. We assume no obligation to publicly update or revise any forward-looking statements, whether as a result of new information, future events or otherwise, except as required by law.</w:t>
      </w:r>
    </w:p>
    <w:p>
      <w:pPr>
        <w:pStyle w:val="TextBody"/>
        <w:bidi w:val="0"/>
        <w:spacing w:lineRule="auto" w:line="288" w:before="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actual results may differ significantly from any results expressed or implied by any forward-looking statements. A summary of the principal risk factors that might cause our actual results to differ from our forward-looking statements is set forth below. The following is only a summary of the principal risks that may materially adversely affect our business, financial condition and results of operations. These factors should not be construed as exhaustive and should be read in conjunction with the other cautionary statements that are included in this Quarterly Report and the Company's other filings with the Securities and Exchange Commission (the "SEC"), and the more complete discussion of the risk factors we face, which are set forth under Part I, Item 1A, "Risk Factors" in our Annual Report on Form 10-K for the year ended December 31, 2024 (our "Annual Report") and Part II, Item 1A "Risk Factors" in this Quarterly Report, each as filed with the SEC, as such risk factors may be further updated from time to time in our periodic filings with the SEC, which are accessible on the SEC’s website at www.sec.gov. Such risks and uncertainties include, but are not limited to, the following:</w:t>
      </w:r>
    </w:p>
    <w:p>
      <w:pPr>
        <w:pStyle w:val="TextBody"/>
        <w:bidi w:val="0"/>
        <w:spacing w:lineRule="auto" w:line="268" w:before="120" w:after="283"/>
        <w:ind w:left="0" w:right="0" w:hanging="540"/>
        <w:jc w:val="both"/>
        <w:rPr/>
      </w:pPr>
      <w:r>
        <w:rPr>
          <w:color w:val="000000"/>
        </w:rPr>
        <w:t>•</w:t>
      </w:r>
      <w:r>
        <w:rPr>
          <w:rFonts w:ascii="Times New Roman;serif" w:hAnsi="Times New Roman;serif"/>
          <w:b w:val="false"/>
          <w:color w:val="000000"/>
          <w:sz w:val="20"/>
        </w:rPr>
        <w:t>Risks relating to the proposed merger we announced on May 8, 2025, including the risk that the proposed merger may not be completed on the terms or timeline currently contemplated or at all, could adversely affect our stock price, business, financial condition and results of operations.</w:t>
      </w:r>
    </w:p>
    <w:p>
      <w:pPr>
        <w:pStyle w:val="TextBody"/>
        <w:bidi w:val="0"/>
        <w:spacing w:lineRule="auto" w:line="268" w:before="120" w:after="283"/>
        <w:ind w:left="0" w:right="0" w:hanging="540"/>
        <w:jc w:val="left"/>
        <w:rPr/>
      </w:pPr>
      <w:r>
        <w:rPr>
          <w:color w:val="000000"/>
        </w:rPr>
        <w:t>•</w:t>
      </w:r>
      <w:r>
        <w:rPr>
          <w:rFonts w:ascii="Times New Roman;serif" w:hAnsi="Times New Roman;serif"/>
          <w:b w:val="false"/>
          <w:color w:val="000000"/>
          <w:sz w:val="20"/>
        </w:rPr>
        <w:t>Our business is dependent on key clients, and the loss of a key client could have an adverse effect on our business, financial condition or results of operations.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clients may terminate contracts before completion or choose not to renew contracts and a loss of business or non-payment from clients could materially affect our results of operations.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We may fail to cost-effectively acquire and retain new clients, which would adversely affect our business, financial condition or results of operations.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If we provide inadequate service or cause disruptions in our clients’ businesses, or if we fail to comply with the quality standards required by our clients under our agreements, it could result in significant costs to us, the loss of our clients and damage to our corporate reputation.</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 xml:space="preserve">Our business prospects will suffer if we are unable to continue to anticipate our clients' needs by adapting to market and technology trends, investing in technology as it develops, and adapting our services and solutions to changes in technology and client expectations. </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Utilization of artificial intelligence by our clients or our failure to incorporate artificial intelligence into our operations could adversely affect our business, reputation, or financial results.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Unauthorized or improper disclosure of personal or other sensitive information, or security breaches and incidents, whether inadvertent or purposeful, including as the result of a cyber-attack, could result in liability and harm our reputation, each of which could adversely affect our business, financial condition, results of operations and prospects.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Trust + Safety, including content moderation and monitoring services, is a large and growing portion of our business. The long-term impacts on the mental health and well-being of our employees doing this work are unknown. This work may lead to stress disorders and may create liabilities for us. This work is also subject to significant press and regulatory scrutiny. As a result, we may be subject to negative publicity or liability, or face difficulties recruiting and retaining employees, any of which could have an adverse effect on our reputation, business, financial condition or results of operations.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failure to detect and deter criminal or fraudulent activities or other misconduct by our employees, or third parties such as contractors and consultants that may have access to our data, could result in loss of trust from our clients and negative publicity, which would have an adverse effect on our business, financial condition or results of operations.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Global economic and political conditions, especially in the social media and meal delivery and transport industries from which we generate significant revenue, could adversely affect our business, financial condition, results of operations or prospects.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business is heavily dependent upon our international operations, particularly in the Philippines and India, and any disruption to those operations would adversely affect us.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business is subject to a variety of state, federal and international laws, including those related to data privacy and security, and we or our clients may be subject to regulations related to the processing of certain types of personal and sensitive information. These laws impose strict requirements on the collection, storage and sharing of personal and sensitive data. Non-compliance by us or our clients could result in legal consequences, including fines, penalties and reputational damage. Additionally, breaches of regulatory requirements could result in litigation, increased scrutiny from regulatory bodies, and loss of customer trust, all of which may adversely affect our business, financial condition, operational results and long-term prospects.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Fluctuations against the U.S. dollar in the local currencies in the countries in which we operate could have a material effect on our business, financial condition or results of operations.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business depends on a strong brand and corporate reputation, and if we are not able to maintain and enhance our brand, our ability to maintain and expand our client base will be impaired and our business, financial condition and results of operations will be adversely affected.</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Pricing pressure may reduce our revenue or gross profits and adversely affect our business, financial condition or results of operations.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business, financial condition and results of operations have been, and could in the future be, adversely affected by volatile, unfavorable or uncertain economic and political conditions, particularly in the markets in which our clients and operations are concentrated, and the effects of these conditions on our clients’ businesses.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success of our business depends on our senior management and key employees.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Increases in employee expenses as well as changes to labor laws could reduce our profit margin.</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We may fail to attract, hire, train and retain sufficient numbers of skilled employees in a timely fashion at our sites to support our operations, which could have a material adverse effect on our business, financial condition, results of operations and prospects.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We may face difficulties as we expand our operations into countries or industries in which we have no prior operating experience and in which we may be subject to increased business, economic and regulatory risks that could impact our business, financial condition or results of operations.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business relies heavily on owned and third-party technology and computer systems, which subjects us to various uncertainties.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Our profitability will suffer if we are not able to maintain asset utilization levels, price appropriately and control our costs.</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Certain investment funds associated with Blackstone Inc. and our Co-Founders control us and their interests may conflict with ours or yours in the future.</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dual class structure of our common stock has the effect of concentrating voting control with those stockholders who held our common stock prior to the completion of our June 2021 initial public offering, and it may depress the trading price of our Class A common stock.</w:t>
      </w:r>
    </w:p>
    <w:p>
      <w:pPr>
        <w:pStyle w:val="TextBody"/>
        <w:bidi w:val="0"/>
        <w:spacing w:lineRule="auto" w:line="288" w:before="120" w:after="283"/>
        <w:ind w:left="0" w:right="0" w:hanging="540"/>
        <w:jc w:val="both"/>
        <w:rPr/>
      </w:pPr>
      <w:r>
        <w:rPr>
          <w:color w:val="000000"/>
        </w:rPr>
        <w:t>•</w:t>
      </w:r>
      <w:r>
        <w:rPr>
          <w:rFonts w:ascii="Times New Roman;serif" w:hAnsi="Times New Roman;serif"/>
          <w:b w:val="false"/>
          <w:color w:val="000000"/>
          <w:sz w:val="20"/>
        </w:rPr>
        <w:t>The market price of shares of our Class A common stock has been, and may continue to be, volatile and may decline regardless of our operating performance, which could cause the value of your investment to decline.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urge you to carefully consider the foregoing summary together with the risks discussed under "Risk Factors" in the Annual Report, and in Part I, Item 2. Management’s Discussion and Analysis of Financial Condition and Results of Operations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WEBSITE AND SOCIAL MEDIA DISCLOSURE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use our website (www.taskus.com) and our social media outlets, such as Facebook, Instagram, LinkedIn, YouTube and X, as channels of distribution of Company information. The information we post through these channels may be deemed material. Financial and other important information regarding the Company is routinely posted on and accessible through the Company’s website at ir.taskus.com, its Facebook page at facebook.com/TaskUs/, its Instagram page at instagram.com/taskus/, its LinkedIn page at linkedin.com/company/taskus/, its YouTube account at youtube.com/c/Taskus/, and its X account at x.com/taskus. Accordingly, investors should monitor these channels, in addition to following our press releases, SEC filings and public conference calls and webcasts. In addition, you may automatically receive email alerts and other information about the Company when you enroll your email address by visiting the “Shareholder Resources—Email Alerts” section of our investor relations website at ir.taskus.com. The contents of our website and social media channels are not, however, a part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2890"/>
        <w:gridCol w:w="2350"/>
        <w:gridCol w:w="2345"/>
        <w:gridCol w:w="196"/>
        <w:gridCol w:w="871"/>
        <w:gridCol w:w="109"/>
        <w:gridCol w:w="109"/>
        <w:gridCol w:w="109"/>
        <w:gridCol w:w="109"/>
        <w:gridCol w:w="200"/>
        <w:gridCol w:w="756"/>
        <w:gridCol w:w="161"/>
      </w:tblGrid>
      <w:tr>
        <w:trPr/>
        <w:tc>
          <w:tcPr>
            <w:tcW w:w="289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192,166 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credit losses of $1,635 and $1,299,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198,996 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435,352 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assets: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216,791 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noncurrent assets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517,946 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953,298 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payroll and employee-related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income tax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152,025 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liabilities: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241,357 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payroll and employee-related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304,354 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456,379 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(See Note 9)</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Class A common stock, $0.01 par value. Authorized 2,500,000,000; 50,149,749 issued and 34,713,525 outstanding and 33,215,441 issued and 19,891,464 outstanding,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Class B convertible common stock, $0.01 par value. Authorized 250,000,000; 55,032,694 and 70,032,694 shares issued and outstanding,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726,917 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(44,114)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(25,389)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Treasury stock, at cost. 15,436,224 and 13,323,977 shares,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(161,527)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496,919 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1,018,277 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953,298 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tbl>
      <w:tblPr>
        <w:tblW w:w="9551" w:type="dxa"/>
        <w:jc w:val="left"/>
        <w:tblInd w:w="0" w:type="dxa"/>
        <w:tblLayout w:type="fixed"/>
        <w:tblCellMar>
          <w:top w:w="28" w:type="dxa"/>
          <w:left w:w="28" w:type="dxa"/>
          <w:bottom w:w="28" w:type="dxa"/>
          <w:right w:w="28" w:type="dxa"/>
        </w:tblCellMar>
      </w:tblPr>
      <w:tblGrid>
        <w:gridCol w:w="1537"/>
        <w:gridCol w:w="1350"/>
        <w:gridCol w:w="1358"/>
        <w:gridCol w:w="202"/>
        <w:gridCol w:w="759"/>
        <w:gridCol w:w="109"/>
        <w:gridCol w:w="109"/>
        <w:gridCol w:w="109"/>
        <w:gridCol w:w="109"/>
        <w:gridCol w:w="202"/>
        <w:gridCol w:w="759"/>
        <w:gridCol w:w="109"/>
        <w:gridCol w:w="109"/>
        <w:gridCol w:w="109"/>
        <w:gridCol w:w="109"/>
        <w:gridCol w:w="202"/>
        <w:gridCol w:w="759"/>
        <w:gridCol w:w="109"/>
        <w:gridCol w:w="109"/>
        <w:gridCol w:w="109"/>
        <w:gridCol w:w="109"/>
        <w:gridCol w:w="202"/>
        <w:gridCol w:w="759"/>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465,398 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419,118 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expenses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w:t>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number of common shares outstanding:</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89,493,215 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88,331,992 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89,766,782 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88,563,601 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92,576,805 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91,629,930 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93,116,173 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91,739,908 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7994" w:type="dxa"/>
        <w:jc w:val="left"/>
        <w:tblInd w:w="0" w:type="dxa"/>
        <w:tblLayout w:type="fixed"/>
        <w:tblCellMar>
          <w:top w:w="28" w:type="dxa"/>
          <w:left w:w="28" w:type="dxa"/>
          <w:bottom w:w="28" w:type="dxa"/>
          <w:right w:w="28" w:type="dxa"/>
        </w:tblCellMar>
      </w:tblPr>
      <w:tblGrid>
        <w:gridCol w:w="1143"/>
        <w:gridCol w:w="1007"/>
        <w:gridCol w:w="1014"/>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14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derivative contracts,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benefit reserves,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Shareholders’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data)</w:t>
      </w:r>
    </w:p>
    <w:tbl>
      <w:tblPr>
        <w:tblW w:w="14468" w:type="dxa"/>
        <w:jc w:val="center"/>
        <w:tblInd w:w="0" w:type="dxa"/>
        <w:tblLayout w:type="fixed"/>
        <w:tblCellMar>
          <w:top w:w="28" w:type="dxa"/>
          <w:left w:w="28" w:type="dxa"/>
          <w:bottom w:w="28" w:type="dxa"/>
          <w:right w:w="28" w:type="dxa"/>
        </w:tblCellMar>
      </w:tblPr>
      <w:tblGrid>
        <w:gridCol w:w="759"/>
        <w:gridCol w:w="205"/>
        <w:gridCol w:w="207"/>
        <w:gridCol w:w="480"/>
        <w:gridCol w:w="481"/>
        <w:gridCol w:w="196"/>
        <w:gridCol w:w="109"/>
        <w:gridCol w:w="109"/>
        <w:gridCol w:w="109"/>
        <w:gridCol w:w="196"/>
        <w:gridCol w:w="421"/>
        <w:gridCol w:w="109"/>
        <w:gridCol w:w="109"/>
        <w:gridCol w:w="109"/>
        <w:gridCol w:w="109"/>
        <w:gridCol w:w="480"/>
        <w:gridCol w:w="481"/>
        <w:gridCol w:w="182"/>
        <w:gridCol w:w="109"/>
        <w:gridCol w:w="109"/>
        <w:gridCol w:w="109"/>
        <w:gridCol w:w="196"/>
        <w:gridCol w:w="421"/>
        <w:gridCol w:w="109"/>
        <w:gridCol w:w="109"/>
        <w:gridCol w:w="109"/>
        <w:gridCol w:w="109"/>
        <w:gridCol w:w="196"/>
        <w:gridCol w:w="736"/>
        <w:gridCol w:w="109"/>
        <w:gridCol w:w="109"/>
        <w:gridCol w:w="109"/>
        <w:gridCol w:w="109"/>
        <w:gridCol w:w="213"/>
        <w:gridCol w:w="719"/>
        <w:gridCol w:w="119"/>
        <w:gridCol w:w="109"/>
        <w:gridCol w:w="109"/>
        <w:gridCol w:w="109"/>
        <w:gridCol w:w="237"/>
        <w:gridCol w:w="801"/>
        <w:gridCol w:w="133"/>
        <w:gridCol w:w="109"/>
        <w:gridCol w:w="109"/>
        <w:gridCol w:w="109"/>
        <w:gridCol w:w="480"/>
        <w:gridCol w:w="481"/>
        <w:gridCol w:w="196"/>
        <w:gridCol w:w="109"/>
        <w:gridCol w:w="109"/>
        <w:gridCol w:w="109"/>
        <w:gridCol w:w="196"/>
        <w:gridCol w:w="751"/>
        <w:gridCol w:w="109"/>
        <w:gridCol w:w="109"/>
        <w:gridCol w:w="109"/>
        <w:gridCol w:w="109"/>
        <w:gridCol w:w="203"/>
        <w:gridCol w:w="763"/>
        <w:gridCol w:w="160"/>
      </w:tblGrid>
      <w:tr>
        <w:trPr/>
        <w:tc>
          <w:tcPr>
            <w:tcW w:w="7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stock and 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convertible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30,522,570 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70,032,694 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(89,984)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(9,551)</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11,796,623 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440,711 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settlement of equity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620,835 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(122,480)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(1,574)</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285,611 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(3,379)</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10,235 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11,714 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as of March 31, 2024</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31,020,925 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70,032,694 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(78,270)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(12,859)</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12,082,234 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(147,255)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454,594 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settlement of equity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722,711 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1,856 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(40,437)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1,024,556 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(11,759)</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11,121 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12,598 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June 30, 2024</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31,703,199 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70,032,694 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704,438 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(65,672)</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(20,576)</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13,106,790 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(159,014)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460,193 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tbl>
      <w:tblPr>
        <w:tblW w:w="14483" w:type="dxa"/>
        <w:jc w:val="center"/>
        <w:tblInd w:w="0" w:type="dxa"/>
        <w:tblLayout w:type="fixed"/>
        <w:tblCellMar>
          <w:top w:w="28" w:type="dxa"/>
          <w:left w:w="28" w:type="dxa"/>
          <w:bottom w:w="28" w:type="dxa"/>
          <w:right w:w="28" w:type="dxa"/>
        </w:tblCellMar>
      </w:tblPr>
      <w:tblGrid>
        <w:gridCol w:w="759"/>
        <w:gridCol w:w="205"/>
        <w:gridCol w:w="207"/>
        <w:gridCol w:w="480"/>
        <w:gridCol w:w="481"/>
        <w:gridCol w:w="196"/>
        <w:gridCol w:w="109"/>
        <w:gridCol w:w="109"/>
        <w:gridCol w:w="109"/>
        <w:gridCol w:w="196"/>
        <w:gridCol w:w="421"/>
        <w:gridCol w:w="109"/>
        <w:gridCol w:w="109"/>
        <w:gridCol w:w="109"/>
        <w:gridCol w:w="109"/>
        <w:gridCol w:w="487"/>
        <w:gridCol w:w="489"/>
        <w:gridCol w:w="182"/>
        <w:gridCol w:w="109"/>
        <w:gridCol w:w="109"/>
        <w:gridCol w:w="109"/>
        <w:gridCol w:w="196"/>
        <w:gridCol w:w="421"/>
        <w:gridCol w:w="109"/>
        <w:gridCol w:w="109"/>
        <w:gridCol w:w="109"/>
        <w:gridCol w:w="109"/>
        <w:gridCol w:w="196"/>
        <w:gridCol w:w="736"/>
        <w:gridCol w:w="109"/>
        <w:gridCol w:w="109"/>
        <w:gridCol w:w="109"/>
        <w:gridCol w:w="109"/>
        <w:gridCol w:w="213"/>
        <w:gridCol w:w="719"/>
        <w:gridCol w:w="119"/>
        <w:gridCol w:w="109"/>
        <w:gridCol w:w="109"/>
        <w:gridCol w:w="109"/>
        <w:gridCol w:w="237"/>
        <w:gridCol w:w="801"/>
        <w:gridCol w:w="133"/>
        <w:gridCol w:w="109"/>
        <w:gridCol w:w="109"/>
        <w:gridCol w:w="109"/>
        <w:gridCol w:w="480"/>
        <w:gridCol w:w="481"/>
        <w:gridCol w:w="196"/>
        <w:gridCol w:w="109"/>
        <w:gridCol w:w="109"/>
        <w:gridCol w:w="109"/>
        <w:gridCol w:w="196"/>
        <w:gridCol w:w="751"/>
        <w:gridCol w:w="109"/>
        <w:gridCol w:w="109"/>
        <w:gridCol w:w="109"/>
        <w:gridCol w:w="109"/>
        <w:gridCol w:w="203"/>
        <w:gridCol w:w="763"/>
        <w:gridCol w:w="160"/>
      </w:tblGrid>
      <w:tr>
        <w:trPr/>
        <w:tc>
          <w:tcPr>
            <w:tcW w:w="7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stock and 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convertible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 as of December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33,215,441 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70,032,694 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(44,114)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(25,389)</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13,323,977 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496,919 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settlement of equity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1,237,630 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(376,750)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(5,114)</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750,691 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(10,107)</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8,749 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21,148 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as of March 31, 2025</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34,076,321 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70,032,694 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(22,966)</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(16,891)</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14,074,668 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(171,634)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520,311 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settlement of equity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1,126,778 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6,909 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(53,350)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from Class B to Class A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(15,000,000)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1,361,556 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(17,675)</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8,307 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20,047 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 as of June 30, 2025</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50,149,749 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55,032,694 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745,144 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(2,919)</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(9,417)</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15,436,224 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544,550 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color w:val="000000"/>
        </w:rPr>
      </w:pPr>
      <w:r>
        <w:rPr>
          <w:color w:val="000000"/>
        </w:rPr>
        <w:t>    </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8243" w:type="dxa"/>
        <w:jc w:val="center"/>
        <w:tblInd w:w="0" w:type="dxa"/>
        <w:tblLayout w:type="fixed"/>
        <w:tblCellMar>
          <w:top w:w="28" w:type="dxa"/>
          <w:left w:w="28" w:type="dxa"/>
          <w:bottom w:w="28" w:type="dxa"/>
          <w:right w:w="28" w:type="dxa"/>
        </w:tblCellMar>
      </w:tblPr>
      <w:tblGrid>
        <w:gridCol w:w="2097"/>
        <w:gridCol w:w="1839"/>
        <w:gridCol w:w="1853"/>
        <w:gridCol w:w="196"/>
        <w:gridCol w:w="736"/>
        <w:gridCol w:w="109"/>
        <w:gridCol w:w="109"/>
        <w:gridCol w:w="109"/>
        <w:gridCol w:w="109"/>
        <w:gridCol w:w="196"/>
        <w:gridCol w:w="736"/>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financing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disposal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exchange losses on forward contracts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employee-related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deferred business acquisition consideration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employee stock plans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taxes related to net share settlement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stock repurchases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TASKUS,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 Description of Business and Organization</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TaskUs, Inc.</w:t>
      </w:r>
      <w:r>
        <w:rPr>
          <w:color w:val="000000"/>
        </w:rPr>
        <w:t xml:space="preserve"> </w:t>
      </w:r>
      <w:r>
        <w:rPr>
          <w:rFonts w:ascii="Times New Roman;serif" w:hAnsi="Times New Roman;serif"/>
          <w:b w:val="false"/>
          <w:color w:val="000000"/>
          <w:sz w:val="20"/>
        </w:rPr>
        <w:t>("TaskUs," together with its subsidiaries, the "Company," "we," "us" or "our") was formed by investment funds affiliated with Blackstone Inc. (“Blackstone”) as a vehicle for the acquisition of TaskUs Holdings, Inc. ("TaskUs Holdings") on October 1, 2018 (the "Blackstone Acquisition"). Prior to the Blackstone Acquisition, TaskUs had no operations and TaskUs Holdings operated as a standalone entity. TaskUs, Inc. was incorporated in Delaware in July 2018, and is headquartered in New Braunfels, Texas.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The Company is a provider of outsourced digital services and next-generation customer experience to the world’s most innovative companies, helping its clients represent, protect and grow their brands. The Company’s global, omni-channel delivery model is focused on providing its clients three key services – Digital Customer Experience, Trust + Safety and Artificial Intelligence (</w:t>
      </w:r>
      <w:r>
        <w:rPr>
          <w:rFonts w:ascii="Times New Roman;serif" w:hAnsi="Times New Roman;serif"/>
          <w:b w:val="false"/>
          <w:color w:val="000000"/>
          <w:sz w:val="20"/>
        </w:rPr>
        <w:t>"</w:t>
      </w:r>
      <w:r>
        <w:rPr>
          <w:rFonts w:ascii="Times New Roman;serif" w:hAnsi="Times New Roman;serif"/>
          <w:b w:val="false"/>
          <w:color w:val="000000"/>
          <w:sz w:val="20"/>
          <w:shd w:fill="FFFFFF" w:val="clear"/>
        </w:rPr>
        <w:t>AI</w:t>
      </w:r>
      <w:r>
        <w:rPr>
          <w:rFonts w:ascii="Times New Roman;serif" w:hAnsi="Times New Roman;serif"/>
          <w:b w:val="false"/>
          <w:color w:val="000000"/>
          <w:sz w:val="20"/>
        </w:rPr>
        <w:t>"</w:t>
      </w:r>
      <w:r>
        <w:rPr>
          <w:rFonts w:ascii="Times New Roman;serif" w:hAnsi="Times New Roman;serif"/>
          <w:b w:val="false"/>
          <w:color w:val="000000"/>
          <w:sz w:val="20"/>
          <w:shd w:fill="FFFFFF" w:val="clear"/>
        </w:rPr>
        <w:t>) Services. The Company has designed its platform to enable it to rapidly scale and benefit from its clients’ growth. Through its agile and responsive operational model, the Company delivers services from multiple delivery sites that span globally from the United States, the Philippines, India and other parts of the world.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major service offerings are described in more detail below:</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Digital Customer Experience</w:t>
      </w:r>
      <w:r>
        <w:rPr>
          <w:rFonts w:ascii="Times New Roman;serif" w:hAnsi="Times New Roman;serif"/>
          <w:b w:val="false"/>
          <w:color w:val="000000"/>
          <w:sz w:val="20"/>
        </w:rPr>
        <w:t>: Principally consists of omnichannel customer care services, primarily delivered through digital (non-voice) channels. Also included in this offering are learning experience and sales and customer acquisition services.</w:t>
      </w:r>
    </w:p>
    <w:p>
      <w:pPr>
        <w:pStyle w:val="TextBody"/>
        <w:bidi w:val="0"/>
        <w:spacing w:lineRule="auto" w:line="288" w:before="120" w:after="283"/>
        <w:ind w:left="0" w:right="0" w:hanging="360"/>
        <w:jc w:val="both"/>
        <w:rPr/>
      </w:pPr>
      <w:r>
        <w:rPr>
          <w:color w:val="000000"/>
          <w:shd w:fill="FFFFFF" w:val="clear"/>
        </w:rPr>
        <w:t>•</w:t>
      </w:r>
      <w:r>
        <w:rPr>
          <w:rFonts w:ascii="Times New Roman;serif" w:hAnsi="Times New Roman;serif"/>
          <w:b w:val="false"/>
          <w:i/>
          <w:color w:val="000000"/>
          <w:sz w:val="20"/>
        </w:rPr>
        <w:t>Trust + Safety</w:t>
      </w:r>
      <w:r>
        <w:rPr>
          <w:rFonts w:ascii="Times New Roman;serif" w:hAnsi="Times New Roman;serif"/>
          <w:b w:val="false"/>
          <w:color w:val="000000"/>
          <w:sz w:val="20"/>
        </w:rPr>
        <w:t>: Principally consists of monitoring, reviewing and managing user and advertiser-generated content on online platforms to ensure it complies with community guidelines, legal regulations and platform specific policies. Also included in this offering are our services for risk management, compliance, identity management and fraud.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AI Services</w:t>
      </w:r>
      <w:r>
        <w:rPr>
          <w:rFonts w:ascii="Times New Roman;serif" w:hAnsi="Times New Roman;serif"/>
          <w:b w:val="false"/>
          <w:color w:val="000000"/>
          <w:sz w:val="20"/>
        </w:rPr>
        <w:t>: Principally consists of large language model support and high-quality data labeling services, annotation, context relevance and transcription services performed for the purpose of training and tuning machine learning algorithms, enabling them to develop cutting-edge AI systems.</w:t>
      </w:r>
    </w:p>
    <w:p>
      <w:pPr>
        <w:pStyle w:val="TextBody"/>
        <w:bidi w:val="0"/>
        <w:spacing w:lineRule="auto" w:line="268" w:before="120" w:after="283"/>
        <w:ind w:left="0" w:right="0" w:firstLine="540"/>
        <w:jc w:val="both"/>
        <w:rPr/>
      </w:pPr>
      <w:r>
        <w:rPr>
          <w:rFonts w:ascii="Times New Roman;serif" w:hAnsi="Times New Roman;serif"/>
          <w:b w:val="false"/>
          <w:color w:val="000000"/>
          <w:sz w:val="20"/>
          <w:shd w:fill="FFFFFF" w:val="clear"/>
        </w:rPr>
        <w:t>On May 8, 2025, the Company entered into an Agreement and Plan of Merger (as it may be amended from time to time, the “Merger Agreement”) to be acquired by</w:t>
      </w:r>
      <w:r>
        <w:rPr>
          <w:color w:val="000000"/>
        </w:rPr>
        <w:t xml:space="preserve"> </w:t>
      </w:r>
      <w:r>
        <w:rPr>
          <w:rFonts w:ascii="Times New Roman;serif" w:hAnsi="Times New Roman;serif"/>
          <w:b w:val="false"/>
          <w:color w:val="000000"/>
          <w:sz w:val="20"/>
        </w:rPr>
        <w:t>an affiliate of Blackstone, the Company’s Co-Founder and Chief Executive Officer, Bryce Maddock, and the Company’s Co-Founder and President, Jaspar Weir</w:t>
      </w:r>
      <w:r>
        <w:rPr>
          <w:color w:val="000000"/>
          <w:shd w:fill="FFFFFF" w:val="clear"/>
        </w:rPr>
        <w:t xml:space="preserve"> </w:t>
      </w:r>
      <w:r>
        <w:rPr>
          <w:rFonts w:ascii="Times New Roman;serif" w:hAnsi="Times New Roman;serif"/>
          <w:b w:val="false"/>
          <w:color w:val="000000"/>
          <w:sz w:val="20"/>
          <w:shd w:fill="FFFFFF" w:val="clear"/>
        </w:rPr>
        <w:t>(collectively, the “Buyer Group”), pursuant to which the Buyer Group agreed to acquire 100% of the outstanding shares of the Company’s Class A common stock that it does not already own (the “Merger”). Pursuant to the Merger Agreement and subject to the satisfaction or waiver of certain closing conditions and on the terms set forth therein, Company stockholders are to recei</w:t>
      </w:r>
      <w:r>
        <w:rPr>
          <w:rFonts w:ascii="Times New Roman;serif" w:hAnsi="Times New Roman;serif"/>
          <w:b w:val="false"/>
          <w:color w:val="000000"/>
          <w:sz w:val="20"/>
        </w:rPr>
        <w:t>ve $16.50, in</w:t>
      </w:r>
      <w:r>
        <w:rPr>
          <w:color w:val="000000"/>
          <w:shd w:fill="FFFFFF" w:val="clear"/>
        </w:rPr>
        <w:t xml:space="preserve"> </w:t>
      </w:r>
      <w:r>
        <w:rPr>
          <w:rFonts w:ascii="Times New Roman;serif" w:hAnsi="Times New Roman;serif"/>
          <w:b w:val="false"/>
          <w:color w:val="000000"/>
          <w:sz w:val="20"/>
          <w:shd w:fill="FFFFFF" w:val="clear"/>
        </w:rPr>
        <w:t>cash, per share. The corporation surviving the Merger (the “Surviving Company”) will be collectively owned, directly or indirectly, by (i) BCP FC Aggregator L.P., (ii) The Maddock 2015 Irrevocable Trust, The Bryce Maddock Family Trust, The Maddock 2015 Exempt Irrevocable Trust and Bryce Maddock, (iii) The Weir 2015 Irrevocable Trust, The Jaspar Weir Family Trust, The Weir 2015 Exempt Irrevocable Trust and Jaspar Weir (the stockholders described in clauses (i)-(iii), collectively, the “Continuing Stockholders”) and (iv) the other holders of Continuing Shares (as defined in the Merger Agreement) (if any).</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Completion of the Merger is subject to certain closing conditions and approvals, including the receipt of required regulatory and stockholder approvals (including the approval of the holders of common stock of the Company not owned by the Buyer Group). The Merger Agreement also includes certain covenants of the Company, including with respect to the non-solicitation of alternative acquisition proposals, as well as other customary representations, warranties and covenants by the Company and Breeze Merger Corporation, a Delaware corporation (the “Merger Corporation”). Completion of the Merger is not subject to a financing condition.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1, 2025, the Company filed a preliminary proxy statement with the SEC in connection with a special meeting of the stockholders of the Company to consider and vote on the Merger and related matters. Subsequently, the Company filed an amendment to the preliminary proxy statement on July 31, 2025.</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Merger is expected to close in the second half of 2025. Upon completion, the Company’s common stock will no longer be listed on any public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(a) Basis of Presentation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accounting and reporting policies of the Company are in accordance with accounting principles generally accepted in the United States of America ("US GAAP"). Our Annual Report on Form 10-K for the year ended December 31, 2024 (the "Annual Report"), as filed with the Securities and Exchange Commission (the "SEC"), includes a discussion of the significant accounting policies used in the preparation of our consolidated financial statements. There have been no changes to the Company’s significant accounting policies described in the Annual Report that have had a material impact on the Company’s condensed consolidated financial statements and related notes.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unaudited condensed consolidated financial statements and accompanying notes have been prepared in accordance with US GAAP for interim financial information and with the instructions to Form 10-Q and Article 10 of Regulation S-X. Accordingly, they do not include all of the information and notes required by US GAAP for complete financial statements and should be read in conjunction with the Company’s audited consolidated financial statements and notes thereto for the year ended December 31, 2024 included in the Annual Report. In the opinion of the Company, the accompanying unaudited condensed consolidated financial statements contain all adjustments, consisting of only normal recurring adjustments, necessary for a fair statement of its financial position as of June 30, 2025 and its statements of income, comprehensive income and shareholders’ equity for the three and six months ended June 30, 2025 and 2024, and cash flows for the six months ended June 30, 2025 and 2024. The condensed consolidated balance sheet as of December 31, 2024, was derived from audited annual financial statements but does not contain all of the footnote disclosures from the annual financial statements.</w:t>
      </w:r>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(b) Use of Estimates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items subject to such estimates and assumptions include the determination of useful lives and impairment of fixed assets; allowances for credit losses; the valuation of deferred tax assets; the measurement of lease liabilities and right-of-use assets; valuation of forward contracts; valuation of stock-based compensation; </w:t>
      </w:r>
      <w:r>
        <w:rPr>
          <w:rFonts w:ascii="Times New Roman;serif" w:hAnsi="Times New Roman;serif"/>
          <w:b w:val="false"/>
          <w:color w:val="000000"/>
          <w:sz w:val="20"/>
          <w:shd w:fill="FFFFFF" w:val="clear"/>
        </w:rPr>
        <w:t>valuation of acquired intangible assets and goodwill, as well as related impairment assessments, and reserves for income tax uncertainties and other contingencies.</w:t>
      </w:r>
      <w:r>
        <w:rPr>
          <w:color w:val="000000"/>
        </w:rPr>
        <w:t xml:space="preserve"> </w:t>
      </w:r>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(c) Principles of Consolidation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the accounts of the Company and its wholly owned subsidiaries. All significant intercompany balances and transactions have been eliminated in consolidation. The Company has no variable interest entities in its corporate structure.</w:t>
      </w:r>
    </w:p>
    <w:p>
      <w:pPr>
        <w:pStyle w:val="TextBody"/>
        <w:bidi w:val="0"/>
        <w:spacing w:lineRule="auto" w:line="28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(d) Concentration Risk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Most of the Company’s clients are located in the United States. Clients outside of the United States are concentrated in Europe.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and 2024, the following client represented greater than 10% of the Company’s service revenue:</w:t>
      </w:r>
    </w:p>
    <w:tbl>
      <w:tblPr>
        <w:tblW w:w="5493" w:type="dxa"/>
        <w:jc w:val="center"/>
        <w:tblInd w:w="0" w:type="dxa"/>
        <w:tblLayout w:type="fixed"/>
        <w:tblCellMar>
          <w:top w:w="28" w:type="dxa"/>
          <w:left w:w="28" w:type="dxa"/>
          <w:bottom w:w="28" w:type="dxa"/>
          <w:right w:w="28" w:type="dxa"/>
        </w:tblCellMar>
      </w:tblPr>
      <w:tblGrid>
        <w:gridCol w:w="201"/>
        <w:gridCol w:w="177"/>
        <w:gridCol w:w="178"/>
        <w:gridCol w:w="109"/>
        <w:gridCol w:w="109"/>
        <w:gridCol w:w="109"/>
        <w:gridCol w:w="189"/>
        <w:gridCol w:w="189"/>
        <w:gridCol w:w="445"/>
        <w:gridCol w:w="189"/>
        <w:gridCol w:w="189"/>
        <w:gridCol w:w="189"/>
        <w:gridCol w:w="189"/>
        <w:gridCol w:w="189"/>
        <w:gridCol w:w="445"/>
        <w:gridCol w:w="109"/>
        <w:gridCol w:w="109"/>
        <w:gridCol w:w="109"/>
        <w:gridCol w:w="171"/>
        <w:gridCol w:w="171"/>
        <w:gridCol w:w="401"/>
        <w:gridCol w:w="171"/>
        <w:gridCol w:w="171"/>
        <w:gridCol w:w="171"/>
        <w:gridCol w:w="171"/>
        <w:gridCol w:w="171"/>
        <w:gridCol w:w="472"/>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5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Client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Service revenue percentage</w:t>
            </w:r>
          </w:p>
        </w:tc>
      </w:tr>
      <w:tr>
        <w:trPr/>
        <w:tc>
          <w:tcPr>
            <w:tcW w:w="5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and December 31, 2024, the following clients represented greater than 10% of the Company’s accounts receivable: </w:t>
      </w:r>
    </w:p>
    <w:tbl>
      <w:tblPr>
        <w:tblW w:w="4183" w:type="dxa"/>
        <w:jc w:val="center"/>
        <w:tblInd w:w="0" w:type="dxa"/>
        <w:tblLayout w:type="fixed"/>
        <w:tblCellMar>
          <w:top w:w="28" w:type="dxa"/>
          <w:left w:w="28" w:type="dxa"/>
          <w:bottom w:w="28" w:type="dxa"/>
          <w:right w:w="28" w:type="dxa"/>
        </w:tblCellMar>
      </w:tblPr>
      <w:tblGrid>
        <w:gridCol w:w="201"/>
        <w:gridCol w:w="177"/>
        <w:gridCol w:w="178"/>
        <w:gridCol w:w="109"/>
        <w:gridCol w:w="109"/>
        <w:gridCol w:w="109"/>
        <w:gridCol w:w="265"/>
        <w:gridCol w:w="265"/>
        <w:gridCol w:w="625"/>
        <w:gridCol w:w="200"/>
        <w:gridCol w:w="200"/>
        <w:gridCol w:w="200"/>
        <w:gridCol w:w="322"/>
        <w:gridCol w:w="322"/>
        <w:gridCol w:w="901"/>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Accounts receivable percentage</w:t>
            </w:r>
          </w:p>
        </w:tc>
      </w:tr>
      <w:tr>
        <w:trPr/>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Client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Less than 10%</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principal operations, including the majority of its employees and the fixed assets owned by its wholly owned subsidiaries, are located in the Philippines.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68" w:before="12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(e) Recent Accounting Pronouncements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currently qualifies as an "emerging growth company" under the Jumpstart Our Business Startups Act of 2012 (the “JOBS Act”). Accordingly, the Company is provided the option to adopt new or revised accounting guidance either (i) within the same periods as those otherwise applicable to non-emerging growth companies or (ii) within the same time periods as private companies. The Company has elected to adopt new or revised accounting guidance within the same time period as private companies.</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Recently issued accounting pronouncements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This standard improves the transparency of rate reconciliation and income taxes paid disclosures by requiring (1) consistent categories and greater disaggregation of information in the rate reconciliation and (2) income taxes paid disaggregated by jurisdiction. The standard also improves the effectiveness and comparability of disclosures by (1) adding disclosures of pretax income (loss) and income tax expense (benefit) and (2) removing disclosures that no longer are considered cost beneficial or relevant. This ASU will be effective for the Company for fiscal years beginning after December 15, 2025. Early adoption is permitted. This ASU will be applied prospectively, with retrospective application permitted. The Company does not expect the adoption of this ASU to have a material impact on its consolidated financial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 The amendments in this Update require (1) disclosure of employee compensation, depreciation and intangible asset amortization included in each expense caption presented on the face of the income statement within continuing operations (“relevant expense captions”); (2) certain amounts that are already required to be disclosed under current GAAP to be included in the same disclosure as the other disaggregation requirements; (3) a qualitative description of the amounts remaining in relevant expense captions that are not separately disaggregated quantitatively; and (4) disclosure of the total amount of selling expenses and, in annual reporting periods, the Company’s definition of selling expenses. This ASU will be effective for the Company for fiscal years beginning after December 15, 2026, and interim periods within fiscal years beginning after December 15, 2027. Early adoption is permitted. This ASU should be applied either prospectively or retrospectively. The Company is currently reviewing this ASU.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3. Revenue from Contracts with Customers</w:t>
      </w:r>
    </w:p>
    <w:p>
      <w:pPr>
        <w:pStyle w:val="TextBody"/>
        <w:bidi w:val="0"/>
        <w:spacing w:lineRule="auto" w:line="288" w:before="120" w:after="283"/>
        <w:ind w:left="0" w:right="0" w:firstLine="504"/>
        <w:jc w:val="left"/>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revenues are derived from contracts with customers related to business outsourcing services that it provides. The following table presents the breakdown of the Company’s revenues by service offering:</w:t>
      </w:r>
    </w:p>
    <w:tbl>
      <w:tblPr>
        <w:tblW w:w="7350" w:type="dxa"/>
        <w:jc w:val="left"/>
        <w:tblInd w:w="0" w:type="dxa"/>
        <w:tblLayout w:type="fixed"/>
        <w:tblCellMar>
          <w:top w:w="28" w:type="dxa"/>
          <w:left w:w="28" w:type="dxa"/>
          <w:bottom w:w="28" w:type="dxa"/>
          <w:right w:w="28" w:type="dxa"/>
        </w:tblCellMar>
      </w:tblPr>
      <w:tblGrid>
        <w:gridCol w:w="782"/>
        <w:gridCol w:w="688"/>
        <w:gridCol w:w="690"/>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Digital Customer Experience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291,843 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 Safety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AI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294,086 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571,878 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465,398 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majority of the Company’s revenues are derived from contracts with customers who are located in the United States. However, the Company delivers its services from geographies outside of the United States. The following table presents the breakdown of the Company’s revenues by geographical location, based on where the services are provided from:</w:t>
      </w:r>
    </w:p>
    <w:tbl>
      <w:tblPr>
        <w:tblW w:w="6434" w:type="dxa"/>
        <w:jc w:val="left"/>
        <w:tblInd w:w="0" w:type="dxa"/>
        <w:tblLayout w:type="fixed"/>
        <w:tblCellMar>
          <w:top w:w="28" w:type="dxa"/>
          <w:left w:w="28" w:type="dxa"/>
          <w:bottom w:w="28" w:type="dxa"/>
          <w:right w:w="28" w:type="dxa"/>
        </w:tblCellMar>
      </w:tblPr>
      <w:tblGrid>
        <w:gridCol w:w="451"/>
        <w:gridCol w:w="396"/>
        <w:gridCol w:w="397"/>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Philippines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571,878 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465,398 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04"/>
        <w:jc w:val="left"/>
        <w:rPr>
          <w:rFonts w:ascii="Times New Roman;serif" w:hAnsi="Times New Roman;serif"/>
          <w:b w:val="false"/>
          <w:i/>
          <w:color w:val="000000"/>
          <w:sz w:val="20"/>
        </w:rPr>
      </w:pPr>
      <w:r>
        <w:rPr>
          <w:rFonts w:ascii="Times New Roman;serif" w:hAnsi="Times New Roman;serif"/>
          <w:b w:val="false"/>
          <w:i/>
          <w:color w:val="000000"/>
          <w:sz w:val="20"/>
        </w:rPr>
        <w:t>Contract Balances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includes $104.1 million and $92.7 million of unbilled revenue as of June 30,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4. Forward Contracts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transacts business in various foreign currencies and has international sales and expenses denominated in foreign currencies, subjecting the Company to foreign currency exchange rate risk. During 2025 and 2024, the Company entered into foreign currency exchange rate forward contracts, with five commercial banks as the counterparties, with maturities of generally 12 months or less, to reduce the volatility of cash flows, primarily related to forecasted costs denominated in Philippine pesos, Indian rupees, Mexican pesos and Colombian pesos. </w:t>
      </w:r>
      <w:r>
        <w:rPr>
          <w:rFonts w:ascii="Times New Roman;serif" w:hAnsi="Times New Roman;serif"/>
          <w:b w:val="false"/>
          <w:color w:val="000000"/>
          <w:sz w:val="20"/>
          <w:shd w:fill="FFFFFF" w:val="clear"/>
        </w:rPr>
        <w:t>In addition, the Company utilizes foreign currency exchange rate contracts to mitigate foreign currency exchange rate risk associated with foreign currency-denominated assets and liabilities, primarily intercompany balances. The Company does not use foreign currency exchange rate contracts for trading purposes.</w:t>
      </w:r>
    </w:p>
    <w:p>
      <w:pPr>
        <w:pStyle w:val="TextBody"/>
        <w:bidi w:val="0"/>
        <w:spacing w:lineRule="auto" w:line="288" w:before="120" w:after="283"/>
        <w:ind w:left="0" w:right="0" w:firstLine="450"/>
        <w:jc w:val="both"/>
        <w:rPr/>
      </w:pPr>
      <w:r>
        <w:rPr>
          <w:rFonts w:ascii="Times New Roman;serif" w:hAnsi="Times New Roman;serif"/>
          <w:b w:val="false"/>
          <w:i/>
          <w:color w:val="000000"/>
          <w:sz w:val="20"/>
        </w:rPr>
        <w:t>Cash Flow Hedges</w:t>
      </w:r>
      <w:r>
        <w:rPr>
          <w:color w:val="000000"/>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realized gains associated with our cash flow hedges reclassified from accumulated other comprehensive loss ("AOCL") to earnings:</w:t>
      </w:r>
    </w:p>
    <w:tbl>
      <w:tblPr>
        <w:tblW w:w="8099" w:type="dxa"/>
        <w:jc w:val="left"/>
        <w:tblInd w:w="0" w:type="dxa"/>
        <w:tblLayout w:type="fixed"/>
        <w:tblCellMar>
          <w:top w:w="28" w:type="dxa"/>
          <w:left w:w="28" w:type="dxa"/>
          <w:bottom w:w="28" w:type="dxa"/>
          <w:right w:w="28" w:type="dxa"/>
        </w:tblCellMar>
      </w:tblPr>
      <w:tblGrid>
        <w:gridCol w:w="1146"/>
        <w:gridCol w:w="1008"/>
        <w:gridCol w:w="1010"/>
        <w:gridCol w:w="109"/>
        <w:gridCol w:w="109"/>
        <w:gridCol w:w="109"/>
        <w:gridCol w:w="220"/>
        <w:gridCol w:w="709"/>
        <w:gridCol w:w="122"/>
        <w:gridCol w:w="122"/>
        <w:gridCol w:w="122"/>
        <w:gridCol w:w="122"/>
        <w:gridCol w:w="220"/>
        <w:gridCol w:w="456"/>
        <w:gridCol w:w="122"/>
        <w:gridCol w:w="109"/>
        <w:gridCol w:w="109"/>
        <w:gridCol w:w="109"/>
        <w:gridCol w:w="201"/>
        <w:gridCol w:w="647"/>
        <w:gridCol w:w="111"/>
        <w:gridCol w:w="111"/>
        <w:gridCol w:w="111"/>
        <w:gridCol w:w="111"/>
        <w:gridCol w:w="201"/>
        <w:gridCol w:w="416"/>
        <w:gridCol w:w="157"/>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amount reclassified from AOCL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settled forward contracts designated as cash flow hedges:</w:t>
      </w:r>
    </w:p>
    <w:tbl>
      <w:tblPr>
        <w:tblW w:w="10205" w:type="dxa"/>
        <w:jc w:val="left"/>
        <w:tblInd w:w="0" w:type="dxa"/>
        <w:tblLayout w:type="fixed"/>
        <w:tblCellMar>
          <w:top w:w="28" w:type="dxa"/>
          <w:left w:w="28" w:type="dxa"/>
          <w:bottom w:w="28" w:type="dxa"/>
          <w:right w:w="28" w:type="dxa"/>
        </w:tblCellMar>
      </w:tblPr>
      <w:tblGrid>
        <w:gridCol w:w="2014"/>
        <w:gridCol w:w="1767"/>
        <w:gridCol w:w="1772"/>
        <w:gridCol w:w="216"/>
        <w:gridCol w:w="715"/>
        <w:gridCol w:w="120"/>
        <w:gridCol w:w="120"/>
        <w:gridCol w:w="120"/>
        <w:gridCol w:w="120"/>
        <w:gridCol w:w="216"/>
        <w:gridCol w:w="449"/>
        <w:gridCol w:w="120"/>
        <w:gridCol w:w="109"/>
        <w:gridCol w:w="109"/>
        <w:gridCol w:w="109"/>
        <w:gridCol w:w="196"/>
        <w:gridCol w:w="736"/>
        <w:gridCol w:w="109"/>
        <w:gridCol w:w="109"/>
        <w:gridCol w:w="109"/>
        <w:gridCol w:w="109"/>
        <w:gridCol w:w="196"/>
        <w:gridCol w:w="406"/>
        <w:gridCol w:w="159"/>
      </w:tblGrid>
      <w:tr>
        <w:trPr/>
        <w:tc>
          <w:tcPr>
            <w:tcW w:w="2014"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Philippine pesos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46,842 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Indian rupees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Mexican pesos</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Colombian pesos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notional amount of settled forward contracts designated as cash flow hedges</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74,048 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outstanding forward contracts designated as cash flow hedges:</w:t>
      </w:r>
    </w:p>
    <w:tbl>
      <w:tblPr>
        <w:tblW w:w="8876" w:type="dxa"/>
        <w:jc w:val="left"/>
        <w:tblInd w:w="0" w:type="dxa"/>
        <w:tblLayout w:type="fixed"/>
        <w:tblCellMar>
          <w:top w:w="28" w:type="dxa"/>
          <w:left w:w="28" w:type="dxa"/>
          <w:bottom w:w="28" w:type="dxa"/>
          <w:right w:w="28" w:type="dxa"/>
        </w:tblCellMar>
      </w:tblPr>
      <w:tblGrid>
        <w:gridCol w:w="2276"/>
        <w:gridCol w:w="2002"/>
        <w:gridCol w:w="2007"/>
        <w:gridCol w:w="212"/>
        <w:gridCol w:w="796"/>
        <w:gridCol w:w="117"/>
        <w:gridCol w:w="109"/>
        <w:gridCol w:w="109"/>
        <w:gridCol w:w="109"/>
        <w:gridCol w:w="205"/>
        <w:gridCol w:w="773"/>
        <w:gridCol w:w="161"/>
      </w:tblGrid>
      <w:tr>
        <w:trPr/>
        <w:tc>
          <w:tcPr>
            <w:tcW w:w="2276"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outstanding forward contracts in Philippine pesos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158,121 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152,803 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outstanding forward contracts in Indian rupees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outstanding forward contracts in Mexican pesos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outstanding forward contracts in Colombian pesos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notional amount of outstanding forward contracts designated as cash flow hedges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264,589 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244,143 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All cash flow hedges were determined to be highly effective, with no component of any gain or loss excluded from the assessment of hedge effectiveness, for the periods presented. Net unrealized gains on cash flow hedges for the three and six months ended June 30, 2025 were $5.5 million and $11.5 million, respectively. As of June 30, 2025, the net accumulated gain on our foreign currency cash flow hedges expected to be reclassed from AOCL into earnings within the next 12 months was $6.0 million. See Note 13, “Accumulated Other Comprehensive Loss” for </w:t>
      </w:r>
      <w:r>
        <w:rPr>
          <w:rFonts w:ascii="Times New Roman;serif" w:hAnsi="Times New Roman;serif"/>
          <w:b w:val="false"/>
          <w:color w:val="000000"/>
          <w:sz w:val="20"/>
          <w:shd w:fill="FFFFFF" w:val="clear"/>
        </w:rPr>
        <w:t>additional information regarding changes in accumulated other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4605" cy="14605"/>
                <wp:effectExtent l="0" t="0" r="0" b="0"/>
                <wp:wrapNone/>
                <wp:docPr id="13" name="Frame13"/>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Derivatives Not Designated as Hedging Instruments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settled forward contracts and realized and unrealized losses associated with derivative contracts not designated as hedging instruments:</w:t>
      </w:r>
    </w:p>
    <w:tbl>
      <w:tblPr>
        <w:tblW w:w="9672" w:type="dxa"/>
        <w:jc w:val="left"/>
        <w:tblInd w:w="0" w:type="dxa"/>
        <w:tblLayout w:type="fixed"/>
        <w:tblCellMar>
          <w:top w:w="28" w:type="dxa"/>
          <w:left w:w="28" w:type="dxa"/>
          <w:bottom w:w="28" w:type="dxa"/>
          <w:right w:w="28" w:type="dxa"/>
        </w:tblCellMar>
      </w:tblPr>
      <w:tblGrid>
        <w:gridCol w:w="1694"/>
        <w:gridCol w:w="1490"/>
        <w:gridCol w:w="1495"/>
        <w:gridCol w:w="109"/>
        <w:gridCol w:w="109"/>
        <w:gridCol w:w="109"/>
        <w:gridCol w:w="218"/>
        <w:gridCol w:w="453"/>
        <w:gridCol w:w="121"/>
        <w:gridCol w:w="121"/>
        <w:gridCol w:w="121"/>
        <w:gridCol w:w="121"/>
        <w:gridCol w:w="218"/>
        <w:gridCol w:w="721"/>
        <w:gridCol w:w="121"/>
        <w:gridCol w:w="109"/>
        <w:gridCol w:w="109"/>
        <w:gridCol w:w="109"/>
        <w:gridCol w:w="196"/>
        <w:gridCol w:w="406"/>
        <w:gridCol w:w="109"/>
        <w:gridCol w:w="109"/>
        <w:gridCol w:w="109"/>
        <w:gridCol w:w="109"/>
        <w:gridCol w:w="196"/>
        <w:gridCol w:w="736"/>
        <w:gridCol w:w="154"/>
      </w:tblGrid>
      <w:tr>
        <w:trPr/>
        <w:tc>
          <w:tcPr>
            <w:tcW w:w="1694"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Philippine pesos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41,690 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Notional amount of settled forward contracts in Indian rupees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notional amount of settled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52,178 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losses from settlement of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losses on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were no outstanding forward contracts not designated as hedging instruments as of June 30, 2025 and December 31, 2024.</w:t>
      </w:r>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Fair Value Measurements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derivatives are carried at fair value using various pricing models that incorporate observable market inputs, such as interest rate yield curves and currency rates, which are Level 2 inputs. By entering into derivative contracts, the Company is exposed to counterparty credit risk, or the failure of the counterparty to perform under the terms of the derivative contract. Derivative valuations incorporate credit risk adjustments that are necessary to reflect the probability of default by the counterparty or by the Company. For the periods presented, the non-performance risk of the Company and the counterparties did not have a material impact on the fair value of the derivative instruments.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financial statement presentation purposes, the Company does not offset assets and liabilities under master netting arrangements. The following table presents information about the Company’s assets and liabilities that are measured at fair value on a recurring basis at June 30, 2025 and December 31, 2024 and indicates the fair value hierarchy of the valuation techniques utilized to determine such fair value:</w:t>
      </w:r>
    </w:p>
    <w:tbl>
      <w:tblPr>
        <w:tblW w:w="10205" w:type="dxa"/>
        <w:jc w:val="left"/>
        <w:tblInd w:w="0" w:type="dxa"/>
        <w:tblLayout w:type="fixed"/>
        <w:tblCellMar>
          <w:top w:w="28" w:type="dxa"/>
          <w:left w:w="28" w:type="dxa"/>
          <w:bottom w:w="28" w:type="dxa"/>
          <w:right w:w="28" w:type="dxa"/>
        </w:tblCellMar>
      </w:tblPr>
      <w:tblGrid>
        <w:gridCol w:w="634"/>
        <w:gridCol w:w="479"/>
        <w:gridCol w:w="480"/>
        <w:gridCol w:w="196"/>
        <w:gridCol w:w="646"/>
        <w:gridCol w:w="109"/>
        <w:gridCol w:w="109"/>
        <w:gridCol w:w="109"/>
        <w:gridCol w:w="109"/>
        <w:gridCol w:w="196"/>
        <w:gridCol w:w="556"/>
        <w:gridCol w:w="109"/>
        <w:gridCol w:w="109"/>
        <w:gridCol w:w="109"/>
        <w:gridCol w:w="109"/>
        <w:gridCol w:w="196"/>
        <w:gridCol w:w="406"/>
        <w:gridCol w:w="109"/>
        <w:gridCol w:w="109"/>
        <w:gridCol w:w="109"/>
        <w:gridCol w:w="109"/>
        <w:gridCol w:w="240"/>
        <w:gridCol w:w="792"/>
        <w:gridCol w:w="133"/>
        <w:gridCol w:w="109"/>
        <w:gridCol w:w="109"/>
        <w:gridCol w:w="109"/>
        <w:gridCol w:w="109"/>
        <w:gridCol w:w="109"/>
        <w:gridCol w:w="109"/>
        <w:gridCol w:w="109"/>
        <w:gridCol w:w="109"/>
        <w:gridCol w:w="109"/>
        <w:gridCol w:w="424"/>
        <w:gridCol w:w="947"/>
        <w:gridCol w:w="238"/>
        <w:gridCol w:w="109"/>
        <w:gridCol w:w="109"/>
        <w:gridCol w:w="109"/>
        <w:gridCol w:w="200"/>
        <w:gridCol w:w="662"/>
        <w:gridCol w:w="164"/>
      </w:tblGrid>
      <w:tr>
        <w:trPr/>
        <w:tc>
          <w:tcPr>
            <w:tcW w:w="63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89" w:type="dxa"/>
            <w:gridSpan w:val="12"/>
            <w:tcBorders/>
          </w:tcPr>
          <w:p>
            <w:pPr>
              <w:pStyle w:val="TableContents"/>
              <w:bidi w:val="0"/>
              <w:spacing w:before="0" w:after="283"/>
              <w:jc w:val="left"/>
              <w:rPr>
                <w:sz w:val="4"/>
                <w:szCs w:val="4"/>
              </w:rPr>
            </w:pPr>
            <w:r>
              <w:rPr>
                <w:sz w:val="4"/>
                <w:szCs w:val="4"/>
              </w:rPr>
            </w:r>
          </w:p>
        </w:tc>
      </w:tr>
      <w:tr>
        <w:trPr/>
        <w:tc>
          <w:tcPr>
            <w:tcW w:w="1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Effect of Master Netting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Amounts</w:t>
            </w:r>
          </w:p>
        </w:tc>
      </w:tr>
      <w:tr>
        <w:trPr/>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60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41,677 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41,677 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hedging instruments: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contracts receivable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hedging instruments: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contracts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159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95"/>
        <w:gridCol w:w="540"/>
        <w:gridCol w:w="542"/>
        <w:gridCol w:w="206"/>
        <w:gridCol w:w="681"/>
        <w:gridCol w:w="114"/>
        <w:gridCol w:w="109"/>
        <w:gridCol w:w="109"/>
        <w:gridCol w:w="109"/>
        <w:gridCol w:w="214"/>
        <w:gridCol w:w="609"/>
        <w:gridCol w:w="119"/>
        <w:gridCol w:w="109"/>
        <w:gridCol w:w="109"/>
        <w:gridCol w:w="109"/>
        <w:gridCol w:w="232"/>
        <w:gridCol w:w="481"/>
        <w:gridCol w:w="129"/>
        <w:gridCol w:w="109"/>
        <w:gridCol w:w="109"/>
        <w:gridCol w:w="109"/>
        <w:gridCol w:w="253"/>
        <w:gridCol w:w="834"/>
        <w:gridCol w:w="140"/>
        <w:gridCol w:w="109"/>
        <w:gridCol w:w="109"/>
        <w:gridCol w:w="109"/>
        <w:gridCol w:w="479"/>
        <w:gridCol w:w="995"/>
        <w:gridCol w:w="268"/>
        <w:gridCol w:w="109"/>
        <w:gridCol w:w="109"/>
        <w:gridCol w:w="109"/>
        <w:gridCol w:w="202"/>
        <w:gridCol w:w="667"/>
        <w:gridCol w:w="170"/>
      </w:tblGrid>
      <w:tr>
        <w:trPr/>
        <w:tc>
          <w:tcPr>
            <w:tcW w:w="69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Effect of Master Netting Arrangements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Amounts</w:t>
            </w:r>
          </w:p>
        </w:tc>
      </w:tr>
      <w:tr>
        <w:trPr/>
        <w:tc>
          <w:tcPr>
            <w:tcW w:w="1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Level 3 inputs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c>
          <w:tcPr>
            <w:tcW w:w="10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60,346 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60,346 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hedging instruments:</w:t>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contracts receivable</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177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ind w:left="0" w:right="0" w:hanging="240"/>
              <w:jc w:val="left"/>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hedging instruments:</w:t>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Forward contracts payable</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177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5. Property and Equipment, net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components of property and equipment, net as of June 30, 2025 and December 31, 2024, were as follows:</w:t>
      </w:r>
    </w:p>
    <w:tbl>
      <w:tblPr>
        <w:tblW w:w="4712" w:type="dxa"/>
        <w:jc w:val="left"/>
        <w:tblInd w:w="0" w:type="dxa"/>
        <w:tblLayout w:type="fixed"/>
        <w:tblCellMar>
          <w:top w:w="28" w:type="dxa"/>
          <w:left w:w="28" w:type="dxa"/>
          <w:bottom w:w="28" w:type="dxa"/>
          <w:right w:w="28" w:type="dxa"/>
        </w:tblCellMar>
      </w:tblPr>
      <w:tblGrid>
        <w:gridCol w:w="829"/>
        <w:gridCol w:w="730"/>
        <w:gridCol w:w="735"/>
        <w:gridCol w:w="196"/>
        <w:gridCol w:w="646"/>
        <w:gridCol w:w="109"/>
        <w:gridCol w:w="109"/>
        <w:gridCol w:w="109"/>
        <w:gridCol w:w="109"/>
        <w:gridCol w:w="224"/>
        <w:gridCol w:w="740"/>
        <w:gridCol w:w="176"/>
      </w:tblGrid>
      <w:tr>
        <w:trPr/>
        <w:tc>
          <w:tcPr>
            <w:tcW w:w="8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76,171 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and computers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process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property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gross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222,203 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(155,428)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66,775 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principal operations are in the Philippines where the majority of property and equipment resides under its wholly owned subsidiaries. The table below presents the Company’s total property and equipment by geographic location as of June 30, 2025 and December 31, 2024:</w:t>
      </w:r>
    </w:p>
    <w:tbl>
      <w:tblPr>
        <w:tblW w:w="4532" w:type="dxa"/>
        <w:jc w:val="left"/>
        <w:tblInd w:w="0" w:type="dxa"/>
        <w:tblLayout w:type="fixed"/>
        <w:tblCellMar>
          <w:top w:w="28" w:type="dxa"/>
          <w:left w:w="28" w:type="dxa"/>
          <w:bottom w:w="28" w:type="dxa"/>
          <w:right w:w="28" w:type="dxa"/>
        </w:tblCellMar>
      </w:tblPr>
      <w:tblGrid>
        <w:gridCol w:w="766"/>
        <w:gridCol w:w="673"/>
        <w:gridCol w:w="675"/>
        <w:gridCol w:w="196"/>
        <w:gridCol w:w="646"/>
        <w:gridCol w:w="109"/>
        <w:gridCol w:w="109"/>
        <w:gridCol w:w="109"/>
        <w:gridCol w:w="109"/>
        <w:gridCol w:w="224"/>
        <w:gridCol w:w="740"/>
        <w:gridCol w:w="176"/>
      </w:tblGrid>
      <w:tr>
        <w:trPr/>
        <w:tc>
          <w:tcPr>
            <w:tcW w:w="76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Philippines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22,888 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Colombia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66,775 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6. Goodwill and Intangibles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during the period were as follows:</w:t>
      </w:r>
    </w:p>
    <w:tbl>
      <w:tblPr>
        <w:tblW w:w="3591" w:type="dxa"/>
        <w:jc w:val="left"/>
        <w:tblInd w:w="0" w:type="dxa"/>
        <w:tblLayout w:type="fixed"/>
        <w:tblCellMar>
          <w:top w:w="28" w:type="dxa"/>
          <w:left w:w="28" w:type="dxa"/>
          <w:bottom w:w="28" w:type="dxa"/>
          <w:right w:w="28" w:type="dxa"/>
        </w:tblCellMar>
      </w:tblPr>
      <w:tblGrid>
        <w:gridCol w:w="907"/>
        <w:gridCol w:w="798"/>
        <w:gridCol w:w="800"/>
        <w:gridCol w:w="196"/>
        <w:gridCol w:w="73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as of June 30, 2025 and December 31, 2024:</w:t>
      </w:r>
    </w:p>
    <w:tbl>
      <w:tblPr>
        <w:tblW w:w="10205" w:type="dxa"/>
        <w:jc w:val="left"/>
        <w:tblInd w:w="0" w:type="dxa"/>
        <w:tblLayout w:type="fixed"/>
        <w:tblCellMar>
          <w:top w:w="28" w:type="dxa"/>
          <w:left w:w="28" w:type="dxa"/>
          <w:bottom w:w="28" w:type="dxa"/>
          <w:right w:w="28" w:type="dxa"/>
        </w:tblCellMar>
      </w:tblPr>
      <w:tblGrid>
        <w:gridCol w:w="617"/>
        <w:gridCol w:w="543"/>
        <w:gridCol w:w="537"/>
        <w:gridCol w:w="109"/>
        <w:gridCol w:w="109"/>
        <w:gridCol w:w="109"/>
        <w:gridCol w:w="109"/>
        <w:gridCol w:w="196"/>
        <w:gridCol w:w="736"/>
        <w:gridCol w:w="109"/>
        <w:gridCol w:w="109"/>
        <w:gridCol w:w="109"/>
        <w:gridCol w:w="109"/>
        <w:gridCol w:w="196"/>
        <w:gridCol w:w="808"/>
        <w:gridCol w:w="109"/>
        <w:gridCol w:w="109"/>
        <w:gridCol w:w="109"/>
        <w:gridCol w:w="109"/>
        <w:gridCol w:w="196"/>
        <w:gridCol w:w="736"/>
        <w:gridCol w:w="109"/>
        <w:gridCol w:w="109"/>
        <w:gridCol w:w="109"/>
        <w:gridCol w:w="109"/>
        <w:gridCol w:w="196"/>
        <w:gridCol w:w="736"/>
        <w:gridCol w:w="109"/>
        <w:gridCol w:w="109"/>
        <w:gridCol w:w="109"/>
        <w:gridCol w:w="109"/>
        <w:gridCol w:w="196"/>
        <w:gridCol w:w="808"/>
        <w:gridCol w:w="109"/>
        <w:gridCol w:w="109"/>
        <w:gridCol w:w="109"/>
        <w:gridCol w:w="109"/>
        <w:gridCol w:w="196"/>
        <w:gridCol w:w="736"/>
        <w:gridCol w:w="156"/>
      </w:tblGrid>
      <w:tr>
        <w:trPr/>
        <w:tc>
          <w:tcPr>
            <w:tcW w:w="61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Intangibles,</w:t>
              <w:b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Intangibles,</w:t>
              <w:b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Intangibles,</w:t>
              <w:b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Intangibles,</w:t>
              <w:br/>
              <w:t>Net</w:t>
            </w:r>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293,303 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172,525 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7. Long-Term Debt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balances of current and noncurrent portions of debt consisted of the following as of June 30, 2025 and December 31, 2024:</w:t>
      </w:r>
    </w:p>
    <w:tbl>
      <w:tblPr>
        <w:tblW w:w="9665" w:type="dxa"/>
        <w:jc w:val="left"/>
        <w:tblInd w:w="0" w:type="dxa"/>
        <w:tblLayout w:type="fixed"/>
        <w:tblCellMar>
          <w:top w:w="28" w:type="dxa"/>
          <w:left w:w="28" w:type="dxa"/>
          <w:bottom w:w="28" w:type="dxa"/>
          <w:right w:w="28" w:type="dxa"/>
        </w:tblCellMar>
      </w:tblPr>
      <w:tblGrid>
        <w:gridCol w:w="695"/>
        <w:gridCol w:w="611"/>
        <w:gridCol w:w="613"/>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Debt financing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256,166 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120" w:after="283"/>
        <w:ind w:left="0" w:right="0" w:firstLine="450"/>
        <w:jc w:val="both"/>
        <w:rPr>
          <w:rFonts w:ascii="Times New Roman;serif" w:hAnsi="Times New Roman;serif"/>
          <w:b w:val="false"/>
          <w:i/>
          <w:color w:val="000000"/>
          <w:sz w:val="20"/>
        </w:rPr>
      </w:pPr>
      <w:r>
        <w:rPr>
          <w:rFonts w:ascii="Times New Roman;serif" w:hAnsi="Times New Roman;serif"/>
          <w:b w:val="false"/>
          <w:i/>
          <w:color w:val="000000"/>
          <w:sz w:val="20"/>
        </w:rPr>
        <w:t>2022 Credit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September 7, 2022, the Company amended and restated its prior credit agreement (as amended and restated the "2022 Credit Agreement"), which includes a $270.0 million term loan (the "2022 Term Loan Facility") and a $190.0 million revolving credit facility (the "2022 Revolving Credit Facility" and, together with the 2022 Term Loan Facility, the "2022 Credit Facilities").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2022 Term Loan Facility matures on September 7, 2027. We have elected to pay interest on borrowings under the 2022 Term Loan Facility based on the SOFR rate. The interest rate in effect for the 2022 Term Loan Facility as of June 30, 2025 was 6.646% per annum. Due to its variable interest rates, the carrying amount of debt approximates fair value based on the present value of future cash flows using Level 2 inputs.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2022 Revolving Credit Facility terminates on September 7, 2027. As of June 30, 2025, the Company had no balance outstanding and $190.0 million of borrowing availability under the 2022 Revolving Credit Facility.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was in compliance with all debt covenants as of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8. Leases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operating lease costs recorded to cost of services:</w:t>
      </w:r>
    </w:p>
    <w:tbl>
      <w:tblPr>
        <w:tblW w:w="7966" w:type="dxa"/>
        <w:jc w:val="left"/>
        <w:tblInd w:w="0" w:type="dxa"/>
        <w:tblLayout w:type="fixed"/>
        <w:tblCellMar>
          <w:top w:w="28" w:type="dxa"/>
          <w:left w:w="28" w:type="dxa"/>
          <w:bottom w:w="28" w:type="dxa"/>
          <w:right w:w="28" w:type="dxa"/>
        </w:tblCellMar>
      </w:tblPr>
      <w:tblGrid>
        <w:gridCol w:w="1054"/>
        <w:gridCol w:w="927"/>
        <w:gridCol w:w="929"/>
        <w:gridCol w:w="109"/>
        <w:gridCol w:w="109"/>
        <w:gridCol w:w="109"/>
        <w:gridCol w:w="212"/>
        <w:gridCol w:w="602"/>
        <w:gridCol w:w="118"/>
        <w:gridCol w:w="118"/>
        <w:gridCol w:w="118"/>
        <w:gridCol w:w="118"/>
        <w:gridCol w:w="212"/>
        <w:gridCol w:w="602"/>
        <w:gridCol w:w="118"/>
        <w:gridCol w:w="109"/>
        <w:gridCol w:w="109"/>
        <w:gridCol w:w="109"/>
        <w:gridCol w:w="196"/>
        <w:gridCol w:w="646"/>
        <w:gridCol w:w="109"/>
        <w:gridCol w:w="109"/>
        <w:gridCol w:w="109"/>
        <w:gridCol w:w="109"/>
        <w:gridCol w:w="196"/>
        <w:gridCol w:w="556"/>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costs - 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Operating lease costs recorded to selling, general and administrative expenses were immaterial.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weighted average remaining lease term and weighted average discount rate for the Company's operating leases as of June 30, 2025 and December 31, 2024:</w:t>
      </w:r>
    </w:p>
    <w:tbl>
      <w:tblPr>
        <w:tblW w:w="6202" w:type="dxa"/>
        <w:jc w:val="left"/>
        <w:tblInd w:w="0" w:type="dxa"/>
        <w:tblLayout w:type="fixed"/>
        <w:tblCellMar>
          <w:top w:w="28" w:type="dxa"/>
          <w:left w:w="28" w:type="dxa"/>
          <w:bottom w:w="28" w:type="dxa"/>
          <w:right w:w="28" w:type="dxa"/>
        </w:tblCellMar>
      </w:tblPr>
      <w:tblGrid>
        <w:gridCol w:w="1042"/>
        <w:gridCol w:w="917"/>
        <w:gridCol w:w="920"/>
        <w:gridCol w:w="109"/>
        <w:gridCol w:w="109"/>
        <w:gridCol w:w="109"/>
        <w:gridCol w:w="258"/>
        <w:gridCol w:w="258"/>
        <w:gridCol w:w="608"/>
        <w:gridCol w:w="109"/>
        <w:gridCol w:w="109"/>
        <w:gridCol w:w="109"/>
        <w:gridCol w:w="323"/>
        <w:gridCol w:w="323"/>
        <w:gridCol w:w="899"/>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years</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cash flow information related to the Company's operating leases:</w:t>
      </w:r>
    </w:p>
    <w:tbl>
      <w:tblPr>
        <w:tblW w:w="8256" w:type="dxa"/>
        <w:jc w:val="left"/>
        <w:tblInd w:w="0" w:type="dxa"/>
        <w:tblLayout w:type="fixed"/>
        <w:tblCellMar>
          <w:top w:w="28" w:type="dxa"/>
          <w:left w:w="28" w:type="dxa"/>
          <w:bottom w:w="28" w:type="dxa"/>
          <w:right w:w="28" w:type="dxa"/>
        </w:tblCellMar>
      </w:tblPr>
      <w:tblGrid>
        <w:gridCol w:w="2080"/>
        <w:gridCol w:w="1830"/>
        <w:gridCol w:w="1835"/>
        <w:gridCol w:w="109"/>
        <w:gridCol w:w="109"/>
        <w:gridCol w:w="109"/>
        <w:gridCol w:w="196"/>
        <w:gridCol w:w="646"/>
        <w:gridCol w:w="109"/>
        <w:gridCol w:w="109"/>
        <w:gridCol w:w="109"/>
        <w:gridCol w:w="109"/>
        <w:gridCol w:w="196"/>
        <w:gridCol w:w="556"/>
        <w:gridCol w:w="154"/>
      </w:tblGrid>
      <w:tr>
        <w:trPr/>
        <w:tc>
          <w:tcPr>
            <w:tcW w:w="208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ROU assets obtained in exchange for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future lease payments on the Company's operating lease liabilities as of June 30, 2025 were as follows:</w:t>
      </w:r>
    </w:p>
    <w:tbl>
      <w:tblPr>
        <w:tblW w:w="3213" w:type="dxa"/>
        <w:jc w:val="left"/>
        <w:tblInd w:w="0" w:type="dxa"/>
        <w:tblLayout w:type="fixed"/>
        <w:tblCellMar>
          <w:top w:w="28" w:type="dxa"/>
          <w:left w:w="28" w:type="dxa"/>
          <w:bottom w:w="28" w:type="dxa"/>
          <w:right w:w="28" w:type="dxa"/>
        </w:tblCellMar>
      </w:tblPr>
      <w:tblGrid>
        <w:gridCol w:w="684"/>
        <w:gridCol w:w="602"/>
        <w:gridCol w:w="604"/>
        <w:gridCol w:w="109"/>
        <w:gridCol w:w="109"/>
        <w:gridCol w:w="109"/>
        <w:gridCol w:w="196"/>
        <w:gridCol w:w="64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2025-remainder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12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The Company is subject to various legal proceedings, claims, and litigation arising in the ordinary course of business. Although the outcomes of such matters cannot be predicted with certainty, the Company believes that resolution of all such pending matters will not, either individually or in the aggregate, have a material adverse effect on its business, operating results, cash flows, or financial condition</w:t>
      </w:r>
      <w:r>
        <w:rPr>
          <w:rFonts w:ascii="Times New Roman;serif" w:hAnsi="Times New Roman;serif"/>
          <w:b w:val="false"/>
          <w:color w:val="000000"/>
          <w:sz w:val="20"/>
        </w:rPr>
        <w:t>. However, given the inherent unpredictability of litigations, arbitrations, claims, inquiries, investigations and proceedings, it is possible that an adverse outcome in certain matters could have a material adverse effect on our business, operating results, cash flows, or financial condition in any future period. In addition, there can be no assurance that material losses will not be incurred from claims where potential losses have not yet been determined to be probable or possible and reasonably estimable.</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On February 23, 2022, </w:t>
      </w:r>
      <w:r>
        <w:rPr>
          <w:rFonts w:ascii="Times New Roman;serif" w:hAnsi="Times New Roman;serif"/>
          <w:b w:val="false"/>
          <w:color w:val="000000"/>
          <w:sz w:val="20"/>
        </w:rPr>
        <w:t xml:space="preserve">a purported class action lawsuit captioned Lozada v. TaskUs, Inc. et al. (No. 22-cv-1479-JPC), was filed in the United States District Court for the Southern District of New York against the Company, our Chief Executive Officer, our President, and our Chief Financial Officer. The complaint alleges that the registration statement filed in connection with the Company’s initial public offering (“IPO”) and the Company’s second and third quarter 2021 earnings calls contained materially false and misleading information in violation of the federal securities laws. On October 20, 2022, the court entered an order appointing Humberto Lozada as lead plaintiff in the lawsuit. On December 16, 2022, lead plaintiff filed an amended complaint, alleging additional misstatements in certain of the Company’s 2021 earnings releases filed on Form 8-K and at an investor conference, and asserting additional securities claims, including against members of TaskUs’s board of directors as well as BCP FC Aggregator L.P. The complaint seeks unspecified damages and an award of costs and expenses, including reasonable attorneys’ fees, as well as equitable relief. On February 17, 2023, TaskUs and the other named defendants filed a motion to dismiss. On October 16, 2023, the plaintiffs voluntarily dismissed with prejudice certain claims based on certain theories of liability. </w:t>
      </w:r>
      <w:r>
        <w:rPr>
          <w:rFonts w:ascii="Times New Roman;serif" w:hAnsi="Times New Roman;serif"/>
          <w:b w:val="false"/>
          <w:color w:val="000000"/>
          <w:sz w:val="20"/>
          <w:shd w:fill="FFFFFF" w:val="clear"/>
        </w:rPr>
        <w:t>On February 24, 2025, the Company entered into a Stipulation and Agreement of Settlement (the “Settlement Agreement”), which the Court preliminarily approved on June 13, 2025</w:t>
      </w:r>
      <w:r>
        <w:rPr>
          <w:rFonts w:ascii="Times New Roman;serif" w:hAnsi="Times New Roman;serif"/>
          <w:b w:val="false"/>
          <w:color w:val="000000"/>
          <w:sz w:val="20"/>
        </w:rPr>
        <w:t xml:space="preserve">. A settlement hearing is scheduled for October 16, 2025. </w:t>
      </w:r>
      <w:r>
        <w:rPr>
          <w:rFonts w:ascii="Times New Roman;serif" w:hAnsi="Times New Roman;serif"/>
          <w:b w:val="false"/>
          <w:color w:val="000000"/>
          <w:sz w:val="20"/>
          <w:shd w:fill="FFFFFF" w:val="clear"/>
        </w:rPr>
        <w:t xml:space="preserve">The Settlement Agreement includes a combined payment by defendants of $17.5 million, inclusive of plaintiffs’ attorneys’ fees and expenses, and a full and complete release of all claims. The Company's insurance retention and policies fully funded the settlement amount in July 2025. The defendants have entered into the Settlement Agreement solely to eliminate the burden, expense, uncertainty, and risk of further litigation and have denied, and continue to deny, any and all allegations of liability or wrongdoing.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15, 2025, putative TaskUs stockholder James Eaton filed a derivative lawsuit in the Court of Chancery of the State of Delaware, captioned Eaton v. Maddock, et al. (C.A. No. 2025-0043-NAC), purportedly on behalf of the Company against certain current and former members of its board of directors. Eaton previously delivered a demand pursuant to 8 Del. C. §220 on TaskUs on July 3, 2024, which the Company responded to on September 16, 2024. The Eaton complaint includes allegations similar to those in the Lozada case and asserts a claim for breach of fiduciary duty. In particular, the complaint alleges that TaskUs’s public filings included misstatements regarding its low employee attrition rate and high Glassdoor rating in the lead-up periods to the Company’s IPO and secondary public offering in October 2021 (“SPO”). The complaint includes one count for breach of fiduciary duty and alleges that because of TaskUs’s breach, the Company has suffered damages in the form of: (1) legal fees associated with the Lozada litigation; (2) loss of reputation and goodwill; (3) costs associated with investigations into the misstatement allegations; (4) money used to facilitate the IPO and SPO; (5) insider profits derived from the IPO and SPO; and (6) loss of Company revenue and profits. On June 5, 2025, the parties moved to stay the action pending the closing of the Merger, which the Court granted on June 6, 2025. The Company is unable to predict, with a reasonable degree of certainty, the likely outcome of this litigation.</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6, 2025, putative TaskUs stockholder Kalvin Tucker filed a derivative lawsuit in the United States District Court for the Southern District of New York, captioned Tucker v. Dixit, et al. (No. 25-cv-01875), purportedly on behalf of the Company against certain current and former members of its board of directors. The Tucker complaint includes allegations that are substantially similar to those in the Eaton case and asserts claims for contribution, breach of fiduciary duty, aiding and abetting breaches of fiduciary duty, unjust enrichment, and waste. On June 10, 2025, the parties moved to stay the action pending the closing of the Merger, which the Court granted on June 11, 2025. The Company is unable to predict, with a reasonable degree of certainty, the likely outcome of this litigation.</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also currently defending three lawsuits that present in large degree the same legal or factual issues, with allegations that are similar in nature. We believe that these three lawsuits are without merit and intend to defend each vigorously. The Company cannot predict at this point the length of time that these actions will be ongoing or the liability, if any, which may arise therefrom. As these actions are still in preliminary phases, any potential loss or impact on financial position or results of operations cannot yet be estimated.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April 1, 2022, a purported class action lawsuit captioned Gregory Forsberg, Christopher Gunter, Samuel Kissinger, and Scott Sipprell vs. TaskUs, Inc. and Shopify, Inc., Shopify Holdings (USA), Inc., Shopify (USA) Inc. (No. 1:22-cv-00436-UNA), was filed in the United States District Court for the District of Delaware. The complaint alleges the named defendants failed to exercise reasonable care in securing and safeguarding consumer information in connection with a 2020 data breach impacting Ledger SAS cryptocurrency hardware wallets, resulting in the unauthorized public release of approximately 272,000 pieces of detailed personally identifiable information, including Plaintiffs’ and class members’ full names, email addresses, postal addresses, and telephone numbers. The four named plaintiffs allege aggregate losses of approximately $140,000, and allege that the damages exceed $5 million for purposes of class action jurisdiction. On April 8, 2022, the Company filed a motion to dismiss, which is currently pending. On June 11, 2025, the parties signed an agreement to settle all of the plaintiffs' individual claims for an immaterial amount. The case was dismissed with prejudice on July 29,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16, 2022, a lawsuit captioned My Choice Software, LLC vs. TaskUs, Inc., Tassilo Heinrich, Shopify, Inc., Shopify Holdings (USA) Inc., Shopify (USA) Inc., Does 1-50, No. 22-cv-1710 was filed in the United States District Court, Central District of California. The complaint alleges the defendants profited off of the plaintiff's information. The complaint seeks unspecified damages and an award of costs and expenses, including reasonable attorneys’ fees, as well as equitable and injunctive relief. On February 13, 2023, the Company filed a motion to dismiss the amended complaint. In May 2023, the Court issued an Order dismissing certain parties, staying the case as to the Company and denying as moot the Company's previously filed motion to dismiss. This case is currently stayed.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November 22, 2023, TaskUs was added as an additional defendant in a lawsuit captioned Naeem Seirafi, Edward Baton, Anthony Comilla, Brett Deeney, and Abraham Vilinger, individually and on behalf of all others similarly situated v. Ledger SAS, Shopify (USA) Inc., Shopify Inc., and TaskUs, Inc., No. 21-cv-02470 pending in the United States District Court, Northern District of California. The complaint alleges defendants failed to exercise reasonable care in securing and safeguarding consumer information in connection with a 2020 data breach impacting Ledger cryptocurrency hardware wallets, resulting in the unauthorized public release of approximately 272,000 pieces of detailed personally identifiable information, including Plaintiffs’ and “Class” members’ full names, email addresses, postal addresses, and telephone numbers. The complaint asserts claims against TaskUs for negligence, negligence per se, declaratory and injunctive relief, and for violations of the New York Deceptive Trade Practices Act. The named plaintiffs’ alleged damages of approximately $557,000 and an award of costs and expenses, including reasonable attorneys’ fees, as well as declaratory and injunctive relief, and other damages. On September 19, 2024, TaskUs filed a motion to dismiss, which the Court granted on February 6, 2025. On July 17, 2025, plaintiffs filed a petition for interlocutory review with the Ninth Circuit Court of Appeals, seeking immediate review of the February 6, 2025 Order. The Ninth Circuit has not yet determined whether it will grant review.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May 27, 2025, a purported class action captioned Nelson Estrada, individually and on behalf of all others similarly situated v. TaskUs, Inc., was filed in the United States District Court for the Southern District of New York against the Company. The complaint alleges that plaintiff’s data was implicated in a Coinbase data breach announced on May 14, 2025, and that breach involved TaskUs employees providing overseas support services to Coinbase who improperly accessed information related to his account. The complaint asserts claims for negligence, negligence per se, breach of implied contract, unjust enrichment, declaratory and injunctive relief, violation of the unfair competition statutes of various states, and violation of the California Consumer Privacy Act. Plaintiff seeks to certify a class of all persons in the United States whose personally identifiable information was compromised in the Coinbase data breach, as well as a similarly defined California sub-class and requests damages, pre- and post-judgment interest, attorneys’ fees, and any other relief allowable under law. On July 17, 2025, the Company sought a pre-motion conference seeking permission to file a motion to dismiss. The matter is set for a pre-motion conference in August 2025. The Company is unable to predict, with a reasonable degree of certainty, the likely outcome of this litigation.</w:t>
      </w:r>
    </w:p>
    <w:p>
      <w:pPr>
        <w:pStyle w:val="TextBody"/>
        <w:bidi w:val="0"/>
        <w:spacing w:lineRule="auto" w:line="288" w:before="120" w:after="283"/>
        <w:ind w:left="0" w:right="0" w:firstLine="360"/>
        <w:jc w:val="both"/>
        <w:rPr/>
      </w:pPr>
      <w:r>
        <w:rPr>
          <w:rFonts w:ascii="Times New Roman;serif" w:hAnsi="Times New Roman;serif"/>
          <w:b/>
          <w:i/>
          <w:color w:val="000000"/>
          <w:sz w:val="20"/>
        </w:rPr>
        <w:t>Indemnification</w:t>
      </w:r>
      <w:r>
        <w:rPr>
          <w:color w:val="000000"/>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in the ordinary course of business, the Company enters into agreements of varying scope and terms pursuant to which it agrees to indemnify clients, vendors and other business partners with respect to certain matters, including, but not limited to, losses arising out of breach of such agreements, cybersecurity breach, services to be provided by us or from intellectual property infringement claims made by third parties. Historically, we have not experienced significant losses on these types of indemnification obligations; however, the Company may incur significant losses related to such indemnification obligations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10. Stock-Based Compensation</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The following table summarizes the stock option, restricted stock unit ("RSU") and performance stock unit ("PSU") activity for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w:t>
      </w:r>
    </w:p>
    <w:tbl>
      <w:tblPr>
        <w:tblW w:w="10205" w:type="dxa"/>
        <w:jc w:val="left"/>
        <w:tblInd w:w="0" w:type="dxa"/>
        <w:tblLayout w:type="fixed"/>
        <w:tblCellMar>
          <w:top w:w="28" w:type="dxa"/>
          <w:left w:w="28" w:type="dxa"/>
          <w:bottom w:w="28" w:type="dxa"/>
          <w:right w:w="28" w:type="dxa"/>
        </w:tblCellMar>
      </w:tblPr>
      <w:tblGrid>
        <w:gridCol w:w="578"/>
        <w:gridCol w:w="446"/>
        <w:gridCol w:w="448"/>
        <w:gridCol w:w="435"/>
        <w:gridCol w:w="436"/>
        <w:gridCol w:w="296"/>
        <w:gridCol w:w="109"/>
        <w:gridCol w:w="109"/>
        <w:gridCol w:w="109"/>
        <w:gridCol w:w="246"/>
        <w:gridCol w:w="698"/>
        <w:gridCol w:w="137"/>
        <w:gridCol w:w="109"/>
        <w:gridCol w:w="109"/>
        <w:gridCol w:w="109"/>
        <w:gridCol w:w="453"/>
        <w:gridCol w:w="456"/>
        <w:gridCol w:w="296"/>
        <w:gridCol w:w="109"/>
        <w:gridCol w:w="109"/>
        <w:gridCol w:w="109"/>
        <w:gridCol w:w="271"/>
        <w:gridCol w:w="771"/>
        <w:gridCol w:w="152"/>
        <w:gridCol w:w="109"/>
        <w:gridCol w:w="109"/>
        <w:gridCol w:w="109"/>
        <w:gridCol w:w="453"/>
        <w:gridCol w:w="456"/>
        <w:gridCol w:w="296"/>
        <w:gridCol w:w="109"/>
        <w:gridCol w:w="109"/>
        <w:gridCol w:w="109"/>
        <w:gridCol w:w="267"/>
        <w:gridCol w:w="760"/>
        <w:gridCol w:w="219"/>
      </w:tblGrid>
      <w:tr>
        <w:trPr/>
        <w:tc>
          <w:tcPr>
            <w:tcW w:w="57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PSUs</w:t>
            </w:r>
          </w:p>
        </w:tc>
      </w:tr>
      <w:tr>
        <w:trPr/>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RSUs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w:t>
              <w:br/>
              <w:t>average</w:t>
              <w:b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PSUs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w:t>
              <w:br/>
              <w:t>average</w:t>
              <w:br/>
              <w:t>grant date fair value</w:t>
            </w:r>
          </w:p>
        </w:tc>
      </w:tr>
      <w:tr>
        <w:trPr/>
        <w:tc>
          <w:tcPr>
            <w:tcW w:w="147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Outstanding at January 1, 2025</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4,846,497 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4,309,358 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3,693,417 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1,758,292 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396,198 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 or released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(943,805)</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(1,393,936)</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(26,667)</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 cancelled, or expired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(272,552)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(3,307,060)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Outstanding at June 30, 2025</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3,901,072 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4,401,162 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755,888 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PSUs granted during the six months ended June 30, 2025 vest contingently over three years subject to continued service and the achievement of certain Revenue and Adjusted EBITDA targets (performance conditions).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stock-based compensation expense recognized for the periods presented:</w:t>
      </w:r>
    </w:p>
    <w:tbl>
      <w:tblPr>
        <w:tblW w:w="7983" w:type="dxa"/>
        <w:jc w:val="left"/>
        <w:tblInd w:w="0" w:type="dxa"/>
        <w:tblLayout w:type="fixed"/>
        <w:tblCellMar>
          <w:top w:w="28" w:type="dxa"/>
          <w:left w:w="28" w:type="dxa"/>
          <w:bottom w:w="28" w:type="dxa"/>
          <w:right w:w="28" w:type="dxa"/>
        </w:tblCellMar>
      </w:tblPr>
      <w:tblGrid>
        <w:gridCol w:w="1146"/>
        <w:gridCol w:w="1008"/>
        <w:gridCol w:w="1010"/>
        <w:gridCol w:w="203"/>
        <w:gridCol w:w="577"/>
        <w:gridCol w:w="113"/>
        <w:gridCol w:w="113"/>
        <w:gridCol w:w="113"/>
        <w:gridCol w:w="113"/>
        <w:gridCol w:w="203"/>
        <w:gridCol w:w="670"/>
        <w:gridCol w:w="113"/>
        <w:gridCol w:w="109"/>
        <w:gridCol w:w="109"/>
        <w:gridCol w:w="109"/>
        <w:gridCol w:w="196"/>
        <w:gridCol w:w="646"/>
        <w:gridCol w:w="109"/>
        <w:gridCol w:w="109"/>
        <w:gridCol w:w="109"/>
        <w:gridCol w:w="109"/>
        <w:gridCol w:w="196"/>
        <w:gridCol w:w="64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11,121 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2025, there was $0.8 million, $30.9 million and $2.9 million of unrecognized compensation expense related to the Company’s unvested stock options, RSUs and PSUs, respectively, that is expected to be recognized over a weighted-average period of 0.6 years, 1.5 years and 1.6 years, respectively. Certain PSUs contain performance conditions, which may result in a different amount of expense recognized over the term of the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determining its interim provision for income taxes, the Company used an estimated annual effective tax rate, which is based on expected income before taxes, statutory tax rates and tax planning opportunities available in the various jurisdictions in which the Company operates. Certain significant or unusual items are separately recognized in the period in which they occur and can be a source of variability in the effective tax rate from quarter to quarter.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recorded provision for income taxes of $7.0 million and $7.3 million in the three months ended June 30, 2025 and 2024, respectively. The effective tax rate was 25.9% and 36.8% for the three months ended June 30, 2025 and 2024, respectively.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recorded provision for income taxes of $15.6 million and $13.8 million in the six months ended June 30, 2025 and 2024, respectively. The effective tax rate was 27.5% and 36.3% for the six months ended June 30, 2025 and 2024, respectively. The difference between the effective tax rate and the 21% federal statutory rate in the six months ended June 30, 2025 was primarily due to state taxes, Global Intangible Low-Taxed Income ("GILTI") inclusion, nondeductible compensation of officers partially offset by Foreign-Derived Intangible Income and other discrete items. The difference between the effective tax rate and the 21% federal statutory rate in the six months ended June 30, 2024 was primarily due to GILTI inclusion, nondeductible compensation of officers, and tax benefits of income tax holidays in foreign jurisdiction.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One Big Beautiful Bill Act (“OBBBA”) was enacted on July 4, 2025 and the Company continues to evaluate the impact on its financial position. The OBBBA is not currently expected to materially impact the Company’s effective tax rate or cash flows in the current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12. Earnings Per Share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Class A common stock and Class B common stock outstanding. Because the only difference between the two classes of common stock are related to voting, transfer and conversion rights, the Company has not presented earnings per share under the two-class method, as earnings per share are the same for both Class A common stock and Class B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computation of basic and diluted earnings per share for the three and six months ended June 30, 2025 and 2024:</w:t>
      </w:r>
    </w:p>
    <w:tbl>
      <w:tblPr>
        <w:tblW w:w="9386" w:type="dxa"/>
        <w:jc w:val="left"/>
        <w:tblInd w:w="0" w:type="dxa"/>
        <w:tblLayout w:type="fixed"/>
        <w:tblCellMar>
          <w:top w:w="28" w:type="dxa"/>
          <w:left w:w="28" w:type="dxa"/>
          <w:bottom w:w="28" w:type="dxa"/>
          <w:right w:w="28" w:type="dxa"/>
        </w:tblCellMar>
      </w:tblPr>
      <w:tblGrid>
        <w:gridCol w:w="1476"/>
        <w:gridCol w:w="1297"/>
        <w:gridCol w:w="1307"/>
        <w:gridCol w:w="223"/>
        <w:gridCol w:w="738"/>
        <w:gridCol w:w="109"/>
        <w:gridCol w:w="109"/>
        <w:gridCol w:w="109"/>
        <w:gridCol w:w="109"/>
        <w:gridCol w:w="223"/>
        <w:gridCol w:w="738"/>
        <w:gridCol w:w="109"/>
        <w:gridCol w:w="109"/>
        <w:gridCol w:w="109"/>
        <w:gridCol w:w="109"/>
        <w:gridCol w:w="223"/>
        <w:gridCol w:w="738"/>
        <w:gridCol w:w="109"/>
        <w:gridCol w:w="109"/>
        <w:gridCol w:w="109"/>
        <w:gridCol w:w="109"/>
        <w:gridCol w:w="223"/>
        <w:gridCol w:w="738"/>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data)</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basic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89,493,215 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88,331,992 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89,766,782 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88,563,601 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3,083,590 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3,297,938 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3,349,391 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3,176,307 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diluted</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92,576,805 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91,629,930 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93,116,173 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91,739,908 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per common share:</w:t>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excluded 3,159,946 and 3,175,817 potential common stock equivalents from the computation of diluted EPS for the three and six months ended June 30, 2025, respectively, and 3,408,439 and 3,411,655 potential common stock equivalents from the computation of diluted EPS for the three and six months ended June 30, 2024, respectively, because the effect would have been anti-dilutive. There were 578,110 and 3,373,417 potential common stock equivalents outstanding as of June 30, 2025 and 2024, respectively, with market or performance conditions which were not met at the relevant date, that were excluded from the calculation of diluted EPS.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13. Accumulated Other Comprehensive Loss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changes in accumulated balances of other comprehensive income (loss) for the three and six months ended June 30, 2025:</w:t>
      </w:r>
    </w:p>
    <w:tbl>
      <w:tblPr>
        <w:tblW w:w="10205" w:type="dxa"/>
        <w:jc w:val="left"/>
        <w:tblInd w:w="0" w:type="dxa"/>
        <w:tblLayout w:type="fixed"/>
        <w:tblCellMar>
          <w:top w:w="28" w:type="dxa"/>
          <w:left w:w="28" w:type="dxa"/>
          <w:bottom w:w="28" w:type="dxa"/>
          <w:right w:w="28" w:type="dxa"/>
        </w:tblCellMar>
      </w:tblPr>
      <w:tblGrid>
        <w:gridCol w:w="1082"/>
        <w:gridCol w:w="705"/>
        <w:gridCol w:w="707"/>
        <w:gridCol w:w="337"/>
        <w:gridCol w:w="1226"/>
        <w:gridCol w:w="187"/>
        <w:gridCol w:w="109"/>
        <w:gridCol w:w="109"/>
        <w:gridCol w:w="109"/>
        <w:gridCol w:w="350"/>
        <w:gridCol w:w="778"/>
        <w:gridCol w:w="196"/>
        <w:gridCol w:w="109"/>
        <w:gridCol w:w="109"/>
        <w:gridCol w:w="109"/>
        <w:gridCol w:w="404"/>
        <w:gridCol w:w="1149"/>
        <w:gridCol w:w="227"/>
        <w:gridCol w:w="109"/>
        <w:gridCol w:w="109"/>
        <w:gridCol w:w="109"/>
        <w:gridCol w:w="283"/>
        <w:gridCol w:w="1006"/>
        <w:gridCol w:w="587"/>
      </w:tblGrid>
      <w:tr>
        <w:trPr/>
        <w:tc>
          <w:tcPr>
            <w:tcW w:w="108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2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Retirement Benefit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March 31, 2025</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(18,422)</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(16,891)</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10,150 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 effects</w:t>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w:t>
            </w:r>
          </w:p>
        </w:tc>
        <w:tc>
          <w:tcPr>
            <w:tcW w:w="587"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 effects</w:t>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587"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4,729 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7,474 </w:t>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(13,693)</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4,722 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(9,417)</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82"/>
        <w:gridCol w:w="705"/>
        <w:gridCol w:w="707"/>
        <w:gridCol w:w="337"/>
        <w:gridCol w:w="1226"/>
        <w:gridCol w:w="187"/>
        <w:gridCol w:w="109"/>
        <w:gridCol w:w="109"/>
        <w:gridCol w:w="109"/>
        <w:gridCol w:w="350"/>
        <w:gridCol w:w="778"/>
        <w:gridCol w:w="196"/>
        <w:gridCol w:w="109"/>
        <w:gridCol w:w="109"/>
        <w:gridCol w:w="109"/>
        <w:gridCol w:w="379"/>
        <w:gridCol w:w="1189"/>
        <w:gridCol w:w="211"/>
        <w:gridCol w:w="109"/>
        <w:gridCol w:w="109"/>
        <w:gridCol w:w="109"/>
        <w:gridCol w:w="283"/>
        <w:gridCol w:w="1006"/>
        <w:gridCol w:w="588"/>
      </w:tblGrid>
      <w:tr>
        <w:trPr/>
        <w:tc>
          <w:tcPr>
            <w:tcW w:w="108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r>
      <w:tr>
        <w:trPr/>
        <w:tc>
          <w:tcPr>
            <w:tcW w:w="2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Retirement Benefit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(21,659)</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(25,389)</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19,460 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 effects</w:t>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(2,422)</w:t>
            </w:r>
          </w:p>
        </w:tc>
        <w:tc>
          <w:tcPr>
            <w:tcW w:w="588"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 effects</w:t>
            </w:r>
          </w:p>
        </w:tc>
        <w:tc>
          <w:tcPr>
            <w:tcW w:w="1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588"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2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5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7,966 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15,972 </w:t>
            </w:r>
          </w:p>
        </w:tc>
        <w:tc>
          <w:tcPr>
            <w:tcW w:w="5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(13,693)</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4,722 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(9,417)</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r>
        <w:trPr/>
        <w:tc>
          <w:tcPr>
            <w:tcW w:w="2494" w:type="dxa"/>
            <w:gridSpan w:val="3"/>
            <w:tcBorders/>
            <w:vAlign w:val="center"/>
          </w:tcPr>
          <w:p>
            <w:pPr>
              <w:pStyle w:val="TableContents"/>
              <w:bidi w:val="0"/>
              <w:spacing w:before="0" w:after="283"/>
              <w:jc w:val="left"/>
              <w:rPr>
                <w:sz w:val="4"/>
                <w:szCs w:val="4"/>
              </w:rPr>
            </w:pPr>
            <w:r>
              <w:rPr>
                <w:sz w:val="4"/>
                <w:szCs w:val="4"/>
              </w:rPr>
            </w:r>
          </w:p>
        </w:tc>
        <w:tc>
          <w:tcPr>
            <w:tcW w:w="1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7"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changes in accumulated balances of other comprehensive income (loss) for the three and six months ended June 30, 2024:</w:t>
      </w:r>
    </w:p>
    <w:tbl>
      <w:tblPr>
        <w:tblW w:w="10205" w:type="dxa"/>
        <w:jc w:val="left"/>
        <w:tblInd w:w="0" w:type="dxa"/>
        <w:tblLayout w:type="fixed"/>
        <w:tblCellMar>
          <w:top w:w="28" w:type="dxa"/>
          <w:left w:w="28" w:type="dxa"/>
          <w:bottom w:w="28" w:type="dxa"/>
          <w:right w:w="28" w:type="dxa"/>
        </w:tblCellMar>
      </w:tblPr>
      <w:tblGrid>
        <w:gridCol w:w="1016"/>
        <w:gridCol w:w="655"/>
        <w:gridCol w:w="657"/>
        <w:gridCol w:w="345"/>
        <w:gridCol w:w="1259"/>
        <w:gridCol w:w="192"/>
        <w:gridCol w:w="109"/>
        <w:gridCol w:w="109"/>
        <w:gridCol w:w="109"/>
        <w:gridCol w:w="364"/>
        <w:gridCol w:w="783"/>
        <w:gridCol w:w="203"/>
        <w:gridCol w:w="109"/>
        <w:gridCol w:w="109"/>
        <w:gridCol w:w="109"/>
        <w:gridCol w:w="505"/>
        <w:gridCol w:w="1047"/>
        <w:gridCol w:w="284"/>
        <w:gridCol w:w="109"/>
        <w:gridCol w:w="109"/>
        <w:gridCol w:w="109"/>
        <w:gridCol w:w="369"/>
        <w:gridCol w:w="1247"/>
        <w:gridCol w:w="298"/>
      </w:tblGrid>
      <w:tr>
        <w:trPr/>
        <w:tc>
          <w:tcPr>
            <w:tcW w:w="101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2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Retirement Benefit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March 31, 2024</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(13,018)</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(12,859)</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(7,717)</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6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(7,734)</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(7,717)</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June 30, 2024</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(20,752)</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(20,576)</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16"/>
        <w:gridCol w:w="655"/>
        <w:gridCol w:w="657"/>
        <w:gridCol w:w="345"/>
        <w:gridCol w:w="1259"/>
        <w:gridCol w:w="192"/>
        <w:gridCol w:w="109"/>
        <w:gridCol w:w="109"/>
        <w:gridCol w:w="109"/>
        <w:gridCol w:w="364"/>
        <w:gridCol w:w="783"/>
        <w:gridCol w:w="203"/>
        <w:gridCol w:w="109"/>
        <w:gridCol w:w="109"/>
        <w:gridCol w:w="109"/>
        <w:gridCol w:w="505"/>
        <w:gridCol w:w="1046"/>
        <w:gridCol w:w="284"/>
        <w:gridCol w:w="109"/>
        <w:gridCol w:w="109"/>
        <w:gridCol w:w="109"/>
        <w:gridCol w:w="369"/>
        <w:gridCol w:w="1247"/>
        <w:gridCol w:w="299"/>
      </w:tblGrid>
      <w:tr>
        <w:trPr/>
        <w:tc>
          <w:tcPr>
            <w:tcW w:w="101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3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Retirement Benefit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2023</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(9,705)</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(9,551)</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(11,025)</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2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6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(11,047)</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(11,025)</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Balance as of June 30, 2024</w:t>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(20,752)</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(20,576)</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r>
        <w:trPr/>
        <w:tc>
          <w:tcPr>
            <w:tcW w:w="2328"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360"/>
        <w:jc w:val="left"/>
        <w:rPr>
          <w:rFonts w:ascii="Times New Roman;serif" w:hAnsi="Times New Roman;serif"/>
          <w:b/>
          <w:color w:val="000000"/>
          <w:sz w:val="20"/>
        </w:rPr>
      </w:pPr>
      <w:r>
        <w:rPr>
          <w:rFonts w:ascii="Times New Roman;serif" w:hAnsi="Times New Roman;serif"/>
          <w:b/>
          <w:color w:val="000000"/>
          <w:sz w:val="20"/>
        </w:rPr>
        <w:t>14. Segment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chief executive officer is our chief operating decision maker, who allocates resources to, and assesses the performance of, each operating segment using information based on factors including client demand and capacity and consolidated net income. Therefore, the Company has determined that it operates in a single operating and reportable segment.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the significant expenses for the Company’s single segment:</w:t>
      </w:r>
    </w:p>
    <w:tbl>
      <w:tblPr>
        <w:tblW w:w="10155" w:type="dxa"/>
        <w:jc w:val="left"/>
        <w:tblInd w:w="0" w:type="dxa"/>
        <w:tblLayout w:type="fixed"/>
        <w:tblCellMar>
          <w:top w:w="28" w:type="dxa"/>
          <w:left w:w="28" w:type="dxa"/>
          <w:bottom w:w="28" w:type="dxa"/>
          <w:right w:w="28" w:type="dxa"/>
        </w:tblCellMar>
      </w:tblPr>
      <w:tblGrid>
        <w:gridCol w:w="1798"/>
        <w:gridCol w:w="1581"/>
        <w:gridCol w:w="1586"/>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79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Personnel costs (Cost of services)</w:t>
            </w:r>
            <w:r>
              <w:rPr>
                <w:rFonts w:ascii="Times New Roman;serif" w:hAnsi="Times New Roman;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costs (Selling, general, and administrative expense)</w:t>
            </w:r>
            <w:r>
              <w:rPr>
                <w:rFonts w:ascii="Times New Roman;serif" w:hAnsi="Times New Roman;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Non-operating costs (Selling, general, and administrative expense)</w:t>
            </w:r>
            <w:r>
              <w:rPr>
                <w:rFonts w:ascii="Times New Roman;serif" w:hAnsi="Times New Roman;serif"/>
                <w:b w:val="false"/>
                <w:color w:val="000000"/>
                <w:sz w:val="12"/>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(Cost of services)</w:t>
            </w:r>
            <w:r>
              <w:rPr>
                <w:rFonts w:ascii="Times New Roman;serif" w:hAnsi="Times New Roman;serif"/>
                <w:b w:val="false"/>
                <w:color w:val="000000"/>
                <w:sz w:val="12"/>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263,724 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507,278 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419,118 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Represents salaries and wages and employee welfare costs, excluding stock-based compensation expense, of employees that can be directly attributed to the delivery of services.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Represents operating costs related to sales and marketing and other administrative departments, including personnel costs, professional fees, travel expenses, cloud-based capabilities, insurance premiums and other corporate expenses.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Represents stock-based compensation expense for cost of services and selling, general and administrative expense, as well as associated payroll tax.</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(4)    Includes operational efficiency costs and transaction costs in 2025 and certain litigation costs that are considered non-recurring and outside of the ordinary course of business in 2024.</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 xml:space="preserve">(5)    Represents other costs that can be directly attributed to delivery of services, including the costs for sites and technology, recruiting, professional development and employee engagement.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the unaudited condensed consolidated financial statements and related notes included in Part I, Item 1 of this Quarterly Report on Form 10-Q (this "Quarterly Report"), the financial statements and related notes included in our Annual Report on Form 10-K for the year ended December 31, 2024 (the "Annual Report"), as filed with the Securities and Exchange Commission (the "SEC") and the information included under “Management’s Discussion and Analysis of Financial Condition and Results of Operations” in the Annual Report.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Note Regarding Forward-Looking Statements" in this Quarterly Report and under Part I, Item 1A, "Risk Factors" in the Annual Report.</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This Quarterly Report includes certain historical consolidated financial and other data for TaskUs, Inc. ("we," "us," "our" or the "Company"). The following discussion provides a narrative of our results of operations and financial condition for the three and six months ended June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are a provider of outsourced digital services and next-generation customer experience to the world's most innovative companies, helping our clients represent, protect and grow their brands. </w:t>
      </w:r>
      <w:r>
        <w:rPr>
          <w:rFonts w:ascii="Times New Roman;serif" w:hAnsi="Times New Roman;serif"/>
          <w:b w:val="false"/>
          <w:color w:val="000000"/>
          <w:sz w:val="20"/>
          <w:shd w:fill="FFFFFF" w:val="clear"/>
        </w:rPr>
        <w:t>We serve our clients by supporting their end customers’ urgent needs, helping them navigate an increasingly-complex compliance landscape, handling sensitive tasks, including online content moderation, and enabling artificial intelligence technology and automation.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global, omnichannel delivery model is focused on providing our clients with three key services – Digital Customer Experience, Trust + Safety, and Artificial Intelligence ("AI") Services.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designed our platform to enable us to rapidly scale and benefit from our clients’ growth. We believe our ability to deliver “ridiculously good” outsourcing will enable us to continue growing our client base. We use our strong reputation and expertise serving the digital economy to attract new innovators and enterprise-class brands looking to transform.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At TaskUs, culture is at the heart of everything we do. Many of the companies operating in the digital economy are well-known for their obsession with creating a world-class employee experience. We believe clients choose TaskUs in part because they view our company culture as aligned with their own, which enables us to act as a natural extension of their brands and gives us an advantage in the recruitment of highly engaged frontline teammates who produce better results.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2025 Developments</w:t>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AI Investments</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clients, including our largest client, have announced automation initiatives which include significant investments in generative AI. In some cases, TaskUs is supporting these initiatives, which may lead to revenue growth in the near term but may ultimately result in the automation of some services that TaskUs currently provides for these clients. We continue to pursue opportunities to transform our business, and create new, enduring revenue streams, in response to these developments. This includes our partnerships with developers of agentic AI technologies to help our clients seamlessly integrate advanced AI technologies into their customer experience operations. While certain of our clients’ initiatives have driven revenue growth in recent quarters, there can be no assurance that our revenue will continue at the same level, or that revenue in other service offerings will not be negatively impacted by our clients automation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Merger Agreement</w:t>
      </w:r>
    </w:p>
    <w:p>
      <w:pPr>
        <w:pStyle w:val="TextBody"/>
        <w:bidi w:val="0"/>
        <w:spacing w:lineRule="auto" w:line="268" w:before="120" w:after="283"/>
        <w:ind w:left="0" w:right="0" w:firstLine="540"/>
        <w:jc w:val="both"/>
        <w:rPr/>
      </w:pPr>
      <w:r>
        <w:rPr>
          <w:rFonts w:ascii="Times New Roman;serif" w:hAnsi="Times New Roman;serif"/>
          <w:b w:val="false"/>
          <w:color w:val="000000"/>
          <w:sz w:val="20"/>
          <w:shd w:fill="FFFFFF" w:val="clear"/>
        </w:rPr>
        <w:t>On May 8, 2025, the Company entered into an Agreement and Plan of Merger (as it may be amended from time to time, the “Merger Agreement”) to be acquired by</w:t>
      </w:r>
      <w:r>
        <w:rPr>
          <w:color w:val="000000"/>
        </w:rPr>
        <w:t xml:space="preserve"> </w:t>
      </w:r>
      <w:r>
        <w:rPr>
          <w:rFonts w:ascii="Times New Roman;serif" w:hAnsi="Times New Roman;serif"/>
          <w:b w:val="false"/>
          <w:color w:val="000000"/>
          <w:sz w:val="20"/>
        </w:rPr>
        <w:t>an affiliate of Blackstone, the Company’s Co-Founder and Chief Executive Officer, Bryce Maddock, and the Company’s Co-Founder and President, Jaspar Weir</w:t>
      </w:r>
      <w:r>
        <w:rPr>
          <w:color w:val="000000"/>
          <w:shd w:fill="FFFFFF" w:val="clear"/>
        </w:rPr>
        <w:t xml:space="preserve"> </w:t>
      </w:r>
      <w:r>
        <w:rPr>
          <w:rFonts w:ascii="Times New Roman;serif" w:hAnsi="Times New Roman;serif"/>
          <w:b w:val="false"/>
          <w:color w:val="000000"/>
          <w:sz w:val="20"/>
          <w:shd w:fill="FFFFFF" w:val="clear"/>
        </w:rPr>
        <w:t>(collectively, the “Buyer Group”), pursuant to which the Buyer Group agreed to acquire 100% of the outstanding shares of the Company’s Class A common stock that it does not already own (the “Merger”). Pursuant to the Merger Agreement and subject to the satisfaction or waiver of certain closing conditions and on the terms set forth therein, Company stockholders are to recei</w:t>
      </w:r>
      <w:r>
        <w:rPr>
          <w:rFonts w:ascii="Times New Roman;serif" w:hAnsi="Times New Roman;serif"/>
          <w:b w:val="false"/>
          <w:color w:val="000000"/>
          <w:sz w:val="20"/>
        </w:rPr>
        <w:t>ve $16.50, in</w:t>
      </w:r>
      <w:r>
        <w:rPr>
          <w:color w:val="000000"/>
          <w:shd w:fill="FFFFFF" w:val="clear"/>
        </w:rPr>
        <w:t xml:space="preserve"> </w:t>
      </w:r>
      <w:r>
        <w:rPr>
          <w:rFonts w:ascii="Times New Roman;serif" w:hAnsi="Times New Roman;serif"/>
          <w:b w:val="false"/>
          <w:color w:val="000000"/>
          <w:sz w:val="20"/>
          <w:shd w:fill="FFFFFF" w:val="clear"/>
        </w:rPr>
        <w:t>cash, per share. The corporation surviving the Merger (the “Surviving Company”) will be collectively owned, directly or indirectly, by (i) BCP FC Aggregator L.P., (ii) The Maddock 2015 Irrevocable Trust, The Bryce Maddock Family Trust, The Maddock 2015 Exempt Irrevocable Trust and Bryce Maddock, (iii) The Weir 2015 Irrevocable Trust, The Jaspar Weir Family Trust, The Weir 2015 Exempt Irrevocable Trust and Jaspar Weir (the stockholders described in clauses (i)-(iii), collectively, the “Continuing Stockholders”) and (iv) the other holders of Continuing Shares (as defined in the Merger Agreement) (if any).</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Completion of the Merger is subject to certain closing conditions and approvals, including the receipt of required regulatory and stockholder approvals (including the approval of the holders of common stock of the Company not owned by the Buyer Group). The Merger Agreement also includes certain covenants of the Company, including with respect to the non-solicitation of alternative acquisition proposals, as well as other customary representations, warranties and covenants by the Company and Breeze Merger Corporation, a Delaware corporation (the “Merger Corporation”). Completion of the Merger is not subject to a financing condition.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1, 2025, the Company filed a preliminary proxy statement with the SEC in connection with a special meeting of the stockholders of the Company to consider and vote on the Merger and related matters. Subsequently, the Company filed an amendment to the preliminary proxy statement on July 31, 2025.</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Merger is expected to close in the second half of 2025. Upon completion, the Company’s common stock will no longer be listed on any public market.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Recent Financial Highlights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we recorded service revenue of $294.1 million, a 23.6% increase from $237.9 million for the three months ended June 30, 2024. For the six months ended June 30, 2025, we recorded service revenue of $571.9 million, a 22.9% increase from $465.4 million for the six months ended June 30, 2024.</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income for the three months ended June 30, 2025 increased to $20.0 million from $12.6 million for the three months ended June 30, 2024. This increase is due primarily to revenue growth, partially offset by higher cost of services and selling, general and administrative expense. Adjusted Net Income for the three months ended June 30, 2025 increased 38.6% to $39.7 million from $28.6 million for the three months ended June 30, 2024. Adjusted EBITDA for the three months ended June 30, 2025 increased 26.7% to $65.0 million from $51.3 million for the three months ended June 30, 2024. Adjusted Net Income and Adjusted EBITDA are non-GAAP financial measures. For definitions and reconciliations to net income, the most directly comparable measure in accordance with GAAP, see "Non-GAAP Financial Measures."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income for the six months ended June 30, 2025 increased to $41.2 million from $24.3 million for the six months ended June 30, 2024. This increase is due primarily to revenue growth, partially offset by higher cost of services and selling, general and administrative expense. Adjusted Net Income for the six months ended June 30, 2025 increased 35.3% to $75.6 million from $55.9 million for the six months ended June 30, 2024. Adjusted EBITDA for the six months ended June 30, 2025 increased 22.0% to $124.2 million from $101.9 million for the six months ended June 30, 2024.</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operating results in any period are not necessarily indicative of the results that may be expected for any future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Comparison of the Three Months Ended June 30, 2025 and 2024</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certain historical consolidated financial information for the three months ended June 30, 2025 and 2024:</w:t>
      </w:r>
    </w:p>
    <w:tbl>
      <w:tblPr>
        <w:tblW w:w="8310" w:type="dxa"/>
        <w:jc w:val="left"/>
        <w:tblInd w:w="0" w:type="dxa"/>
        <w:tblLayout w:type="fixed"/>
        <w:tblCellMar>
          <w:top w:w="28" w:type="dxa"/>
          <w:left w:w="28" w:type="dxa"/>
          <w:bottom w:w="28" w:type="dxa"/>
          <w:right w:w="28" w:type="dxa"/>
        </w:tblCellMar>
      </w:tblPr>
      <w:tblGrid>
        <w:gridCol w:w="1145"/>
        <w:gridCol w:w="1006"/>
        <w:gridCol w:w="1013"/>
        <w:gridCol w:w="196"/>
        <w:gridCol w:w="736"/>
        <w:gridCol w:w="109"/>
        <w:gridCol w:w="109"/>
        <w:gridCol w:w="109"/>
        <w:gridCol w:w="109"/>
        <w:gridCol w:w="196"/>
        <w:gridCol w:w="736"/>
        <w:gridCol w:w="109"/>
        <w:gridCol w:w="109"/>
        <w:gridCol w:w="109"/>
        <w:gridCol w:w="109"/>
        <w:gridCol w:w="232"/>
        <w:gridCol w:w="766"/>
        <w:gridCol w:w="129"/>
        <w:gridCol w:w="129"/>
        <w:gridCol w:w="129"/>
        <w:gridCol w:w="129"/>
        <w:gridCol w:w="269"/>
        <w:gridCol w:w="271"/>
        <w:gridCol w:w="356"/>
      </w:tblGrid>
      <w:tr>
        <w:trPr/>
        <w:tc>
          <w:tcPr>
            <w:tcW w:w="114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56,158 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36,692 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48,518 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7,449 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Service revenue</w:t>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Service revenue by service offering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breakdown of our service revenue by service offering for each period:</w:t>
      </w:r>
    </w:p>
    <w:tbl>
      <w:tblPr>
        <w:tblW w:w="7231" w:type="dxa"/>
        <w:jc w:val="left"/>
        <w:tblInd w:w="0" w:type="dxa"/>
        <w:tblLayout w:type="fixed"/>
        <w:tblCellMar>
          <w:top w:w="28" w:type="dxa"/>
          <w:left w:w="28" w:type="dxa"/>
          <w:bottom w:w="28" w:type="dxa"/>
          <w:right w:w="28" w:type="dxa"/>
        </w:tblCellMar>
      </w:tblPr>
      <w:tblGrid>
        <w:gridCol w:w="781"/>
        <w:gridCol w:w="687"/>
        <w:gridCol w:w="691"/>
        <w:gridCol w:w="196"/>
        <w:gridCol w:w="736"/>
        <w:gridCol w:w="109"/>
        <w:gridCol w:w="109"/>
        <w:gridCol w:w="109"/>
        <w:gridCol w:w="109"/>
        <w:gridCol w:w="196"/>
        <w:gridCol w:w="736"/>
        <w:gridCol w:w="109"/>
        <w:gridCol w:w="109"/>
        <w:gridCol w:w="109"/>
        <w:gridCol w:w="109"/>
        <w:gridCol w:w="232"/>
        <w:gridCol w:w="766"/>
        <w:gridCol w:w="129"/>
        <w:gridCol w:w="129"/>
        <w:gridCol w:w="129"/>
        <w:gridCol w:w="129"/>
        <w:gridCol w:w="233"/>
        <w:gridCol w:w="233"/>
        <w:gridCol w:w="356"/>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Digital Customer Experience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 Safety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17,385 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AI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294,086 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56,158 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pPr>
      <w:r>
        <w:rPr>
          <w:rFonts w:ascii="Times New Roman;serif" w:hAnsi="Times New Roman;serif"/>
          <w:b w:val="false"/>
          <w:i/>
          <w:color w:val="000000"/>
          <w:sz w:val="20"/>
        </w:rPr>
        <w:t>Digital Customer Experience</w:t>
      </w:r>
      <w:r>
        <w:rPr>
          <w:color w:val="000000"/>
        </w:rPr>
        <w:t xml:space="preserve"> </w:t>
      </w:r>
      <w:r>
        <w:rPr>
          <w:rFonts w:ascii="Times New Roman;serif" w:hAnsi="Times New Roman;serif"/>
          <w:b w:val="false"/>
          <w:color w:val="000000"/>
          <w:sz w:val="20"/>
        </w:rPr>
        <w:t>was primarily driven by an increase from existing clients, including Technology, Healthcare and Financial Services, partially offset by a decrease in On Demand Travel + Transportation. The remaining increase was primarily driven by new clients in Technology.</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Trust + Safety</w:t>
      </w:r>
      <w:r>
        <w:rPr>
          <w:color w:val="000000"/>
        </w:rPr>
        <w:t xml:space="preserve"> </w:t>
      </w:r>
      <w:r>
        <w:rPr>
          <w:rFonts w:ascii="Times New Roman;serif" w:hAnsi="Times New Roman;serif"/>
          <w:b w:val="false"/>
          <w:color w:val="000000"/>
          <w:sz w:val="20"/>
        </w:rPr>
        <w:t>was primarily driven by an increase from existing clients, primarily in Social Media, partially offset by a decrease in On Demand Travel + Transportation.</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AI Services</w:t>
      </w:r>
      <w:r>
        <w:rPr>
          <w:color w:val="000000"/>
        </w:rPr>
        <w:t xml:space="preserve"> </w:t>
      </w:r>
      <w:r>
        <w:rPr>
          <w:rFonts w:ascii="Times New Roman;serif" w:hAnsi="Times New Roman;serif"/>
          <w:b w:val="false"/>
          <w:color w:val="000000"/>
          <w:sz w:val="20"/>
        </w:rPr>
        <w:t>was primarily driven by an increase from existing clients, primarily in Social Media and On Demand Travel + Transportation, as well as new clients in Social Media.</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Service revenue by delivery geography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deliver our services from multiple locations around the world; however, the majority of our service revenues are derived from contracts that require payment in United States dollars, regardless of whether the clients are located in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breakdown of our service revenue by geographical location, based on where the services are provided, for each period:</w:t>
      </w:r>
    </w:p>
    <w:tbl>
      <w:tblPr>
        <w:tblW w:w="6902" w:type="dxa"/>
        <w:jc w:val="left"/>
        <w:tblInd w:w="0" w:type="dxa"/>
        <w:tblLayout w:type="fixed"/>
        <w:tblCellMar>
          <w:top w:w="28" w:type="dxa"/>
          <w:left w:w="28" w:type="dxa"/>
          <w:bottom w:w="28" w:type="dxa"/>
          <w:right w:w="28" w:type="dxa"/>
        </w:tblCellMar>
      </w:tblPr>
      <w:tblGrid>
        <w:gridCol w:w="662"/>
        <w:gridCol w:w="582"/>
        <w:gridCol w:w="586"/>
        <w:gridCol w:w="196"/>
        <w:gridCol w:w="736"/>
        <w:gridCol w:w="109"/>
        <w:gridCol w:w="109"/>
        <w:gridCol w:w="109"/>
        <w:gridCol w:w="109"/>
        <w:gridCol w:w="196"/>
        <w:gridCol w:w="736"/>
        <w:gridCol w:w="109"/>
        <w:gridCol w:w="109"/>
        <w:gridCol w:w="109"/>
        <w:gridCol w:w="109"/>
        <w:gridCol w:w="232"/>
        <w:gridCol w:w="766"/>
        <w:gridCol w:w="129"/>
        <w:gridCol w:w="129"/>
        <w:gridCol w:w="129"/>
        <w:gridCol w:w="129"/>
        <w:gridCol w:w="233"/>
        <w:gridCol w:w="233"/>
        <w:gridCol w:w="356"/>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Philippines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19,538 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56,158 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pPr>
      <w:r>
        <w:rPr>
          <w:rFonts w:ascii="Times New Roman;serif" w:hAnsi="Times New Roman;serif"/>
          <w:b w:val="false"/>
          <w:i/>
          <w:color w:val="000000"/>
          <w:sz w:val="20"/>
        </w:rPr>
        <w:t>Philippines:</w:t>
      </w:r>
      <w:r>
        <w:rPr>
          <w:color w:val="000000"/>
        </w:rPr>
        <w:t xml:space="preserve"> </w:t>
      </w:r>
      <w:r>
        <w:rPr>
          <w:rFonts w:ascii="Times New Roman;serif" w:hAnsi="Times New Roman;serif"/>
          <w:b w:val="false"/>
          <w:color w:val="000000"/>
          <w:sz w:val="20"/>
        </w:rPr>
        <w:t>AI Services contributed 8.1% of the total increase primarily driven by clients in Social Media and On Demand Travel + Transportation. Digital Customer Experience contributed 5.8% of the total increase primarily driven by clients in Technology, Financial Services and Healthcare, partially offset by clients in On Demand Travel + Transportation and Retail + E-Commerce. Trust + Safety contributed 1.9% of the total increase primarily driven by clients in Social Media.</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United States:</w:t>
      </w:r>
      <w:r>
        <w:rPr>
          <w:color w:val="000000"/>
        </w:rPr>
        <w:t xml:space="preserve"> </w:t>
      </w:r>
      <w:r>
        <w:rPr>
          <w:rFonts w:ascii="Times New Roman;serif" w:hAnsi="Times New Roman;serif"/>
          <w:b w:val="false"/>
          <w:color w:val="000000"/>
          <w:sz w:val="20"/>
        </w:rPr>
        <w:t>AI Services contributed 23.9% of the total increase primarily driven by clients in Social Media and On Demand Travel + Transportation. Trust + Safety contributed 4.9% of the total increase primarily driven by clients in Social Media. The increase was partially offset by a 0.6% decrease contributed by Digital Customer Experience primarily driven by clients in Technology, partially offset by clients in On Demand Travel + Transportation.</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India:</w:t>
      </w:r>
      <w:r>
        <w:rPr>
          <w:color w:val="000000"/>
        </w:rPr>
        <w:t xml:space="preserve"> </w:t>
      </w:r>
      <w:r>
        <w:rPr>
          <w:rFonts w:ascii="Times New Roman;serif" w:hAnsi="Times New Roman;serif"/>
          <w:b w:val="false"/>
          <w:color w:val="000000"/>
          <w:sz w:val="20"/>
        </w:rPr>
        <w:t>Digital Customer Experience contributed 20.3% of the total increase primarily driven by clients in Retail + E-Commerce and On Demand Travel + Transportation. AI Services contributed 10.6% of the total increase primarily driven by clients in Social Media. The increase was partially offset by a 5.1% decrease contributed by Trust + Safety primarily driven by clients in On Demand Travel + Transportation.</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Rest of World: </w:t>
      </w:r>
      <w:r>
        <w:rPr>
          <w:rFonts w:ascii="Times New Roman;serif" w:hAnsi="Times New Roman;serif"/>
          <w:b w:val="false"/>
          <w:color w:val="000000"/>
          <w:sz w:val="20"/>
        </w:rPr>
        <w:t>Trust + Safety contributed 33.4% of the total increase primarily driven by clients in Social Media. Digital Customer Experience contributed 6.5% of the total increase primarily driven by clients in Technology and Financial Services, partially offset by clients in On Demand Travel + Transportation. AI Services contributed 3.6% of the total increase primarily driven by Social Media. Growth in the Rest of World was led by Latin America and Europe.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Cost of services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was primarily driven by higher personnel costs of $32.5 million associated with increased headcount. The remaining increase included facilities costs associated with site expansion.</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was primarily driven by transaction costs of $10.2 million and operational efficiency costs of $0.9 million. The remaining increase includes higher personnel costs of $1.9 million associated with increased headcount, including a $2.6 million reduction in stock-based compensation expense. These increases were partially offset by a reduction of litigation costs of $2.3 million.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Changes are driven by our exposure to foreign currency exchange risk resulting from our operations in foreign geographies, primarily the Philippines, including economic hedges using foreign currency exchange rate forward contracts. See Part I, Item 3., "Quantitative and Qualitative Disclosures About Market Risk" in this Quarterly Report for additional information on how foreign currency impacts our financial results.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Financing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Changes in financing expense are primarily driven by payments on long-term debt and the rate of SOFR used to calculate the interest rate of our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three months ended June 30, 2025 and 2024 was 25.9% and 36.8%, respectively. Costs related to the issuance of stock-based compensation, operational efficiency costs, litigation costs, transactions costs and severance within the provision for income taxes calculation are adjusted for Non-GAAP purposes. If those costs are removed, the provision for income taxes would have been $12.1 million and $8.5 million and the effective tax rate would have been 25.8% and 25.5% for the three months ended June 30, 2025 and 2024, respectively.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Comparison of the Six Months Ended June 30, 2025 and 2024</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certain historical consolidated financial information for the six months ended June 30, 2025 and 2024:</w:t>
      </w:r>
    </w:p>
    <w:tbl>
      <w:tblPr>
        <w:tblW w:w="8323" w:type="dxa"/>
        <w:jc w:val="left"/>
        <w:tblInd w:w="0" w:type="dxa"/>
        <w:tblLayout w:type="fixed"/>
        <w:tblCellMar>
          <w:top w:w="28" w:type="dxa"/>
          <w:left w:w="28" w:type="dxa"/>
          <w:bottom w:w="28" w:type="dxa"/>
          <w:right w:w="28" w:type="dxa"/>
        </w:tblCellMar>
      </w:tblPr>
      <w:tblGrid>
        <w:gridCol w:w="1145"/>
        <w:gridCol w:w="1006"/>
        <w:gridCol w:w="1013"/>
        <w:gridCol w:w="196"/>
        <w:gridCol w:w="736"/>
        <w:gridCol w:w="109"/>
        <w:gridCol w:w="109"/>
        <w:gridCol w:w="109"/>
        <w:gridCol w:w="109"/>
        <w:gridCol w:w="196"/>
        <w:gridCol w:w="736"/>
        <w:gridCol w:w="109"/>
        <w:gridCol w:w="109"/>
        <w:gridCol w:w="109"/>
        <w:gridCol w:w="109"/>
        <w:gridCol w:w="221"/>
        <w:gridCol w:w="831"/>
        <w:gridCol w:w="123"/>
        <w:gridCol w:w="123"/>
        <w:gridCol w:w="123"/>
        <w:gridCol w:w="123"/>
        <w:gridCol w:w="269"/>
        <w:gridCol w:w="271"/>
        <w:gridCol w:w="339"/>
      </w:tblGrid>
      <w:tr>
        <w:trPr/>
        <w:tc>
          <w:tcPr>
            <w:tcW w:w="114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106,480 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72,462 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disposal of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88,160 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16,883 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Service revenue</w:t>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Service revenue by service offering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breakdown of our service revenue by service offering for each period:</w:t>
      </w:r>
    </w:p>
    <w:tbl>
      <w:tblPr>
        <w:tblW w:w="7244" w:type="dxa"/>
        <w:jc w:val="left"/>
        <w:tblInd w:w="0" w:type="dxa"/>
        <w:tblLayout w:type="fixed"/>
        <w:tblCellMar>
          <w:top w:w="28" w:type="dxa"/>
          <w:left w:w="28" w:type="dxa"/>
          <w:bottom w:w="28" w:type="dxa"/>
          <w:right w:w="28" w:type="dxa"/>
        </w:tblCellMar>
      </w:tblPr>
      <w:tblGrid>
        <w:gridCol w:w="781"/>
        <w:gridCol w:w="687"/>
        <w:gridCol w:w="691"/>
        <w:gridCol w:w="196"/>
        <w:gridCol w:w="736"/>
        <w:gridCol w:w="109"/>
        <w:gridCol w:w="109"/>
        <w:gridCol w:w="109"/>
        <w:gridCol w:w="109"/>
        <w:gridCol w:w="196"/>
        <w:gridCol w:w="736"/>
        <w:gridCol w:w="109"/>
        <w:gridCol w:w="109"/>
        <w:gridCol w:w="109"/>
        <w:gridCol w:w="109"/>
        <w:gridCol w:w="221"/>
        <w:gridCol w:w="831"/>
        <w:gridCol w:w="123"/>
        <w:gridCol w:w="123"/>
        <w:gridCol w:w="123"/>
        <w:gridCol w:w="123"/>
        <w:gridCol w:w="233"/>
        <w:gridCol w:w="233"/>
        <w:gridCol w:w="339"/>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Digital Customer Experience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33,101 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 Safety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34,573 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AI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38,806 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571,878 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465,398 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106,480 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pPr>
      <w:r>
        <w:rPr>
          <w:rFonts w:ascii="Times New Roman;serif" w:hAnsi="Times New Roman;serif"/>
          <w:b w:val="false"/>
          <w:i/>
          <w:color w:val="000000"/>
          <w:sz w:val="20"/>
        </w:rPr>
        <w:t>Digital Customer Experience</w:t>
      </w:r>
      <w:r>
        <w:rPr>
          <w:color w:val="000000"/>
        </w:rPr>
        <w:t xml:space="preserve"> </w:t>
      </w:r>
      <w:r>
        <w:rPr>
          <w:rFonts w:ascii="Times New Roman;serif" w:hAnsi="Times New Roman;serif"/>
          <w:b w:val="false"/>
          <w:color w:val="000000"/>
          <w:sz w:val="20"/>
        </w:rPr>
        <w:t>was primarily driven by an increase from existing clients, including Technology, Financial Services and Professional Services + Industry, partially offset by a decrease in On Demand Travel + Transportation. The remaining increase was primarily driven by new clients in Technology and Healthcare.</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Trust + Safety</w:t>
      </w:r>
      <w:r>
        <w:rPr>
          <w:color w:val="000000"/>
        </w:rPr>
        <w:t xml:space="preserve"> </w:t>
      </w:r>
      <w:r>
        <w:rPr>
          <w:rFonts w:ascii="Times New Roman;serif" w:hAnsi="Times New Roman;serif"/>
          <w:b w:val="false"/>
          <w:color w:val="000000"/>
          <w:sz w:val="20"/>
        </w:rPr>
        <w:t>was primarily driven by an increase from existing clients, primarily in Social Media, partially offset by On Demand Travel + Transportation.</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AI Services</w:t>
      </w:r>
      <w:r>
        <w:rPr>
          <w:color w:val="000000"/>
        </w:rPr>
        <w:t xml:space="preserve"> </w:t>
      </w:r>
      <w:r>
        <w:rPr>
          <w:rFonts w:ascii="Times New Roman;serif" w:hAnsi="Times New Roman;serif"/>
          <w:b w:val="false"/>
          <w:color w:val="000000"/>
          <w:sz w:val="20"/>
        </w:rPr>
        <w:t>was primarily driven by an increase from existing clients, primarily in Social Media, as well as new clients in Social Media.</w:t>
      </w:r>
    </w:p>
    <w:p>
      <w:pPr>
        <w:pStyle w:val="TextBody"/>
        <w:bidi w:val="0"/>
        <w:spacing w:lineRule="auto" w:line="288" w:before="12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Service revenue by delivery geography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deliver our services from multiple locations around the world; however, the majority of our service revenues are derived from contracts that require payment in United States dollars, regardless of whether the clients are located in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breakdown of our service revenue by geographical location, based on where the services are provided, for each period:</w:t>
      </w:r>
    </w:p>
    <w:tbl>
      <w:tblPr>
        <w:tblW w:w="6915" w:type="dxa"/>
        <w:jc w:val="left"/>
        <w:tblInd w:w="0" w:type="dxa"/>
        <w:tblLayout w:type="fixed"/>
        <w:tblCellMar>
          <w:top w:w="28" w:type="dxa"/>
          <w:left w:w="28" w:type="dxa"/>
          <w:bottom w:w="28" w:type="dxa"/>
          <w:right w:w="28" w:type="dxa"/>
        </w:tblCellMar>
      </w:tblPr>
      <w:tblGrid>
        <w:gridCol w:w="662"/>
        <w:gridCol w:w="582"/>
        <w:gridCol w:w="586"/>
        <w:gridCol w:w="196"/>
        <w:gridCol w:w="736"/>
        <w:gridCol w:w="109"/>
        <w:gridCol w:w="109"/>
        <w:gridCol w:w="109"/>
        <w:gridCol w:w="109"/>
        <w:gridCol w:w="196"/>
        <w:gridCol w:w="736"/>
        <w:gridCol w:w="109"/>
        <w:gridCol w:w="109"/>
        <w:gridCol w:w="109"/>
        <w:gridCol w:w="109"/>
        <w:gridCol w:w="221"/>
        <w:gridCol w:w="831"/>
        <w:gridCol w:w="123"/>
        <w:gridCol w:w="123"/>
        <w:gridCol w:w="123"/>
        <w:gridCol w:w="123"/>
        <w:gridCol w:w="233"/>
        <w:gridCol w:w="233"/>
        <w:gridCol w:w="339"/>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Philippines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42,387 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35,206 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571,878 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465,398 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106,480 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Philippines: </w:t>
      </w:r>
      <w:r>
        <w:rPr>
          <w:rFonts w:ascii="Times New Roman;serif" w:hAnsi="Times New Roman;serif"/>
          <w:b w:val="false"/>
          <w:color w:val="000000"/>
          <w:sz w:val="20"/>
        </w:rPr>
        <w:t xml:space="preserve">Digital Customer Experience contributed 6.5% of the total increase primarily driven by clients in Technology, Financial Services and Healthcare, partially offset by clients in Retail + E-Commerce and On Demand Travel + Transportation. AI Services contributed 6.3% of the total increase primarily driven by clients in Social Media and On Demand Travel + Transportation. Trust + Safety contributed 2.9% of the total increase primarily driven by clients in Social Media, partially offset by clients in Financial Services.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United States: </w:t>
      </w:r>
      <w:r>
        <w:rPr>
          <w:rFonts w:ascii="Times New Roman;serif" w:hAnsi="Times New Roman;serif"/>
          <w:b w:val="false"/>
          <w:color w:val="000000"/>
          <w:sz w:val="20"/>
        </w:rPr>
        <w:t xml:space="preserve">AI Services contributed 24.5% of the total increase primarily driven by clients in Social Media. Trust + Safety contributed 5.6% of the total increase primarily driven by clients in Social Media. These increases were partially offset by a 1.1% decrease contributed by Digital Customer Experience primarily driven by clients in Technology, partially offset by clients in On Demand Travel + Transportation. </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India: </w:t>
      </w:r>
      <w:r>
        <w:rPr>
          <w:rFonts w:ascii="Times New Roman;serif" w:hAnsi="Times New Roman;serif"/>
          <w:b w:val="false"/>
          <w:color w:val="000000"/>
          <w:sz w:val="20"/>
        </w:rPr>
        <w:t>Digital Customer Experience contributed 15.9% of the total increase primarily driven by clients in Retail + E-Commerce, On Demand Travel + Transportation and Healthcare, partially offset by clients in Financial Services. AI Services contributed 11.3% of the total increase primarily driven by clients in Social Media. These increases were partially offset by a 3.0% decrease contributed by Trust + Safety primarily driven by clients On Demand Travel + Transportation, partially offset by clients in Retail + E-Commerce.</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Rest of World: </w:t>
      </w:r>
      <w:r>
        <w:rPr>
          <w:rFonts w:ascii="Times New Roman;serif" w:hAnsi="Times New Roman;serif"/>
          <w:b w:val="false"/>
          <w:color w:val="000000"/>
          <w:sz w:val="20"/>
        </w:rPr>
        <w:t>Trust + Safety contributed 29.6% of the total increase primarily driven by clients in Social Media. Digital Customer Experience contributed 7.8% of the total increase primarily driven by clients in Technology and Professional Services + Industry, partially offset by clients in On Demand Travel + Transportation. AI Services contributed 3.2% of the total increase primarily driven by clients in Social Media. Growth in the Rest of World was led by Latin America and Europe.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Cost of services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was primarily driven by higher personnel costs of $59.7 million associated with increased headcount. The remaining increase included facilities costs associated with site expansion.</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was primarily driven by transaction costs of $10.2 million and operational efficiency costs of $1.2 million. The remaining increase includes higher personnel costs of $5.0 million associated with increased headcount, including a $3.6 million reduction in stock-based compensation expense, and employee engagement expenses. These increases were partially offset by a reduction of litigation costs of $2.6 million.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Changes are primarily driven by our exposure to foreign currency exchange risk resulting from our operations in foreign geographies, primarily the Philippines, offset by economic hedges using foreign currency exchange rate forward contracts. The remaining increase is associated with higher interest income. See Part I, Item 3., "Quantitative and Qualitative Disclosures About Market Risk" in this Quarterly Report for additional information on how foreign currency impacts our financial results.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Financing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Changes in financing expense are primarily driven by payments on long-term debt and the rate of SOFR used to calculate the interest rate of our debt.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six months ended June 30, 2025 and 2024 was 27.5% and 36.3%, respectively. Costs related to the issuance of stock-based compensation, operational efficiency costs, litigation costs, transactions costs and severance within the provision for income taxes calculation are adjusted for Non-GAAP purposes. If those costs are removed, the provision for income taxes would have been $22.3 million and $16.6 million and the effective tax rate would have been 25.7% and 26.4% for the six months ended June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Revenue by Top Clients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sets forth the percentage of our total service revenue derived from our largest clients for the three and six months ended June 30, 2025 and 2024:</w:t>
      </w:r>
    </w:p>
    <w:tbl>
      <w:tblPr>
        <w:tblW w:w="6034" w:type="dxa"/>
        <w:jc w:val="left"/>
        <w:tblInd w:w="0" w:type="dxa"/>
        <w:tblLayout w:type="fixed"/>
        <w:tblCellMar>
          <w:top w:w="28" w:type="dxa"/>
          <w:left w:w="28" w:type="dxa"/>
          <w:bottom w:w="28" w:type="dxa"/>
          <w:right w:w="28" w:type="dxa"/>
        </w:tblCellMar>
      </w:tblPr>
      <w:tblGrid>
        <w:gridCol w:w="517"/>
        <w:gridCol w:w="451"/>
        <w:gridCol w:w="456"/>
        <w:gridCol w:w="189"/>
        <w:gridCol w:w="189"/>
        <w:gridCol w:w="445"/>
        <w:gridCol w:w="189"/>
        <w:gridCol w:w="189"/>
        <w:gridCol w:w="189"/>
        <w:gridCol w:w="189"/>
        <w:gridCol w:w="189"/>
        <w:gridCol w:w="445"/>
        <w:gridCol w:w="109"/>
        <w:gridCol w:w="109"/>
        <w:gridCol w:w="109"/>
        <w:gridCol w:w="171"/>
        <w:gridCol w:w="171"/>
        <w:gridCol w:w="401"/>
        <w:gridCol w:w="171"/>
        <w:gridCol w:w="171"/>
        <w:gridCol w:w="171"/>
        <w:gridCol w:w="171"/>
        <w:gridCol w:w="171"/>
        <w:gridCol w:w="472"/>
      </w:tblGrid>
      <w:tr>
        <w:trPr/>
        <w:tc>
          <w:tcPr>
            <w:tcW w:w="51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Top ten clients</w:t>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Top twenty clients</w:t>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and 2024, we generated 26% and 20%, respectively, of our service revenue from our largest client. For the six months ended June 30, 2025 and 2024, we generated 26% and 20%, respectively, of our service revenue from our largest client.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Many of our clients are part of the rapidly growing digital economy and they rely on our suite of digital solutions to drive their continued success. For our existing clients, we benefit from our ability to cross sell new solutions and provide service in multiple geographies, further deepening our entrenchment. We continue to identify and target high growth industry verticals and clients. Our strategy is to win new clients and further grow with our existing ones in order to achieve meaningful client and revenue diversification over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Foreign Currency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a global company, we face exposure to movements in foreign currency exchange rates. Fluctuations in foreign currencies impact the amount of total assets, liabilities, revenue, operating expenses and cash flows that we report for our foreign subsidiaries upon the translation of these amounts into U.S. dollars. See Part I, Item 3., "Quantitative and Qualitative Disclosures About Market Risk" in this Quarterly Report for additional information on how foreign currency impacts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use Adjusted Net Income, Adjusted Earnings Per Share ("EPS"), EBITDA, Adjusted EBITDA, Free Cash Flow and Conversion of Adjusted EBITDA to Free Cash Flow, as key measures to assess the performance of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Each of the measures are not recognized under accounting principles generally accepted in the United States of America ("GAAP") and do not purport to be an alternative to net income or cash flow as a measure of our performance. Such measures have limitations as analytical tools, and you should not consider any of such measures in isolation or as substitutes for our results as reported under GAAP. Additionally, Adjusted Net Income, Adjusted EPS, EBITDA, and Adjusted EBITDA exclude items that can have a significant effect on our profit or loss and should, therefore, be used in conjunction with profit or loss for the period. Our management compensates for the limitations of using non-GAAP financial measures by using them to supplement GAAP results to provide a more complete understanding of the factors and trends affecting the business than GAAP results alone. Because not all companies use identical calculations, these measures may not be comparable to other similarly titled measures of other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Adjusted Net Income</w:t>
      </w:r>
    </w:p>
    <w:p>
      <w:pPr>
        <w:pStyle w:val="TextBody"/>
        <w:bidi w:val="0"/>
        <w:spacing w:lineRule="auto" w:line="288" w:before="120" w:after="283"/>
        <w:ind w:left="0" w:right="0" w:firstLine="540"/>
        <w:jc w:val="both"/>
        <w:rPr/>
      </w:pPr>
      <w:r>
        <w:rPr>
          <w:rFonts w:ascii="Times New Roman;serif" w:hAnsi="Times New Roman;serif"/>
          <w:b w:val="false"/>
          <w:color w:val="000000"/>
          <w:sz w:val="20"/>
        </w:rPr>
        <w:t>Adjusted Net Income is a non-GAAP profitability measure that represents net income or loss for the period before the impact of amortization of intangible assets and certain items that are considered to hinder comparison of the performance of our businesses on a period-over-period basis or with other businesses. During the periods presented, we excluded from Adjusted Net Income amortization of intangible assets</w:t>
      </w:r>
      <w:r>
        <w:rPr>
          <w:rFonts w:ascii="Times New Roman;serif" w:hAnsi="Times New Roman;serif"/>
          <w:b w:val="false"/>
          <w:color w:val="000000"/>
          <w:sz w:val="20"/>
          <w:shd w:fill="FFFFFF" w:val="clear"/>
        </w:rPr>
        <w:t>, transaction costs, operational efficiency costs</w:t>
      </w:r>
      <w:r>
        <w:rPr>
          <w:rFonts w:ascii="Times New Roman;serif" w:hAnsi="Times New Roman;serif"/>
          <w:b w:val="false"/>
          <w:color w:val="000000"/>
          <w:sz w:val="20"/>
        </w:rPr>
        <w:t>, the effect of foreign currency gains and losses, gains and losses on disposals of assets, certain severance costs, certain non-recurring litigation costs, stock-based compensation expense and associated employer payroll tax and the related effect on income taxes of certain pre-tax adjustments, which include costs that are required to be expensed in accordance with GAAP. Our management believes that the inclusion of supplementary adjustments to net income applied in presenting Adjusted Net Income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the most directly comparable GAAP measure, to Adjusted Net Income for the three months ended June 30, 2025 and 2024:</w:t>
      </w:r>
    </w:p>
    <w:tbl>
      <w:tblPr>
        <w:tblW w:w="8125" w:type="dxa"/>
        <w:jc w:val="left"/>
        <w:tblInd w:w="0" w:type="dxa"/>
        <w:tblLayout w:type="fixed"/>
        <w:tblCellMar>
          <w:top w:w="28" w:type="dxa"/>
          <w:left w:w="28" w:type="dxa"/>
          <w:bottom w:w="28" w:type="dxa"/>
          <w:right w:w="28" w:type="dxa"/>
        </w:tblCellMar>
      </w:tblPr>
      <w:tblGrid>
        <w:gridCol w:w="1004"/>
        <w:gridCol w:w="882"/>
        <w:gridCol w:w="889"/>
        <w:gridCol w:w="196"/>
        <w:gridCol w:w="646"/>
        <w:gridCol w:w="256"/>
        <w:gridCol w:w="109"/>
        <w:gridCol w:w="109"/>
        <w:gridCol w:w="109"/>
        <w:gridCol w:w="196"/>
        <w:gridCol w:w="646"/>
        <w:gridCol w:w="256"/>
        <w:gridCol w:w="109"/>
        <w:gridCol w:w="109"/>
        <w:gridCol w:w="109"/>
        <w:gridCol w:w="232"/>
        <w:gridCol w:w="766"/>
        <w:gridCol w:w="129"/>
        <w:gridCol w:w="129"/>
        <w:gridCol w:w="129"/>
        <w:gridCol w:w="129"/>
        <w:gridCol w:w="314"/>
        <w:gridCol w:w="316"/>
        <w:gridCol w:w="356"/>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20,047 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Transaction costs</w:t>
            </w:r>
            <w:r>
              <w:rPr>
                <w:rFonts w:ascii="Times New Roman;serif" w:hAnsi="Times New Roman;serif"/>
                <w:b w:val="false"/>
                <w:color w:val="000000"/>
                <w:sz w:val="12"/>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Operational efficiency costs</w:t>
            </w:r>
            <w:r>
              <w:rPr>
                <w:rFonts w:ascii="Times New Roman;serif" w:hAnsi="Times New Roman;serif"/>
                <w:b w:val="false"/>
                <w:color w:val="000000"/>
                <w:sz w:val="12"/>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Foreign currency losses (gains)</w:t>
            </w:r>
            <w:r>
              <w:rPr>
                <w:rFonts w:ascii="Times New Roman;serif" w:hAnsi="Times New Roman;serif"/>
                <w:b w:val="false"/>
                <w:color w:val="000000"/>
                <w:sz w:val="12"/>
              </w:rPr>
              <w:t>(3)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Severance costs</w:t>
            </w:r>
            <w:r>
              <w:rPr>
                <w:rFonts w:ascii="Times New Roman;serif" w:hAnsi="Times New Roman;serif"/>
                <w:b w:val="false"/>
                <w:color w:val="000000"/>
                <w:sz w:val="12"/>
              </w:rPr>
              <w:t>(4)</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Litigation costs</w:t>
            </w:r>
            <w:r>
              <w:rPr>
                <w:rFonts w:ascii="Times New Roman;serif" w:hAnsi="Times New Roman;serif"/>
                <w:b w:val="false"/>
                <w:color w:val="000000"/>
                <w:sz w:val="12"/>
              </w:rPr>
              <w:t>(5)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Tax impacts of adjustments</w:t>
            </w:r>
            <w:r>
              <w:rPr>
                <w:rFonts w:ascii="Times New Roman;serif" w:hAnsi="Times New Roman;serif"/>
                <w:b w:val="false"/>
                <w:color w:val="000000"/>
                <w:sz w:val="12"/>
              </w:rPr>
              <w:t>(7)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330.0 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39,697 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28,635 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Margin</w:t>
            </w:r>
            <w:r>
              <w:rPr>
                <w:rFonts w:ascii="Times New Roman;serif" w:hAnsi="Times New Roman;serif"/>
                <w:b w:val="false"/>
                <w:color w:val="000000"/>
                <w:sz w:val="12"/>
              </w:rPr>
              <w:t>(8)</w:t>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Net Income Margin</w:t>
            </w:r>
            <w:r>
              <w:rPr>
                <w:rFonts w:ascii="Times New Roman;serif" w:hAnsi="Times New Roman;serif"/>
                <w:b w:val="false"/>
                <w:color w:val="000000"/>
                <w:sz w:val="12"/>
              </w:rPr>
              <w:t>(8)</w:t>
            </w:r>
          </w:p>
        </w:tc>
        <w:tc>
          <w:tcPr>
            <w:tcW w:w="84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(1) Represents non-recurring professional service fees related to the take-private transaction that have been expensed during the period.</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(2) Represents professional service fees related to certain efforts to enhance efficiency of client delivery and operations support.</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Realized and unrealized foreign currency losses and gains include the effect of fair market value changes of forward contracts not designated as hedging instruments and remeasurement of U.S. dollar-denominated accounts to foreign currency.</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(4) Represents severance payments as a result of certain cost optimization measures we undertook during the period to restructure support roles.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(5) Represents only those litigation costs that are considered non-recurring and outside of the ordinary course of business.</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(6) Represents stock-based compensation expense, as well as associated payroll tax.</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(7) Represents tax impacts of adjustments to net income which resulted in a tax benefit during the period, including stock-based compensation expense, transaction costs, operational efficiency costs, and litigation costs. After these adjustments, we applied a non-GAAP effective tax rate of 25.8% and 25.5% for the three months ended June 30, 2025 and 2024, respectively, to non-GAAP income before income taxes.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(8) Net Income Margin represents net income divided by service revenue and Adjusted Net Income Margin represents Adjusted Net Income divided by service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the most directly comparable GAAP measure, to Adjusted Net Income for the six months ended June 30, 2025 and 2024:</w:t>
      </w:r>
    </w:p>
    <w:tbl>
      <w:tblPr>
        <w:tblW w:w="8125" w:type="dxa"/>
        <w:jc w:val="left"/>
        <w:tblInd w:w="0" w:type="dxa"/>
        <w:tblLayout w:type="fixed"/>
        <w:tblCellMar>
          <w:top w:w="28" w:type="dxa"/>
          <w:left w:w="28" w:type="dxa"/>
          <w:bottom w:w="28" w:type="dxa"/>
          <w:right w:w="28" w:type="dxa"/>
        </w:tblCellMar>
      </w:tblPr>
      <w:tblGrid>
        <w:gridCol w:w="1004"/>
        <w:gridCol w:w="882"/>
        <w:gridCol w:w="889"/>
        <w:gridCol w:w="196"/>
        <w:gridCol w:w="646"/>
        <w:gridCol w:w="256"/>
        <w:gridCol w:w="109"/>
        <w:gridCol w:w="109"/>
        <w:gridCol w:w="109"/>
        <w:gridCol w:w="196"/>
        <w:gridCol w:w="646"/>
        <w:gridCol w:w="256"/>
        <w:gridCol w:w="109"/>
        <w:gridCol w:w="109"/>
        <w:gridCol w:w="109"/>
        <w:gridCol w:w="232"/>
        <w:gridCol w:w="766"/>
        <w:gridCol w:w="129"/>
        <w:gridCol w:w="129"/>
        <w:gridCol w:w="129"/>
        <w:gridCol w:w="129"/>
        <w:gridCol w:w="314"/>
        <w:gridCol w:w="316"/>
        <w:gridCol w:w="356"/>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41,195 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24,312 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16,883 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Transaction costs</w:t>
            </w:r>
            <w:r>
              <w:rPr>
                <w:rFonts w:ascii="Times New Roman;serif" w:hAnsi="Times New Roman;serif"/>
                <w:b w:val="false"/>
                <w:color w:val="000000"/>
                <w:sz w:val="12"/>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Operational efficiency costs</w:t>
            </w:r>
            <w:r>
              <w:rPr>
                <w:rFonts w:ascii="Times New Roman;serif" w:hAnsi="Times New Roman;serif"/>
                <w:b w:val="false"/>
                <w:color w:val="000000"/>
                <w:sz w:val="12"/>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Foreign currency losses (gains)</w:t>
            </w:r>
            <w:r>
              <w:rPr>
                <w:rFonts w:ascii="Times New Roman;serif" w:hAnsi="Times New Roman;serif"/>
                <w:b w:val="false"/>
                <w:color w:val="000000"/>
                <w:sz w:val="12"/>
              </w:rPr>
              <w:t>(3)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disposal of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Severance costs</w:t>
            </w:r>
            <w:r>
              <w:rPr>
                <w:rFonts w:ascii="Times New Roman;serif" w:hAnsi="Times New Roman;serif"/>
                <w:b w:val="false"/>
                <w:color w:val="000000"/>
                <w:sz w:val="12"/>
              </w:rPr>
              <w:t>(4)</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Litigation costs</w:t>
            </w:r>
            <w:r>
              <w:rPr>
                <w:rFonts w:ascii="Times New Roman;serif" w:hAnsi="Times New Roman;serif"/>
                <w:b w:val="false"/>
                <w:color w:val="000000"/>
                <w:sz w:val="12"/>
              </w:rPr>
              <w:t>(5)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Tax impacts of adjustments</w:t>
            </w:r>
            <w:r>
              <w:rPr>
                <w:rFonts w:ascii="Times New Roman;serif" w:hAnsi="Times New Roman;serif"/>
                <w:b w:val="false"/>
                <w:color w:val="000000"/>
                <w:sz w:val="12"/>
              </w:rPr>
              <w:t>(7)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75,635 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55,907 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19,728 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Margin</w:t>
            </w:r>
            <w:r>
              <w:rPr>
                <w:rFonts w:ascii="Times New Roman;serif" w:hAnsi="Times New Roman;serif"/>
                <w:b w:val="false"/>
                <w:color w:val="000000"/>
                <w:sz w:val="12"/>
              </w:rPr>
              <w:t>(8)</w:t>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Net Income Margin</w:t>
            </w:r>
            <w:r>
              <w:rPr>
                <w:rFonts w:ascii="Times New Roman;serif" w:hAnsi="Times New Roman;serif"/>
                <w:b w:val="false"/>
                <w:color w:val="000000"/>
                <w:sz w:val="12"/>
              </w:rPr>
              <w:t>(8)</w:t>
            </w:r>
          </w:p>
        </w:tc>
        <w:tc>
          <w:tcPr>
            <w:tcW w:w="84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(1) Represents non-recurring professional service fees related to the take-private transaction that have been expensed during the period.</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(2) Represents professional service fees related to certain efforts to enhance efficiency of client delivery and operations support.</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Realized and unrealized foreign currency losses and gains include the effect of fair market value changes of forward contracts not designated as hedging instruments and remeasurement of U.S. dollar-denominated accounts to foreign currency.</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(4) Represents severance payments as a result of certain cost optimization measures we undertook during the period to restructure support roles.</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(5) Represents only those litigation costs that are considered non-recurring and outside of the ordinary course of business.</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(6) Represents stock-based compensation expense, as well as associated payroll tax.</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(7) Represents tax impacts of adjustments to net income which resulted in a tax benefit during the period, including stock-based compensation expense, transaction costs, operational efficiency costs and litigation costs. After these adjustments, we applied a non-GAAP effective tax rate of 25.7% and 26.4% for the six months ended June 30, 2025 and 2024, respectively, to non-GAAP income before income taxes.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(8) Net Income Margin represents net income divided by service revenue and Adjusted Net Income Margin represents Adjusted Net Income divided by service revenue.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Adjusted EPS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Adjusted EPS is a non-GAAP profitability measure that represents earnings available to shareholders excluding the impact of certain items that are considered to hinder comparison of the performance of our business on a period-over-period basis or with other businesses. Adjusted EPS is calculated as Adjusted Net Income divided by our diluted weighted-average number of shares outstanding. Our management believes that the inclusion of supplementary adjustments to earnings per share applied in presenting Adjusted EPS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GAAP diluted EPS, the most directly comparable GAAP measure, to Adjusted EPS for the three and six months ended June 30, 2025 and 2024:</w:t>
      </w:r>
    </w:p>
    <w:tbl>
      <w:tblPr>
        <w:tblW w:w="9529" w:type="dxa"/>
        <w:jc w:val="left"/>
        <w:tblInd w:w="0" w:type="dxa"/>
        <w:tblLayout w:type="fixed"/>
        <w:tblCellMar>
          <w:top w:w="28" w:type="dxa"/>
          <w:left w:w="28" w:type="dxa"/>
          <w:bottom w:w="28" w:type="dxa"/>
          <w:right w:w="28" w:type="dxa"/>
        </w:tblCellMar>
      </w:tblPr>
      <w:tblGrid>
        <w:gridCol w:w="1474"/>
        <w:gridCol w:w="1299"/>
        <w:gridCol w:w="1306"/>
        <w:gridCol w:w="284"/>
        <w:gridCol w:w="677"/>
        <w:gridCol w:w="129"/>
        <w:gridCol w:w="129"/>
        <w:gridCol w:w="129"/>
        <w:gridCol w:w="129"/>
        <w:gridCol w:w="284"/>
        <w:gridCol w:w="677"/>
        <w:gridCol w:w="129"/>
        <w:gridCol w:w="109"/>
        <w:gridCol w:w="109"/>
        <w:gridCol w:w="109"/>
        <w:gridCol w:w="284"/>
        <w:gridCol w:w="677"/>
        <w:gridCol w:w="117"/>
        <w:gridCol w:w="117"/>
        <w:gridCol w:w="117"/>
        <w:gridCol w:w="117"/>
        <w:gridCol w:w="284"/>
        <w:gridCol w:w="677"/>
        <w:gridCol w:w="166"/>
      </w:tblGrid>
      <w:tr>
        <w:trPr/>
        <w:tc>
          <w:tcPr>
            <w:tcW w:w="1474"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diluted EPS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Per share adjustments to net income</w:t>
            </w:r>
            <w:r>
              <w:rPr>
                <w:rFonts w:ascii="Times New Roman;serif" w:hAnsi="Times New Roman;serif"/>
                <w:b w:val="false"/>
                <w:color w:val="000000"/>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EPS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diluted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92,576,805 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91,629,930 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93,116,173 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91,739,908 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(1) Reflects the aggregate adjustments made to reconcile net income to Adjusted Net Income, as noted in the above table, divided by the GAAP diluted weighted-average number of shares outstanding for the relevant period.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EBITDA and Adjusted EBITDA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EBITDA is a non-GAAP profitability measure that represents net income or loss for the period before the impact of the benefit from or provision for income taxes, financing expenses, depreciation, and amortization of intangible assets. EBITDA eliminates potential differences in performance caused by variations in capital structures (affecting financing expenses), tax positions (such as the availability of net operating losses against which to relieve taxable profits), the cost and age of tangible assets (affecting relative depreciation expense) and the extent to which intangible assets are identifiable (affecting relative amortization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Adjusted EBITDA is a non-GAAP profitability measure that represents EBITDA before certain items that are considered to hinder comparison of the performance of our business on a period-over-period basis or with other businesses. During the periods presented, we excluded from Adjusted EBITDA transaction costs, operational efficiency costs, the effect of foreign currency gains and losses, gains and losses on disposals of assets, certain severance costs, certain non-recurring litigation costs, stock-based compensation expense and associated employer payroll tax and interest income, which include costs that are required to be expensed in accordance with GAAP. Our management believes that the inclusion of supplementary adjustments to EBITDA applied in presenting Adjusted EBITDA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the most directly comparable GAAP measure, to EBITDA and Adjusted EBITDA for the three months ended June 30, 2025 and 2024:</w:t>
      </w:r>
    </w:p>
    <w:tbl>
      <w:tblPr>
        <w:tblW w:w="8125" w:type="dxa"/>
        <w:jc w:val="left"/>
        <w:tblInd w:w="0" w:type="dxa"/>
        <w:tblLayout w:type="fixed"/>
        <w:tblCellMar>
          <w:top w:w="28" w:type="dxa"/>
          <w:left w:w="28" w:type="dxa"/>
          <w:bottom w:w="28" w:type="dxa"/>
          <w:right w:w="28" w:type="dxa"/>
        </w:tblCellMar>
      </w:tblPr>
      <w:tblGrid>
        <w:gridCol w:w="1004"/>
        <w:gridCol w:w="883"/>
        <w:gridCol w:w="888"/>
        <w:gridCol w:w="196"/>
        <w:gridCol w:w="646"/>
        <w:gridCol w:w="256"/>
        <w:gridCol w:w="109"/>
        <w:gridCol w:w="109"/>
        <w:gridCol w:w="109"/>
        <w:gridCol w:w="196"/>
        <w:gridCol w:w="646"/>
        <w:gridCol w:w="256"/>
        <w:gridCol w:w="109"/>
        <w:gridCol w:w="109"/>
        <w:gridCol w:w="109"/>
        <w:gridCol w:w="232"/>
        <w:gridCol w:w="766"/>
        <w:gridCol w:w="129"/>
        <w:gridCol w:w="129"/>
        <w:gridCol w:w="129"/>
        <w:gridCol w:w="129"/>
        <w:gridCol w:w="313"/>
        <w:gridCol w:w="317"/>
        <w:gridCol w:w="356"/>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20,047 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46,553 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40,385 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6,168 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Transaction costs</w:t>
            </w:r>
            <w:r>
              <w:rPr>
                <w:rFonts w:ascii="Times New Roman;serif" w:hAnsi="Times New Roman;serif"/>
                <w:b w:val="false"/>
                <w:color w:val="000000"/>
                <w:sz w:val="12"/>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Operational efficiency costs</w:t>
            </w:r>
            <w:r>
              <w:rPr>
                <w:rFonts w:ascii="Times New Roman;serif" w:hAnsi="Times New Roman;serif"/>
                <w:b w:val="false"/>
                <w:color w:val="000000"/>
                <w:sz w:val="12"/>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Foreign currency losses (gains)</w:t>
            </w:r>
            <w:r>
              <w:rPr>
                <w:rFonts w:ascii="Times New Roman;serif" w:hAnsi="Times New Roman;serif"/>
                <w:b w:val="false"/>
                <w:color w:val="000000"/>
                <w:sz w:val="12"/>
              </w:rPr>
              <w:t>(3)</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(gain) on disposal of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Severance costs</w:t>
            </w:r>
            <w:r>
              <w:rPr>
                <w:rFonts w:ascii="Times New Roman;serif" w:hAnsi="Times New Roman;serif"/>
                <w:b w:val="false"/>
                <w:color w:val="000000"/>
                <w:sz w:val="12"/>
              </w:rPr>
              <w:t>(4)</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Litigation costs</w:t>
            </w:r>
            <w:r>
              <w:rPr>
                <w:rFonts w:ascii="Times New Roman;serif" w:hAnsi="Times New Roman;serif"/>
                <w:b w:val="false"/>
                <w:color w:val="000000"/>
                <w:sz w:val="12"/>
              </w:rPr>
              <w:t>(5)</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(6)</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Interest income</w:t>
            </w:r>
            <w:r>
              <w:rPr>
                <w:rFonts w:ascii="Times New Roman;serif" w:hAnsi="Times New Roman;serif"/>
                <w:b w:val="false"/>
                <w:color w:val="000000"/>
                <w:sz w:val="12"/>
              </w:rPr>
              <w:t>(7)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64,952 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51,252 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Margin</w:t>
            </w:r>
            <w:r>
              <w:rPr>
                <w:rFonts w:ascii="Times New Roman;serif" w:hAnsi="Times New Roman;serif"/>
                <w:b w:val="false"/>
                <w:color w:val="000000"/>
                <w:sz w:val="12"/>
              </w:rPr>
              <w:t>(8)</w:t>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 Margin</w:t>
            </w:r>
            <w:r>
              <w:rPr>
                <w:rFonts w:ascii="Times New Roman;serif" w:hAnsi="Times New Roman;serif"/>
                <w:b w:val="false"/>
                <w:color w:val="000000"/>
                <w:sz w:val="12"/>
              </w:rPr>
              <w:t>(8)</w:t>
            </w:r>
          </w:p>
        </w:tc>
        <w:tc>
          <w:tcPr>
            <w:tcW w:w="84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Represents non-recurring professional service fees related to the take-private transaction that have been expensed during the period.</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Represents professional service fees related to certain efforts to enhance efficiency of client delivery and operations support.</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Realized and unrealized foreign currency losses and gains include the effect of fair market value changes of forward contracts not designated as hedging instruments and remeasurement of U.S. dollar-denominated accounts to foreign currency.</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(4) Represents severance payments as a result of certain cost optimization measures we undertook during the period to restructure support roles.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(5) Represents only those litigation costs that are considered non-recurring and outside of the ordinary course of business.</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(6) Represents stock-based compensation expense, as well as associated payroll tax.</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(7) Represents interest earned on short-term savings, time-deposits and money market funds.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(8) Net Income Margin represents net income divided by service revenue and Adjusted EBITDA Margin represents Adjusted EBITDA divided by service revenue.</w:t>
      </w:r>
    </w:p>
    <w:p>
      <w:pPr>
        <w:pStyle w:val="TextBody"/>
        <w:bidi w:val="0"/>
        <w:spacing w:before="60" w:after="283"/>
        <w:ind w:left="0" w:right="0" w:hanging="270"/>
        <w:jc w:val="both"/>
        <w:rPr/>
      </w:pPr>
      <w:r>
        <w:rPr/>
      </w:r>
    </w:p>
    <w:p>
      <w:pPr>
        <w:pStyle w:val="TextBody"/>
        <w:bidi w:val="0"/>
        <w:spacing w:before="60" w:after="283"/>
        <w:ind w:left="0" w:right="0" w:hanging="270"/>
        <w:jc w:val="both"/>
        <w:rPr/>
      </w:pPr>
      <w:r>
        <w:rPr/>
      </w:r>
    </w:p>
    <w:p>
      <w:pPr>
        <w:pStyle w:val="TextBody"/>
        <w:bidi w:val="0"/>
        <w:spacing w:before="60" w:after="283"/>
        <w:ind w:left="0" w:right="0" w:hanging="270"/>
        <w:jc w:val="both"/>
        <w:rPr/>
      </w:pPr>
      <w:r>
        <w:rPr/>
      </w:r>
    </w:p>
    <w:p>
      <w:pPr>
        <w:pStyle w:val="TextBody"/>
        <w:bidi w:val="0"/>
        <w:spacing w:before="60" w:after="283"/>
        <w:ind w:left="0" w:right="0" w:hanging="270"/>
        <w:jc w:val="both"/>
        <w:rPr/>
      </w:pPr>
      <w:r>
        <w:rPr/>
      </w:r>
    </w:p>
    <w:p>
      <w:pPr>
        <w:pStyle w:val="TextBody"/>
        <w:bidi w:val="0"/>
        <w:spacing w:before="60" w:after="283"/>
        <w:ind w:left="0" w:right="0" w:hanging="270"/>
        <w:jc w:val="both"/>
        <w:rPr/>
      </w:pPr>
      <w:r>
        <w:rPr/>
      </w:r>
    </w:p>
    <w:p>
      <w:pPr>
        <w:pStyle w:val="TextBody"/>
        <w:bidi w:val="0"/>
        <w:spacing w:before="60" w:after="283"/>
        <w:ind w:left="0" w:right="0" w:hanging="270"/>
        <w:jc w:val="both"/>
        <w:rPr/>
      </w:pPr>
      <w:r>
        <w:rPr/>
      </w:r>
    </w:p>
    <w:p>
      <w:pPr>
        <w:pStyle w:val="TextBody"/>
        <w:bidi w:val="0"/>
        <w:spacing w:before="60" w:after="283"/>
        <w:ind w:left="0" w:right="0" w:hanging="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the most directly comparable GAAP measure, to EBITDA and Adjusted EBITDA for the six months ended June 30, 2025 and 2024:</w:t>
      </w:r>
    </w:p>
    <w:tbl>
      <w:tblPr>
        <w:tblW w:w="8305" w:type="dxa"/>
        <w:jc w:val="left"/>
        <w:tblInd w:w="0" w:type="dxa"/>
        <w:tblLayout w:type="fixed"/>
        <w:tblCellMar>
          <w:top w:w="28" w:type="dxa"/>
          <w:left w:w="28" w:type="dxa"/>
          <w:bottom w:w="28" w:type="dxa"/>
          <w:right w:w="28" w:type="dxa"/>
        </w:tblCellMar>
      </w:tblPr>
      <w:tblGrid>
        <w:gridCol w:w="1004"/>
        <w:gridCol w:w="883"/>
        <w:gridCol w:w="888"/>
        <w:gridCol w:w="196"/>
        <w:gridCol w:w="736"/>
        <w:gridCol w:w="256"/>
        <w:gridCol w:w="109"/>
        <w:gridCol w:w="109"/>
        <w:gridCol w:w="109"/>
        <w:gridCol w:w="196"/>
        <w:gridCol w:w="736"/>
        <w:gridCol w:w="256"/>
        <w:gridCol w:w="109"/>
        <w:gridCol w:w="109"/>
        <w:gridCol w:w="109"/>
        <w:gridCol w:w="232"/>
        <w:gridCol w:w="766"/>
        <w:gridCol w:w="129"/>
        <w:gridCol w:w="129"/>
        <w:gridCol w:w="129"/>
        <w:gridCol w:w="129"/>
        <w:gridCol w:w="313"/>
        <w:gridCol w:w="317"/>
        <w:gridCol w:w="356"/>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 over Period Change</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41,195 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24,312 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16,883 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95,943 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79,919 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Transaction costs</w:t>
            </w:r>
            <w:r>
              <w:rPr>
                <w:rFonts w:ascii="Times New Roman;serif" w:hAnsi="Times New Roman;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Operational efficiency costs</w:t>
            </w:r>
            <w:r>
              <w:rPr>
                <w:rFonts w:ascii="Times New Roman;serif" w:hAnsi="Times New Roman;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Foreign currency losses (gains)</w:t>
            </w:r>
            <w:r>
              <w:rPr>
                <w:rFonts w:ascii="Times New Roman;serif" w:hAnsi="Times New Roman;serif"/>
                <w:b w:val="false"/>
                <w:color w:val="000000"/>
                <w:sz w:val="12"/>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disposal of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Severance costs</w:t>
            </w:r>
            <w:r>
              <w:rPr>
                <w:rFonts w:ascii="Times New Roman;serif" w:hAnsi="Times New Roman;serif"/>
                <w:b w:val="false"/>
                <w:color w:val="000000"/>
                <w:sz w:val="12"/>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Litigation costs</w:t>
            </w:r>
            <w:r>
              <w:rPr>
                <w:rFonts w:ascii="Times New Roman;serif" w:hAnsi="Times New Roman;serif"/>
                <w:b w:val="false"/>
                <w:color w:val="000000"/>
                <w:sz w:val="12"/>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Interest income</w:t>
            </w:r>
            <w:r>
              <w:rPr>
                <w:rFonts w:ascii="Times New Roman;serif" w:hAnsi="Times New Roman;serif"/>
                <w:b w:val="false"/>
                <w:color w:val="000000"/>
                <w:sz w:val="12"/>
              </w:rPr>
              <w:t>(7)</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124,224 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101,857 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22,367 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Income Margin</w:t>
            </w:r>
            <w:r>
              <w:rPr>
                <w:rFonts w:ascii="Times New Roman;serif" w:hAnsi="Times New Roman;serif"/>
                <w:b w:val="false"/>
                <w:color w:val="000000"/>
                <w:sz w:val="12"/>
              </w:rPr>
              <w:t>(8)</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 Margin</w:t>
            </w:r>
            <w:r>
              <w:rPr>
                <w:rFonts w:ascii="Times New Roman;serif" w:hAnsi="Times New Roman;serif"/>
                <w:b w:val="false"/>
                <w:color w:val="000000"/>
                <w:sz w:val="12"/>
              </w:rPr>
              <w:t>(8)</w:t>
            </w:r>
          </w:p>
        </w:tc>
        <w:tc>
          <w:tcPr>
            <w:tcW w:w="93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NM = not meaningful</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(1) Represents non-recurring professional service fees related to the take-private transaction that have been expensed during the period.</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(2) Represents professional service fees related to certain efforts to enhance efficiency of client delivery and operations support.</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Realized and unrealized foreign currency losses and gains include the effect of fair market value changes of forward contracts not designated as hedging instruments and remeasurement of U.S. dollar-denominated accounts to foreign currency.</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(4) Represents severance payments as a result of certain cost optimization measures we undertook during the period to restructure support roles.</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(5) Represents only those litigation costs that are considered non-recurring and outside of the ordinary course of business.</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(6) Represents stock-based compensation expense, as well as associated payroll tax.</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(7) Represents interest earned on short-term savings, time-deposits and money market funds.</w:t>
      </w:r>
    </w:p>
    <w:p>
      <w:pPr>
        <w:pStyle w:val="TextBody"/>
        <w:bidi w:val="0"/>
        <w:spacing w:lineRule="auto" w:line="288" w:before="6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(8) Net Income Margin represents net income divided by service revenue and Adjusted EBITDA Margin represents Adjusted EBITDA divided by service revenue.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Free Cash Flow is a non-GAAP liquidity measure that represents our ability to generate additional cash from our business operations. Free Cash Flow is calculated as net cash provided by operating activities in the period minus cash used for purchase of property and equipment in the period. Our management believes that the inclusion of this non-GAAP measure, when considered with our GAAP results, provides management and investors with an additional understanding of our ability to generate additional cash for ongoing business operations and other capital deployment.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cash provided by operating activities, the most directly comparable GAAP measure, to Free Cash Flow for the six months ended June 30, 2025 and 2024:</w:t>
      </w:r>
    </w:p>
    <w:tbl>
      <w:tblPr>
        <w:tblW w:w="6617" w:type="dxa"/>
        <w:jc w:val="center"/>
        <w:tblInd w:w="0" w:type="dxa"/>
        <w:tblLayout w:type="fixed"/>
        <w:tblCellMar>
          <w:top w:w="28" w:type="dxa"/>
          <w:left w:w="28" w:type="dxa"/>
          <w:bottom w:w="28" w:type="dxa"/>
          <w:right w:w="28" w:type="dxa"/>
        </w:tblCellMar>
      </w:tblPr>
      <w:tblGrid>
        <w:gridCol w:w="1468"/>
        <w:gridCol w:w="1285"/>
        <w:gridCol w:w="1296"/>
        <w:gridCol w:w="196"/>
        <w:gridCol w:w="646"/>
        <w:gridCol w:w="256"/>
        <w:gridCol w:w="109"/>
        <w:gridCol w:w="109"/>
        <w:gridCol w:w="109"/>
        <w:gridCol w:w="196"/>
        <w:gridCol w:w="646"/>
        <w:gridCol w:w="301"/>
      </w:tblGrid>
      <w:tr>
        <w:trPr/>
        <w:tc>
          <w:tcPr>
            <w:tcW w:w="146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53,285 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81,211 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73,123 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Conversion of Adjusted EBITDA to Free Cash Flow</w:t>
            </w:r>
            <w:r>
              <w:rPr>
                <w:rFonts w:ascii="Times New Roman;serif" w:hAnsi="Times New Roman;serif"/>
                <w:b w:val="false"/>
                <w:color w:val="000000"/>
                <w:sz w:val="12"/>
              </w:rPr>
              <w:t>(1)</w:t>
            </w:r>
          </w:p>
        </w:tc>
        <w:tc>
          <w:tcPr>
            <w:tcW w:w="84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256"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30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(1) Conversion of Adjusted EBITDA to Free Cash Flow represents Free Cash Flow divided by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our principal sources of liquidity were cash and cash equivalents totaling $181.9 million, which were held for working capital purposes, as well as the borrowing availability under the 2022 Revolving Credit Facility of $190.0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2025, our total indebtedness, net of debt financing fees was $249.6 million. The interest rate in effect for the 2022 Term Loan Facility as of June 30, 2025 was 6.646% per annum. We were in compliance with all debt covenants as of June 30, 2025. See Note 7, "Long-Term Debt" in the Notes to Unaudited Condensed Consolidated Financial Statements included in this Quarterly Report for additional information regarding our debt.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we repurchased 2,112,247 shares of our Class A common stock under the share repurchase program for $27.7 million, which we funded principally with available cash. As of June 30, 2025, $11.9 million remained available for share repurchases under our share repurchase program. In connection with the execution of the Merger Agreement, the Company suspended purchases under its share repurchase program. For additional information about our share repurchase program, see Part II, Item 2., "Unregistered Sales of Equity Securities and Use of Proceeds—Issuer Purchases of Equity Securities" in this Quarterly Report.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Historically, we have financed our operations and made investments in supporting the growth of our business primarily through cash provided by operations. We expect to continue to make similar investments in the future. We believe our existing cash and cash equivalents and our 2022 Credit Facilities will be sufficient to meet our working capital and capital expenditure needs for at least the next 12 months.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If we are unable to raise additional funds when desired, our business, financial condition and results of operations could be adversely affected.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consolidated cash flows from operating, investing and financing activities for the periods indicated:</w:t>
      </w:r>
    </w:p>
    <w:tbl>
      <w:tblPr>
        <w:tblW w:w="5273" w:type="dxa"/>
        <w:jc w:val="center"/>
        <w:tblInd w:w="0" w:type="dxa"/>
        <w:tblLayout w:type="fixed"/>
        <w:tblCellMar>
          <w:top w:w="28" w:type="dxa"/>
          <w:left w:w="28" w:type="dxa"/>
          <w:bottom w:w="28" w:type="dxa"/>
          <w:right w:w="28" w:type="dxa"/>
        </w:tblCellMar>
      </w:tblPr>
      <w:tblGrid>
        <w:gridCol w:w="1086"/>
        <w:gridCol w:w="955"/>
        <w:gridCol w:w="958"/>
        <w:gridCol w:w="196"/>
        <w:gridCol w:w="646"/>
        <w:gridCol w:w="109"/>
        <w:gridCol w:w="109"/>
        <w:gridCol w:w="109"/>
        <w:gridCol w:w="109"/>
        <w:gridCol w:w="196"/>
        <w:gridCol w:w="646"/>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for the six months ended June 30, 2025 was $53.3 million compared to net cash provided by operating activities of $81.2 million for the six months ended June 30, 2024. Net cash provided by operating activities for the six months ended June 30, 2025 reflects net income of $41.2 million and the add back for non-cash charges totaling $44.4 million, partially offset by changes in operating assets and liabilities of $32.3 million. Non-cash charges primarily consisted of $19.9 million of depreciation, $17.1 million in stock-based compensation expense and $10.0 million of amortization related to intangibles. Net cash provided by operating activities for the six months ended June 30, 2024 reflects net income of $24.3 million, the add back for non-cash charges totaling $54.1 million, as well as changes in operating assets and liabilities of $2.8 million. Non-cash charges primarily consisted of $21.4 million in stock-based compensation expense, $20.8 million of depreciation and $10.0 million of amortization related to intangibles. </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six months ended June 30, 2025 was $31.5 million compared to net cash used in investing activities of $8.1 million for the six months ended June 30, 2024. Purchase of property and equipment increased primarily due to higher site build-out costs as well as technology and computer purchases due to significant growth.</w:t>
      </w:r>
    </w:p>
    <w:p>
      <w:pPr>
        <w:pStyle w:val="TextBody"/>
        <w:bidi w:val="0"/>
        <w:spacing w:lineRule="auto" w:line="288" w:before="12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six months ended June 30, 2025 was $33.5 million compared to net cash used by financing activities of $18.6 million for the six months ended June 30, 2024. The increase was due primarily to the additional shares acquired under our share repurchase program and payments for taxes related to net share settlement.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estimates as reported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recent accounting pronouncements adopted and under evaluation, refer to Note 2, "Summary of Significant Accounting Policies" in the Notes to Unaudited Condensed Consolidated Financial Statements included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activities expose us to a variety of financial risks: market risk (includes foreign currency), interest rate risk and credit risk.</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exposure to market risk arises principally from exchange rate risk. Although substantially all of our revenues are denominated in U.S. dollars, a substantial portion of our expenses were incurred and paid in the Philippine peso, Indian rupee, Mexican peso, and the Colombian peso, in the six months ended June 30, 2025 and 2024. We also incur expenses in U.S. dollars, and currencies of the other countries in which we have operations. The exchange rates among the Philippine peso, Indian rupee, Mexican peso, Colombian peso and the U.S. dollar have changed substantially in recent years and may fluctuate substantially in the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foreign currency exchange rates and changes for the periods indicated:</w:t>
      </w:r>
    </w:p>
    <w:tbl>
      <w:tblPr>
        <w:tblW w:w="9364" w:type="dxa"/>
        <w:jc w:val="left"/>
        <w:tblInd w:w="0" w:type="dxa"/>
        <w:tblLayout w:type="fixed"/>
        <w:tblCellMar>
          <w:top w:w="28" w:type="dxa"/>
          <w:left w:w="28" w:type="dxa"/>
          <w:bottom w:w="28" w:type="dxa"/>
          <w:right w:w="28" w:type="dxa"/>
        </w:tblCellMar>
      </w:tblPr>
      <w:tblGrid>
        <w:gridCol w:w="1212"/>
        <w:gridCol w:w="1062"/>
        <w:gridCol w:w="1071"/>
        <w:gridCol w:w="278"/>
        <w:gridCol w:w="278"/>
        <w:gridCol w:w="651"/>
        <w:gridCol w:w="109"/>
        <w:gridCol w:w="109"/>
        <w:gridCol w:w="109"/>
        <w:gridCol w:w="278"/>
        <w:gridCol w:w="278"/>
        <w:gridCol w:w="576"/>
        <w:gridCol w:w="109"/>
        <w:gridCol w:w="109"/>
        <w:gridCol w:w="109"/>
        <w:gridCol w:w="278"/>
        <w:gridCol w:w="278"/>
        <w:gridCol w:w="594"/>
        <w:gridCol w:w="109"/>
        <w:gridCol w:w="109"/>
        <w:gridCol w:w="109"/>
        <w:gridCol w:w="390"/>
        <w:gridCol w:w="391"/>
        <w:gridCol w:w="768"/>
      </w:tblGrid>
      <w:tr>
        <w:trPr/>
        <w:tc>
          <w:tcPr>
            <w:tcW w:w="121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Philippine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Indian Rupee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Mexican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Colombian Peso</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exchange rate against the U.S. dollar</w:t>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Six months ended June 30, 2025</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57.11 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86.09 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4,192.17 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Six months ended June 30, 2024</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56.90 </w:t>
            </w:r>
          </w:p>
        </w:tc>
        <w:tc>
          <w:tcPr>
            <w:tcW w:w="6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83.23 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17.11 </w:t>
            </w:r>
          </w:p>
        </w:tc>
        <w:tc>
          <w:tcPr>
            <w:tcW w:w="5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3,922.04 </w:t>
            </w:r>
          </w:p>
        </w:tc>
        <w:tc>
          <w:tcPr>
            <w:tcW w:w="7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Based on our level of operations during the six months ended June 30, 2025, and excluding any forward contract arrangements that we had in place during that period, a 10% appreciation (depreciation) of each foreign currency against the U.S. dollar would have increased (decreased) our expenses incurred and paid in that foreign currency as follows:</w:t>
      </w:r>
    </w:p>
    <w:tbl>
      <w:tblPr>
        <w:tblW w:w="7008" w:type="dxa"/>
        <w:jc w:val="left"/>
        <w:tblInd w:w="0" w:type="dxa"/>
        <w:tblLayout w:type="fixed"/>
        <w:tblCellMar>
          <w:top w:w="28" w:type="dxa"/>
          <w:left w:w="28" w:type="dxa"/>
          <w:bottom w:w="28" w:type="dxa"/>
          <w:right w:w="28" w:type="dxa"/>
        </w:tblCellMar>
      </w:tblPr>
      <w:tblGrid>
        <w:gridCol w:w="489"/>
        <w:gridCol w:w="430"/>
        <w:gridCol w:w="431"/>
        <w:gridCol w:w="229"/>
        <w:gridCol w:w="843"/>
        <w:gridCol w:w="127"/>
        <w:gridCol w:w="109"/>
        <w:gridCol w:w="109"/>
        <w:gridCol w:w="109"/>
        <w:gridCol w:w="223"/>
        <w:gridCol w:w="718"/>
        <w:gridCol w:w="124"/>
        <w:gridCol w:w="109"/>
        <w:gridCol w:w="109"/>
        <w:gridCol w:w="109"/>
        <w:gridCol w:w="229"/>
        <w:gridCol w:w="738"/>
        <w:gridCol w:w="127"/>
        <w:gridCol w:w="109"/>
        <w:gridCol w:w="109"/>
        <w:gridCol w:w="109"/>
        <w:gridCol w:w="263"/>
        <w:gridCol w:w="849"/>
        <w:gridCol w:w="207"/>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Philippine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Indian Rupee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Mexican Peso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Colombian Peso</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 appreciation</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22,817 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4,977 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 depreciation</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(18,669)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mitigate our exposure to foreign currency fluctuation risks and minimize the earnings and cash flow volatility associated with forecasted transactions denominated in certain foreign currencies, and economically hedge our intercompany balances and other monetary assets and liabilities denominated in currencies other than functional currencies, we enter into foreign currency forward contracts.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contracts must be settled on the day of maturity or may be canceled subject to the receipts or payments of any gains or losses, respectively, equal to the difference between the contract exchange rate and the market exchange rate on the date of cancellation. We do not enter into foreign currency forward contracts for speculative or trading purposes. These derivative instruments do not subject us to material balance sheet risk due to exchange rate movements because gains and losses on the settlement of these derivatives are intended to offset revaluation losses and gains on the assets and liabilities being hedged.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Note 4, "Forward Contracts" in the Notes to Unaudited Condensed Consolidated Financial Statements included in this Quarterly Report for additional information regarding our forward contracts.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exposure to market risk is influenced by the changes in interest rates paid on any outstanding balance on our borrowings, mainly under our 2022 Credit Facilities. All of our borrowings outstanding under the 2022 Credit Facilities as of June 30, 2025 accrue interest at SOFR plus 2.25%. As of June 30, 2025 our total principal balance outstanding was $250.4 million and the interest rate in effect was 6.646% per annum. Based on the outstanding balances and interest rates under the 2022 Credit Facilities as of June 30, 2025, a hypothetical 10% increase or decrease in SOFR would cause an increase or decrease in interest expense of approximately $1.1 million over the next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2025, we had accounts receivable, net of allowance for credit losses, of $231.4 million, of which $43.2 million was owed by one of our clients. Collectively, this client represented approximately 19% of our gross accounts receivable as of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maintains disclosure controls and procedures (as that term is defined in Rules 13a-15(e) and 15d-15(e) under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management has evaluated the effectiveness of the design and operation of the Company's disclosure controls and procedures as of June 30, 2025. Based upon that evaluation, the Company's Chief Executive Officer and Chief Financial Officer concluded that, as of June 30, 2025, the design and operation of the Company's disclosure controls and procedures were effective to accomplish their objectives at the reasonable assurance level.</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has been no change in our internal control over financial reporting during our most recent fiscal quarter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required with respect to this item can be found under Note 9, "Commitments and Contingencies" in the Notes to Unaudited Condensed Consolidated Financial Statements included in this Quarterly Report and is incorporated by reference into this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under Item 1A."Risk Factors" in the Annual Report. Additional risks and uncertainties not currently known to us or that we currently deem to be immaterial may also materially adversely affect our financial position, results of operations or cash flows. Except as set forth below, there have been no material changes to the risk factors included in the Annual Report. You should carefully consider the risk factors set forth in the Annual Report and the other information set forth elsewhere in this Quarterly Report.</w:t>
      </w:r>
    </w:p>
    <w:p>
      <w:pPr>
        <w:pStyle w:val="TextBody"/>
        <w:bidi w:val="0"/>
        <w:spacing w:lineRule="auto" w:line="268" w:before="240" w:after="283"/>
        <w:jc w:val="both"/>
        <w:rPr>
          <w:rFonts w:ascii="Times New Roman;serif" w:hAnsi="Times New Roman;serif"/>
          <w:b/>
          <w:color w:val="000000"/>
          <w:sz w:val="20"/>
        </w:rPr>
      </w:pPr>
      <w:r>
        <w:rPr>
          <w:rFonts w:ascii="Times New Roman;serif" w:hAnsi="Times New Roman;serif"/>
          <w:b/>
          <w:color w:val="000000"/>
          <w:sz w:val="20"/>
        </w:rPr>
        <w:t>Risks Related to the Proposed Merger</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Merger may not be completed on the terms or timeline currently contemplated or at all, which could adversely affect our stock price, business, financial condition and 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previously disclosed, on May 8, 2025, the Company entered into the Merger Agreement, providing for our acquisition by an affiliate of Blackstone and our Co-Founders. The completion of the Merger is subject to the satisfaction of various conditions, including, among other things: (i)(w) the approval of the majority of outstanding voting power of our common stock, (x) the approval of the majority of outstanding voting power of our Class A common stock, voting as a separate class, (y) the approval of the majority of outstanding voting power of our Class B common stock, voting as a separate class, and (z) the approval by a majority of the votes cast by stockholders other than Blackstone or the Co-Founders and their affiliates (collectively, the “Company Stockholder Approvals”); (ii) the absence of any law that enjoins, restrains or otherwise prohibits or makes illegal the consummation of the Merger; (iii) the termination or expiration of any required waiting periods under the Hart-Scott-Rodino Antitrust Improvements Act of 1976, as amended; (iv) the accuracy of the other party’s representations and warranties (subject to certain materiality qualifiers); (v) the other party’s compliance in all material respects with its pre-closing covenants; and (vi) for the benefit of the Merger Corporation, no material adverse effect having occurred since the date of the Merger Agreement and being continuing as of the closing of the Merger (subject to certain exceptions). While it is currently anticipated that the Merger will be consummated in the second half of 2025, there can be no assurance that the foregoing conditions will be satisfied in a timely manner or at all, or that an effect, event, development or change will not transpire that could delay or prevent these conditions from being satisfied.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the Merger is not consummated for any reason, the trading price of our common stock may decline to the extent that the market price of the common stock reflects positive market assumptions that the Merger will be consummated and the related benefits will be realized. We may also be subject to additional risks if the Merger is not completed,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requirement in the Merger Agreement that, under certain circumstances, we pay the Merger Corporation a termination fee of $39.0 million in cash;</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incurring substantial costs related to the Merger, such as legal, accounting, financial advisory, integration costs and other professional services fees that have already been incurred or will continue to be incurred until closing;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limitations on our ability to retain and hire key personnel;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reputational harm including relationships with investors, customers and business partners due to the adverse perception of any failure to successfully complete the Merger;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 disruption to our business and distraction of our workforce and management team to pursue other opportunities that could be beneficial to us, in each case without realizing any of the benefits of having the Merger completed.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 we or the Merger Corporation may terminate the Merger Agreement if the Merger has not been consummated by December 8, 2025 (the “Outside Date”). We or the Merger Corporation also may terminate the Merger Agreement (i) by mutual written consent; (ii) if any governmental authority of competent jurisdiction has enacted, issued, promulgated, enforced or entered any law permanently restraining, enjoining, prohibiting or making illegal the consummation of the Merger and such law shall have become final and nonappealable; (iii) if the Company Stockholder Approvals have not been obtained at our stockholder’s meeting (including any adjournments or postponements thereof), at which a vote on the approval of the Merger Agreement was taken; or (iv) if the other party has breached its representations or warranties or failed to perform any of its covenants or agreements in a way that would prevent satisfaction of a closing condition by the Outside Date and such breach or failure to perform cannot be cured within the earlier of (x) 30 days following the receipt of written notice of such breach or failure to perform and (y) one business day prior to the Outside Date. The Merger Corporation also may terminate the Merger Agreement if our Board (acting upon the recommendation of the Special Committee of the Board (the “Special Committee”)) or the Special Committee withdraws or modifies in a manner adverse to the Merger Corporation its recommendation to our stockholders in favor of the adoption of the Merger Agreement, authorizes or recommends any acquisition proposal or takes certain actions in connection with or recommends any acquisition proposal that is a tender offer or exchange offer. We also may terminate the Merger Agreement if, prior to the receipt of the Company Stockholder Approvals, our Board (acting upon the recommendation of the Special Committee) or the Special Committee determines to enter into an acquisition agreement with respect to a superior proposal, subject to certain conditions. The occurrence of the aforementioned could adversely affect our stock price, business, financial condition and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announcement of the Merger Agreement and pendency of the Merger could negatively impact our business, financial condition and 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announcement or pendency of the Merger could adversely affect our business, financial condition and results of operations and may result in our inability to hire or the departure of key personnel. In connection with the Merger, some of our customers and business partners may delay or defer decisions or may end their relationships with us, which could negatively affect our revenues, earnings and cash flows, regardless of whether the Merger is completed. In addition, we have undertaken certain covenants in the Merger Agreement restricting the conduct of our business during the pendency of the Merger, including restrictions on undertaking certain significant financing transactions and certain other actions, even if such actions would prove beneficial to us. Similarly, our current and prospective employees may experience uncertainty about their future roles with us following the Merger, which may materially adversely affect our ability to attract and retain key personnel during the pendency of the Merger.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the Merger Agreement requires us to escrow excess cash at the request of the Merger Corporation, subject to the Company maintaining certain minimum cash amounts specified therein, which could impact the Company's liquidity and ability to fund its operations prior to the consummation of the Merger.</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Merger Agreement contains provisions that could discourage a potential competing acquirer of the Company or could result in a competing acquisition proposal being at a lower price than it might otherwise be.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Merger Agreement contains provisions that, subject to limited exceptions, restrict the Company’s ability to solicit or negotiate any alternative acquisition proposal. With respect to any written, bona fide acquisition proposal that the Company receives, the Merger Corporation generally has an opportunity to offer to modify the terms of the Merger Agreement in response to such proposal before our Board may withdraw or modify its recommendation to stockholders in response to such acquisition proposal or terminate the Merger Agreement to enter into a definitive agreement with respect to such acquisition proposal. Under the terms of the Merger Agreement, we may be required to pay a termination fee of $39.0 million to Merger Corporation (i) in the event we or Merger Corporation terminate the Merger Agreement before receipt of the Company Stockholder Approvals due to a change in recommendation by our Board or (ii) in the event we terminate the Merger Agreement to enter into a definitive agreement with respect to a superior proposal.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provisions could discourage a potential competing acquirer that might have an interest in acquiring all or a significant part of the Company’s business from considering or making a competing acquisition proposal, even if the potential competing acquirer was prepared to pay consideration with a higher per share cash value than the per share value proposed to be received or realized in the Merger, or might cause a potential competing acquirer to propose to pay a lower price than it might otherwise have proposed to pay because of the added expense of the termination fee and expense reimbursement that may become payable in certain circumstances under the Merger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have incurred, and will continue to incur, direct and indirect costs as a result of the Merger.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incurred, and will continue to incur, significant costs and expenses, including regulatory costs, fees for professional services and other transaction costs in connection with the Merger, for which we will have received little or no benefit if the Merger is not completed. There are a number of factors beyond our control that could affect the total amount or the timing of these costs and expenses. Many of these fees and costs will be payable by us even if the Merger is not completed and may relate to activities that we would not have undertaken other than to complete the Merger.</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directors and executive officers have interests in the Merger that may be different from, or in addition to, the interests of our other stockholders.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directors and executive officers have financial interests in the Merger that may be different from, or in addition to, the interests of our other stockholders. These interests may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treatment of Company equity awards under the Company’s equity plans and award agreements provided for under the Merger Agreement;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severance and other benefits in the case of certain qualifying terminations under the terms of an individual employment arrangements or the Company’s severance plans;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continued indemnification and insurance coverage under the Merger Agreement, the Company’s organizational documents and indemnification agreements the Company has entered into with each of its directors and executive officers.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Litigation challenging the Merger Agreement may prevent the Merger from being consummated within the expected timeframe or at all.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Lawsuits may be filed against us, our Board, the Special Committee or other parties to the Merger Agreement, challenging our acquisition by the Merger Corporation, adequacy of the proxy and Schedule 13E-3 disclosures or making other claims in connection therewith. Such lawsuits may be brought by our purported stockholders or other interested parties and may seek, among other things, to enjoin consummation of the Merger. One of the conditions to the consummation of the Merger is that the consummation of the Merger is not restrained, made illegal, enjoined or prohibited by any law, whether temporary, preliminary or permanent that is in effect. As such, if the plaintiffs in such potential lawsuits are successful in obtaining an injunction prohibiting the defendants from completing the Merger on the agreed upon terms, then such injunction may prevent the Merger from becoming effective within the expected timeframe or at all.</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If the Merger is completed, our stockholders will forgo the opportunity to benefit from potential future appreciation in the value of the Company.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Merger Agreement provides for the stockholders of record who are not a part of the Buyer Group to receive consideration of $16.50, in cash, per share of Class A common stock, without interest, upon the closing of the transactions contemplated by the Merger Agreement. If the transactions are consummated, our stockholders will no longer hold interests in the Company and, therefore, will not be entitled to benefit from any potential future appreciation in the value of the Company. In the absence of the transactions contemplated by the Merger Agreement, we could have various opportunities to enhance the Company’s value, including, but not limited to, entering into a transaction that values the shares of our Class A common stock higher than the value provided for in the Merger Agreement. Therefore, if the Merger is completed, stockholders will forgo future appreciation, if any, in the value of the Company and the opportunity to participate in any other potential transactions that may have resulted in a higher price per share than the price to be paid in the transactions contemplated by the Merger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Issuer Purchases of Equity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our purchases of Class A common stock were as follows:</w:t>
      </w:r>
    </w:p>
    <w:tbl>
      <w:tblPr>
        <w:tblW w:w="10205" w:type="dxa"/>
        <w:jc w:val="left"/>
        <w:tblInd w:w="0" w:type="dxa"/>
        <w:tblLayout w:type="fixed"/>
        <w:tblCellMar>
          <w:top w:w="28" w:type="dxa"/>
          <w:left w:w="28" w:type="dxa"/>
          <w:bottom w:w="28" w:type="dxa"/>
          <w:right w:w="28" w:type="dxa"/>
        </w:tblCellMar>
      </w:tblPr>
      <w:tblGrid>
        <w:gridCol w:w="430"/>
        <w:gridCol w:w="379"/>
        <w:gridCol w:w="382"/>
        <w:gridCol w:w="658"/>
        <w:gridCol w:w="484"/>
        <w:gridCol w:w="486"/>
        <w:gridCol w:w="109"/>
        <w:gridCol w:w="109"/>
        <w:gridCol w:w="109"/>
        <w:gridCol w:w="287"/>
        <w:gridCol w:w="814"/>
        <w:gridCol w:w="159"/>
        <w:gridCol w:w="109"/>
        <w:gridCol w:w="109"/>
        <w:gridCol w:w="109"/>
        <w:gridCol w:w="951"/>
        <w:gridCol w:w="799"/>
        <w:gridCol w:w="801"/>
        <w:gridCol w:w="109"/>
        <w:gridCol w:w="109"/>
        <w:gridCol w:w="109"/>
        <w:gridCol w:w="509"/>
        <w:gridCol w:w="1678"/>
        <w:gridCol w:w="407"/>
      </w:tblGrid>
      <w:tr>
        <w:trPr/>
        <w:tc>
          <w:tcPr>
            <w:tcW w:w="43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16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Total Number of Shares Purchased</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Average Price Paid per Share</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0"/>
              <w:jc w:val="center"/>
              <w:rPr>
                <w:rFonts w:ascii="Times New Roman;serif" w:hAnsi="Times New Roman;serif"/>
                <w:b/>
                <w:color w:val="000000"/>
                <w:sz w:val="18"/>
              </w:rPr>
            </w:pPr>
            <w:r>
              <w:rPr>
                <w:rFonts w:ascii="Times New Roman;serif" w:hAnsi="Times New Roman;serif"/>
                <w:b/>
                <w:color w:val="000000"/>
                <w:sz w:val="18"/>
              </w:rPr>
              <w:t>Approximate Dollar Value of Shares That May Yet Be Purchased Under the Plans or Programs</w:t>
              <w:br/>
              <w:t>(in thousands)</w:t>
            </w:r>
          </w:p>
        </w:tc>
      </w:tr>
      <w:tr>
        <w:trPr/>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April 1, 2025 through April 30, 2025</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1,169,385 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1,169,385 </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14,565 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 2025 through May 31, 2025</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192,171 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192,171 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11,899 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1, 2025 through June 30, 2025</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11,899 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1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1,361,556 </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1,361,556 </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(1) On December 6, 2024, the Company announced a one-year extension of its share repurchase authorization, extending the previously authorized $200.0 million authorization through December 31, 2025. The share repurchase program was initially announced in September 2022 for up to $100.0 million of shares of our Class A common stock and capacity was increased to a total authorization of $200.0 million of shares of our Class A common stock (exclusive of any commissions, fees or excise taxes) in May 2023. Pursuant to our share repurchase program, we may repurchase shares of our Class A common stock from time to time through open market purchases, in privately negotiated transactions or by other means, including through the use of trading plans intended to qualify under Rule 10b5-1 under the Exchange Act. Open market repurchases are expected to be structured to occur within the pricing volume requirements of Rule 10b-18. The timing and total amount of stock repurchases will depend upon, business, economic and market conditions, corporate and regulatory requirements, prevailing stock prices, restrictions under the terms of our loan agreements and other relevant considerations. The repurchase program may be modified, suspended or discontinued at any time at the Company’s discretion and does not obligate the Company to acquire any amount of Class A common stock. In connection with the execution of the Merger Agreement, the Company suspended purchases under its share repurchase program.</w:t>
      </w:r>
    </w:p>
    <w:p>
      <w:pPr>
        <w:pStyle w:val="TextBody"/>
        <w:bidi w:val="0"/>
        <w:spacing w:lineRule="auto" w:line="288" w:before="60" w:after="283"/>
        <w:jc w:val="both"/>
        <w:rPr>
          <w:rFonts w:ascii="Times New Roman;serif" w:hAnsi="Times New Roman;serif"/>
          <w:b w:val="false"/>
          <w:color w:val="000000"/>
          <w:sz w:val="16"/>
        </w:rPr>
      </w:pPr>
      <w:r>
        <w:rPr>
          <w:rFonts w:ascii="Times New Roman;serif" w:hAnsi="Times New Roman;serif"/>
          <w:b w:val="false"/>
          <w:color w:val="000000"/>
          <w:sz w:val="16"/>
        </w:rPr>
        <w:t>(2) Average price paid per share excludes commissions and other costs associated with the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8"/>
        <w:gridCol w:w="226"/>
        <w:gridCol w:w="229"/>
        <w:gridCol w:w="2853"/>
        <w:gridCol w:w="2728"/>
        <w:gridCol w:w="3911"/>
      </w:tblGrid>
      <w:tr>
        <w:trPr/>
        <w:tc>
          <w:tcPr>
            <w:tcW w:w="2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3911" w:type="dxa"/>
            <w:tcBorders/>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Exhibit </w:t>
              <w:br/>
              <w:t>No.</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Agreement and Plan of Merger, dated as May 8, 2025, by and between TaskUs, Inc. and Breeze Merger Corporation (incorporated by reference to Exhibit 2.1 to the Company’s Current Report on Form 8-K filed on May 9, 2025).</w:t>
              </w:r>
            </w:hyperlink>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Second Amended and Restated Certificate of Incorporation of TaskUs, Inc., dated as of June 10, 2021 (incorporated by reference to Exhibit 3.1 to the Company’s Current Report on Form 8-K filed on June 15, 2021).</w:t>
              </w:r>
            </w:hyperlink>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Certificate of Change of Registered Agent and Registered Office of the Company (incorporated by reference to Exhibit 3.2 to the Company's Annual Report on Form 10-K filed on March 8, 2024).</w:t>
              </w:r>
            </w:hyperlink>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20"/>
                  <w:u w:val="single"/>
                </w:rPr>
                <w:t>Third Amended and Restated Bylaws of TaskUs, Inc., dated as of March 2, 2023 (incorporated by reference to Exhibit 3.1 to the Company’s Current Report on Form 8-K filed on March 7, 2023).</w:t>
              </w:r>
            </w:hyperlink>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20"/>
                  <w:u w:val="single"/>
                </w:rPr>
                <w:t>Voting and Support Agreement, dated as of May 8, 2025, by and between TaskUs, Inc. and BCP FC Aggregator L.P. (incorporated by reference to Exhibit 10.1 to the Company’s Current Report on Form 8-K filed on May 9, 2025).</w:t>
              </w:r>
            </w:hyperlink>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20"/>
                  <w:u w:val="single"/>
                </w:rPr>
                <w:t>Voting and Support Agreement, dated as of May 8, 2025, by and among TaskUs, Inc., Bryce Maddock, The Maddock 2015 Irrevocable Trust, The Bryce Maddock Family Trust and The Maddock 2015 Exempt Irrevocable Trust (incorporated by reference to Exhibit 10.2 to the Company’s Current Report on Form 8-K filed on May 9, 2025).</w:t>
              </w:r>
            </w:hyperlink>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20"/>
                  <w:u w:val="single"/>
                </w:rPr>
                <w:t>Voting and Support Agreement, dated as of May 8, 2025, by and among TaskUs, Inc., Jaspar Weir, The Weir 2015 Irrevocable Trust, The Jaspar Weir Family Trust and The Weir 2015 Exempt Irrevocable Trust (incorporated by reference to Exhibit 10.3 to the Company’s Current Report on Form 8-K filed on May 9, 2025).</w:t>
              </w:r>
            </w:hyperlink>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42025.htm">
              <w:r>
                <w:rPr>
                  <w:rStyle w:val="InternetLink"/>
                  <w:rFonts w:ascii="Times New Roman;serif" w:hAnsi="Times New Roman;serif"/>
                  <w:b w:val="false"/>
                  <w:color w:val="000080"/>
                  <w:sz w:val="20"/>
                  <w:u w:val="single"/>
                </w:rPr>
                <w:t>A</w:t>
              </w:r>
            </w:hyperlink>
            <w:hyperlink w:anchor="exhibit1042025.htm">
              <w:r>
                <w:rPr>
                  <w:rStyle w:val="InternetLink"/>
                  <w:rFonts w:ascii="Times New Roman;serif" w:hAnsi="Times New Roman;serif"/>
                  <w:b w:val="false"/>
                  <w:color w:val="000080"/>
                  <w:sz w:val="20"/>
                  <w:u w:val="single"/>
                </w:rPr>
                <w:t>mended and Restated Amendment to Restricted Stock Unit Grant Notice and Agreement dated as of July 15, 2025 by and between T</w:t>
              </w:r>
            </w:hyperlink>
            <w:hyperlink w:anchor="exhibit1042025.htm">
              <w:r>
                <w:rPr>
                  <w:rStyle w:val="InternetLink"/>
                  <w:rFonts w:ascii="Times New Roman;serif" w:hAnsi="Times New Roman;serif"/>
                  <w:b w:val="false"/>
                  <w:color w:val="000080"/>
                  <w:sz w:val="20"/>
                  <w:u w:val="single"/>
                </w:rPr>
                <w:t>askUs, Inc. and Bryce Maddock</w:t>
              </w:r>
            </w:hyperlink>
            <w:hyperlink w:anchor="exhibit1042025.htm">
              <w:r>
                <w:rPr>
                  <w:rStyle w:val="InternetLink"/>
                  <w:rFonts w:ascii="Times New Roman;serif" w:hAnsi="Times New Roman;serif"/>
                  <w:b w:val="false"/>
                  <w:color w:val="000080"/>
                  <w:sz w:val="20"/>
                  <w:u w:val="single"/>
                </w:rPr>
                <w:t>.</w:t>
              </w:r>
            </w:hyperlink>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q22025.htm">
              <w:r>
                <w:rPr>
                  <w:rStyle w:val="InternetLink"/>
                  <w:rFonts w:ascii="Times New Roman;serif" w:hAnsi="Times New Roman;serif"/>
                  <w:b w:val="false"/>
                  <w:color w:val="0000FF"/>
                  <w:sz w:val="20"/>
                  <w:u w:val="single"/>
                </w:rPr>
                <w:t>Certification of Principal Executive Officer pursuant to Exchange Act Rules 13a-14(a) and 15d-14(a), as adopted pursuant to Section 302 of the Sarbanes-Oxley Act of 2002.</w:t>
              </w:r>
            </w:hyperlink>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q22025.htm">
              <w:r>
                <w:rPr>
                  <w:rStyle w:val="InternetLink"/>
                  <w:rFonts w:ascii="Times New Roman;serif" w:hAnsi="Times New Roman;serif"/>
                  <w:b w:val="false"/>
                  <w:color w:val="0000FF"/>
                  <w:sz w:val="20"/>
                  <w:u w:val="single"/>
                </w:rPr>
                <w:t>Certification of Principal Financial Officer pursuant to Exchange Act Rules 13a-14(a) and 15d-14(a), as adopted pursuant to Section 302 of the Sarbanes-Oxley Act of 2002.</w:t>
              </w:r>
            </w:hyperlink>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1q22025.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2q22025.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the instance document does not appear in the interactive data file because its XBRL tags are embedded within the inline XBRL document</w:t>
            </w:r>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4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0" w:after="0"/>
        <w:ind w:left="0" w:right="0" w:hanging="540"/>
        <w:jc w:val="left"/>
        <w:rPr>
          <w:color w:val="000000"/>
        </w:rPr>
      </w:pPr>
      <w:r>
        <w:rPr>
          <w:color w:val="000000"/>
        </w:rPr>
        <w:t>†    </w:t>
      </w:r>
      <w:r>
        <w:rPr>
          <w:rFonts w:ascii="Times New Roman;serif" w:hAnsi="Times New Roman;serif"/>
          <w:b w:val="false"/>
          <w:color w:val="000000"/>
          <w:sz w:val="20"/>
        </w:rPr>
        <w:t>Management contract or compensatory plan or arrangement.</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agreements and other documents filed as exhibits to this Quarterly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c7d9e8bc54f84279b38a8e855d4d1689_7">
        <w:r>
          <w:rPr>
            <w:rStyle w:val="InternetLink"/>
          </w:rPr>
          <w:t>Tab</w:t>
        </w:r>
      </w:hyperlink>
      <w:hyperlink w:anchor="ic7d9e8bc54f84279b38a8e855d4d1689_7">
        <w:r>
          <w:rPr>
            <w:rStyle w:val="InternetLink"/>
          </w:rPr>
          <w:t>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696"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216"/>
        <w:gridCol w:w="216"/>
        <w:gridCol w:w="216"/>
        <w:gridCol w:w="1490"/>
        <w:gridCol w:w="1490"/>
        <w:gridCol w:w="216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TASKUS,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7, 2025</w:t>
            </w:r>
          </w:p>
        </w:tc>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Balaji Sekar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Balaji Sekar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Signatory)</w:t>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5144"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5144"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5144"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5144" w:type="dxa"/>
            <w:gridSpan w:val="3"/>
            <w:tcBorders/>
            <w:vAlign w:val="center"/>
          </w:tcPr>
          <w:p>
            <w:pPr>
              <w:pStyle w:val="TableContents"/>
              <w:bidi w:val="0"/>
              <w:spacing w:before="0" w:after="283"/>
              <w:jc w:val="left"/>
              <w:rPr>
                <w:sz w:val="4"/>
                <w:szCs w:val="4"/>
              </w:rPr>
            </w:pPr>
            <w:r>
              <w:rPr>
                <w:sz w:val="4"/>
                <w:szCs w:val="4"/>
              </w:rPr>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51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10.4</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EXECUTION VERSION</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July 15, 2025</w:t>
      </w:r>
    </w:p>
    <w:p>
      <w:pPr>
        <w:pStyle w:val="TextBody"/>
        <w:bidi w:val="0"/>
        <w:spacing w:lineRule="auto" w:line="288" w:before="0" w:after="240"/>
        <w:jc w:val="left"/>
        <w:rPr/>
      </w:pPr>
      <w:r>
        <w:rPr>
          <w:rFonts w:ascii="Times New Roman;serif" w:hAnsi="Times New Roman;serif"/>
          <w:b/>
          <w:color w:val="000000"/>
          <w:sz w:val="24"/>
          <w:u w:val="single"/>
        </w:rPr>
        <w:t>VIA EMAIL</w:t>
      </w:r>
      <w:r>
        <w:rPr>
          <w:rFonts w:ascii="Times New Roman;serif" w:hAnsi="Times New Roman;serif"/>
          <w:b w:val="false"/>
          <w:color w:val="000000"/>
          <w:sz w:val="24"/>
        </w:rPr>
        <w:br/>
        <w:t>Bryce Maddock</w:t>
      </w:r>
    </w:p>
    <w:p>
      <w:pPr>
        <w:pStyle w:val="TextBody"/>
        <w:bidi w:val="0"/>
        <w:spacing w:lineRule="auto" w:line="288" w:before="0" w:after="240"/>
        <w:ind w:left="0" w:right="0" w:hanging="720"/>
        <w:jc w:val="left"/>
        <w:rPr/>
      </w:pPr>
      <w:r>
        <w:rPr>
          <w:rFonts w:ascii="Times New Roman;serif" w:hAnsi="Times New Roman;serif"/>
          <w:b w:val="false"/>
          <w:color w:val="000000"/>
          <w:sz w:val="24"/>
        </w:rPr>
        <w:t xml:space="preserve">Re:    Amended and Restated </w:t>
      </w:r>
      <w:r>
        <w:rPr>
          <w:rFonts w:ascii="Times New Roman;serif" w:hAnsi="Times New Roman;serif"/>
          <w:b w:val="false"/>
          <w:color w:val="000000"/>
          <w:sz w:val="24"/>
          <w:u w:val="single"/>
        </w:rPr>
        <w:t>Amendment to Restricted Stock Unit Grant Notice</w:t>
        <w:br/>
        <w:t>and Agreement &amp; Performance Stock Unit Grant Notice and Agreement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Dear Bryce:</w:t>
      </w:r>
    </w:p>
    <w:p>
      <w:pPr>
        <w:pStyle w:val="TextBody"/>
        <w:bidi w:val="0"/>
        <w:spacing w:lineRule="auto" w:line="288" w:before="0" w:after="240"/>
        <w:jc w:val="left"/>
        <w:rPr/>
      </w:pPr>
      <w:r>
        <w:rPr>
          <w:rFonts w:ascii="Times New Roman;serif" w:hAnsi="Times New Roman;serif"/>
          <w:b w:val="false"/>
          <w:color w:val="000000"/>
          <w:sz w:val="24"/>
        </w:rPr>
        <w:t>Reference is made to that certain Restricted Stock Unit Grant Notice and Agreement, dated June 10, 2021 (as amended, the “</w:t>
      </w:r>
      <w:r>
        <w:rPr>
          <w:rFonts w:ascii="Times New Roman;serif" w:hAnsi="Times New Roman;serif"/>
          <w:b w:val="false"/>
          <w:color w:val="000000"/>
          <w:sz w:val="24"/>
          <w:u w:val="single"/>
        </w:rPr>
        <w:t>RSU Agreement</w:t>
      </w:r>
      <w:r>
        <w:rPr>
          <w:color w:val="000000"/>
        </w:rPr>
        <w:t>”</w:t>
      </w:r>
      <w:r>
        <w:rPr>
          <w:rFonts w:ascii="Times New Roman;serif" w:hAnsi="Times New Roman;serif"/>
          <w:b w:val="false"/>
          <w:color w:val="000000"/>
          <w:sz w:val="24"/>
        </w:rPr>
        <w:t>), by and between you and TaskUs,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that certain Performance Stock Unit Grant Notice and Agreement, dated June 3, 2024 (the “</w:t>
      </w:r>
      <w:r>
        <w:rPr>
          <w:rFonts w:ascii="Times New Roman;serif" w:hAnsi="Times New Roman;serif"/>
          <w:b w:val="false"/>
          <w:color w:val="000000"/>
          <w:sz w:val="24"/>
          <w:u w:val="single"/>
        </w:rPr>
        <w:t>PSU Agreement</w:t>
      </w:r>
      <w:r>
        <w:rPr>
          <w:color w:val="000000"/>
        </w:rPr>
        <w:t>”</w:t>
      </w:r>
      <w:r>
        <w:rPr>
          <w:rFonts w:ascii="Times New Roman;serif" w:hAnsi="Times New Roman;serif"/>
          <w:b w:val="false"/>
          <w:color w:val="000000"/>
          <w:sz w:val="24"/>
        </w:rPr>
        <w:t>), by and between you and the Company, each as amended by that certain Amendment to Restricted Stock Unit Grant Notice and Agreement &amp; Performance Stock Unit Grant Notice and Agreement, dated June 4, 2025, by and between you and the Company (the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Capitalized terms used but not otherwise defined herein shall have the meanings ascribed to such terms in the RSU Agreement or PSU Agreement, as applicable.</w:t>
      </w:r>
    </w:p>
    <w:p>
      <w:pPr>
        <w:pStyle w:val="TextBody"/>
        <w:bidi w:val="0"/>
        <w:spacing w:lineRule="auto" w:line="288" w:before="0" w:after="240"/>
        <w:jc w:val="left"/>
        <w:rPr/>
      </w:pPr>
      <w:r>
        <w:rPr>
          <w:rFonts w:ascii="Times New Roman;serif" w:hAnsi="Times New Roman;serif"/>
          <w:b w:val="false"/>
          <w:color w:val="000000"/>
          <w:sz w:val="24"/>
        </w:rPr>
        <w:t>This letter amends and restates in its entirety the Amendment and confirms our mutual agreement with respect to (i) the final vesting tranche of Restricted Stock Units (the “</w:t>
      </w:r>
      <w:r>
        <w:rPr>
          <w:rFonts w:ascii="Times New Roman;serif" w:hAnsi="Times New Roman;serif"/>
          <w:b w:val="false"/>
          <w:color w:val="000000"/>
          <w:sz w:val="24"/>
          <w:u w:val="single"/>
        </w:rPr>
        <w:t>Subject RSUs</w:t>
      </w:r>
      <w:r>
        <w:rPr>
          <w:color w:val="000000"/>
        </w:rPr>
        <w:t>”</w:t>
      </w:r>
      <w:r>
        <w:rPr>
          <w:rFonts w:ascii="Times New Roman;serif" w:hAnsi="Times New Roman;serif"/>
          <w:b w:val="false"/>
          <w:color w:val="000000"/>
          <w:sz w:val="24"/>
        </w:rPr>
        <w:t>) scheduled to vest on the fourth anniversary of the Vesting Reference Date (</w:t>
      </w:r>
      <w:r>
        <w:rPr>
          <w:rFonts w:ascii="Times New Roman;serif" w:hAnsi="Times New Roman;serif"/>
          <w:b w:val="false"/>
          <w:i/>
          <w:color w:val="000000"/>
          <w:sz w:val="24"/>
        </w:rPr>
        <w:t>i</w:t>
      </w:r>
      <w:r>
        <w:rPr>
          <w:rFonts w:ascii="Times New Roman;serif" w:hAnsi="Times New Roman;serif"/>
          <w:b w:val="false"/>
          <w:color w:val="000000"/>
          <w:sz w:val="24"/>
        </w:rPr>
        <w:t>.</w:t>
      </w:r>
      <w:r>
        <w:rPr>
          <w:rFonts w:ascii="Times New Roman;serif" w:hAnsi="Times New Roman;serif"/>
          <w:b w:val="false"/>
          <w:i/>
          <w:color w:val="000000"/>
          <w:sz w:val="24"/>
        </w:rPr>
        <w:t>e</w:t>
      </w:r>
      <w:r>
        <w:rPr>
          <w:rFonts w:ascii="Times New Roman;serif" w:hAnsi="Times New Roman;serif"/>
          <w:b w:val="false"/>
          <w:color w:val="000000"/>
          <w:sz w:val="24"/>
        </w:rPr>
        <w:t>., June 15, 2025) and (ii) the Performance Stock Units eligible to vest and become earned with respect to the First Performance Period (the “</w:t>
      </w:r>
      <w:r>
        <w:rPr>
          <w:rFonts w:ascii="Times New Roman;serif" w:hAnsi="Times New Roman;serif"/>
          <w:b w:val="false"/>
          <w:color w:val="000000"/>
          <w:sz w:val="24"/>
          <w:u w:val="single"/>
        </w:rPr>
        <w:t>Subject PSUs</w:t>
      </w:r>
      <w:r>
        <w:rPr>
          <w:color w:val="000000"/>
        </w:rPr>
        <w:t>”</w:t>
      </w:r>
      <w:r>
        <w:rPr>
          <w:rFonts w:ascii="Times New Roman;serif" w:hAnsi="Times New Roman;serif"/>
          <w:b w:val="false"/>
          <w:color w:val="000000"/>
          <w:sz w:val="24"/>
        </w:rPr>
        <w:t>). Notwithstanding anything in the RSU Agreement or the PSU Agreement to the contrary, you and the Company hereby acknowledge and agree that (i) the Subject RSUs shall vest on July 18, 2025, provided that you have not undergone a Termination prior to such date and (ii) the Determination Date with respect to the Subject PSUs shall be not later than 60 days following the end of the First Performance Period and in no event shall any Subject PSUs vest or become earned prior to such Determination Date.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Except as expressly provided in this letter, all other terms and conditions of the RSU Agreement and the PSU Agreement shall remain in full force and effect in accordance with its respective terms. The Amendment is hereby superseded by this letter, effective of the date hereof, and is of no further force or effect. This letter may not be modified or amended unless agreed to in writing by you and the Company. This letter shall be construed and interpreted in accordance with the laws of the State of Delaware, without regard to the principles of conflicts of law thereof.</w:t>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Follow</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Please confirm your agreement to the terms and conditions set forth above by countersigning this letter in the space indicated below.</w:t>
      </w:r>
    </w:p>
    <w:p>
      <w:pPr>
        <w:pStyle w:val="TextBody"/>
        <w:bidi w:val="0"/>
        <w:spacing w:lineRule="auto" w:line="288" w:before="480" w:after="240"/>
        <w:jc w:val="left"/>
        <w:rPr>
          <w:rFonts w:ascii="Times New Roman;serif" w:hAnsi="Times New Roman;serif"/>
          <w:b w:val="false"/>
          <w:color w:val="000000"/>
          <w:sz w:val="24"/>
        </w:rPr>
      </w:pPr>
      <w:r>
        <w:rPr>
          <w:rFonts w:ascii="Times New Roman;serif" w:hAnsi="Times New Roman;serif"/>
          <w:b w:val="false"/>
          <w:color w:val="000000"/>
          <w:sz w:val="24"/>
        </w:rPr>
        <w:t>Sincerely,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TASKUS, INC.</w:t>
      </w:r>
    </w:p>
    <w:p>
      <w:pPr>
        <w:pStyle w:val="TextBody"/>
        <w:bidi w:val="0"/>
        <w:spacing w:lineRule="auto" w:line="288" w:before="600" w:after="240"/>
        <w:ind w:left="0" w:right="0" w:hanging="45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Balaji Sekar    </w:t>
      </w:r>
      <w:r>
        <w:rPr>
          <w:rFonts w:ascii="Times New Roman;serif" w:hAnsi="Times New Roman;serif"/>
          <w:b w:val="false"/>
          <w:color w:val="000000"/>
          <w:sz w:val="24"/>
        </w:rPr>
        <w:br/>
        <w:t>Name: Balaji Sekar</w:t>
        <w:br/>
        <w:t>Title: Chief Financial Officer</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Acknowledged and Agreed:</w:t>
      </w:r>
    </w:p>
    <w:p>
      <w:pPr>
        <w:pStyle w:val="TextBody"/>
        <w:bidi w:val="0"/>
        <w:spacing w:lineRule="auto" w:line="288" w:before="600" w:after="240"/>
        <w:jc w:val="left"/>
        <w:rPr/>
      </w:pPr>
      <w:r>
        <w:rPr>
          <w:rFonts w:ascii="Times New Roman;serif" w:hAnsi="Times New Roman;serif"/>
          <w:b w:val="false"/>
          <w:color w:val="000000"/>
          <w:sz w:val="24"/>
          <w:u w:val="single"/>
        </w:rPr>
        <w:t>/s/ Bryce Maddock    </w:t>
        <w:br/>
      </w:r>
      <w:r>
        <w:rPr>
          <w:rFonts w:ascii="Times New Roman;serif" w:hAnsi="Times New Roman;serif"/>
          <w:b w:val="false"/>
          <w:color w:val="000000"/>
          <w:sz w:val="24"/>
        </w:rPr>
        <w:t>Bryce Maddock</w:t>
      </w:r>
    </w:p>
    <w:p>
      <w:pPr>
        <w:pStyle w:val="TextBody"/>
        <w:bidi w:val="0"/>
        <w:spacing w:lineRule="auto" w:line="288" w:before="240" w:after="240"/>
        <w:jc w:val="left"/>
        <w:rPr/>
      </w:pPr>
      <w:r>
        <w:rPr>
          <w:rFonts w:ascii="Times New Roman;serif" w:hAnsi="Times New Roman;serif"/>
          <w:b w:val="false"/>
          <w:color w:val="000000"/>
          <w:sz w:val="24"/>
        </w:rPr>
        <w:t xml:space="preserve">Date: </w:t>
      </w:r>
      <w:r>
        <w:rPr>
          <w:rFonts w:ascii="Times New Roman;serif" w:hAnsi="Times New Roman;serif"/>
          <w:b w:val="false"/>
          <w:color w:val="000000"/>
          <w:sz w:val="24"/>
          <w:u w:val="single"/>
        </w:rPr>
        <w:t>July 10, 2025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A&amp;R Amendment to RSU Agreement and PSU Agreement</w:t>
                            </w:r>
                            <w:r>
                              <w:rPr>
                                <w:rFonts w:ascii="Times New Roman;serif" w:hAnsi="Times New Roman;serif"/>
                                <w:b w:val="false"/>
                                <w:color w:val="000000"/>
                                <w:sz w:val="2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A&amp;R Amendment to RSU Agreement and PSU Agreement</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Bryce Maddock, certify that: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2025 of TaskUs, Inc.;</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318" w:type="dxa"/>
        <w:jc w:val="left"/>
        <w:tblInd w:w="0" w:type="dxa"/>
        <w:tblLayout w:type="fixed"/>
        <w:tblCellMar>
          <w:top w:w="28" w:type="dxa"/>
          <w:left w:w="28" w:type="dxa"/>
          <w:bottom w:w="28" w:type="dxa"/>
          <w:right w:w="28" w:type="dxa"/>
        </w:tblCellMar>
      </w:tblPr>
      <w:tblGrid>
        <w:gridCol w:w="667"/>
        <w:gridCol w:w="587"/>
        <w:gridCol w:w="590"/>
        <w:gridCol w:w="723"/>
        <w:gridCol w:w="723"/>
        <w:gridCol w:w="102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36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2025</w:t>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Bryce Maddock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Bryce Maddock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Balaji Sekar, certify that: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2025 of TaskUs, Inc.;</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259" w:type="dxa"/>
        <w:jc w:val="right"/>
        <w:tblInd w:w="0" w:type="dxa"/>
        <w:tblLayout w:type="fixed"/>
        <w:tblCellMar>
          <w:top w:w="28" w:type="dxa"/>
          <w:left w:w="28" w:type="dxa"/>
          <w:bottom w:w="28" w:type="dxa"/>
          <w:right w:w="28" w:type="dxa"/>
        </w:tblCellMar>
      </w:tblPr>
      <w:tblGrid>
        <w:gridCol w:w="667"/>
        <w:gridCol w:w="587"/>
        <w:gridCol w:w="590"/>
        <w:gridCol w:w="707"/>
        <w:gridCol w:w="707"/>
        <w:gridCol w:w="100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2025</w:t>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Balaji Sekar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Balaji Sekar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540"/>
        <w:jc w:val="left"/>
        <w:rPr/>
      </w:pPr>
      <w:r>
        <w:rPr>
          <w:rFonts w:ascii="Times New Roman;serif" w:hAnsi="Times New Roman;serif"/>
          <w:b w:val="false"/>
          <w:color w:val="000000"/>
          <w:sz w:val="20"/>
        </w:rPr>
        <w:t>In connection with the Quarterly Report on Form 10-Q of TaskUs,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for the quarter ended June 30, 2025 as filed with the Securities and Exchange Commission on the date hereof (the “</w:t>
      </w:r>
      <w:r>
        <w:rPr>
          <w:rFonts w:ascii="Times New Roman;serif" w:hAnsi="Times New Roman;serif"/>
          <w:b w:val="false"/>
          <w:color w:val="000000"/>
          <w:sz w:val="20"/>
          <w:u w:val="single"/>
        </w:rPr>
        <w:t>Report</w:t>
      </w:r>
      <w:r>
        <w:rPr>
          <w:color w:val="000000"/>
        </w:rPr>
        <w:t>”</w:t>
      </w:r>
      <w:r>
        <w:rPr>
          <w:rFonts w:ascii="Times New Roman;serif" w:hAnsi="Times New Roman;serif"/>
          <w:b w:val="false"/>
          <w:color w:val="000000"/>
          <w:sz w:val="20"/>
        </w:rPr>
        <w:t>), I, Bryce Maddock, Chief Executive Officer of the Company, certify, pursuant to 18 U.S.C. Section 1350, as adopted pursuant to Section 906 of the Sarbanes-Oxley Act of 2002, that: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816" w:type="dxa"/>
        <w:jc w:val="left"/>
        <w:tblInd w:w="0" w:type="dxa"/>
        <w:tblLayout w:type="fixed"/>
        <w:tblCellMar>
          <w:top w:w="28" w:type="dxa"/>
          <w:left w:w="28" w:type="dxa"/>
          <w:bottom w:w="28" w:type="dxa"/>
          <w:right w:w="28" w:type="dxa"/>
        </w:tblCellMar>
      </w:tblPr>
      <w:tblGrid>
        <w:gridCol w:w="884"/>
        <w:gridCol w:w="779"/>
        <w:gridCol w:w="781"/>
        <w:gridCol w:w="109"/>
        <w:gridCol w:w="109"/>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Bryce Maddock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Bryce Maddock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August 7,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540"/>
        <w:jc w:val="left"/>
        <w:rPr/>
      </w:pPr>
      <w:r>
        <w:rPr>
          <w:rFonts w:ascii="Times New Roman;serif" w:hAnsi="Times New Roman;serif"/>
          <w:b w:val="false"/>
          <w:color w:val="000000"/>
          <w:sz w:val="20"/>
        </w:rPr>
        <w:t>In connection with the Quarterly Report on Form 10-Q of TaskUs,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for the quarter ended June 30, 2025 as filed with the Securities and Exchange Commission on the date hereof (the “</w:t>
      </w:r>
      <w:r>
        <w:rPr>
          <w:rFonts w:ascii="Times New Roman;serif" w:hAnsi="Times New Roman;serif"/>
          <w:b w:val="false"/>
          <w:color w:val="000000"/>
          <w:sz w:val="20"/>
          <w:u w:val="single"/>
        </w:rPr>
        <w:t>Report</w:t>
      </w:r>
      <w:r>
        <w:rPr>
          <w:color w:val="000000"/>
        </w:rPr>
        <w:t>”</w:t>
      </w:r>
      <w:r>
        <w:rPr>
          <w:rFonts w:ascii="Times New Roman;serif" w:hAnsi="Times New Roman;serif"/>
          <w:b w:val="false"/>
          <w:color w:val="000000"/>
          <w:sz w:val="20"/>
        </w:rPr>
        <w:t>), I, Balaji Sekar, Chief Financial Officer of the Company, certify, pursuant to 18 U.S.C. Section 1350, as adopted pursuant to Section 906 of the Sarbanes-Oxley Act of 2002, that: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2757" w:type="dxa"/>
        <w:jc w:val="left"/>
        <w:tblInd w:w="0" w:type="dxa"/>
        <w:tblLayout w:type="fixed"/>
        <w:tblCellMar>
          <w:top w:w="28" w:type="dxa"/>
          <w:left w:w="28" w:type="dxa"/>
          <w:bottom w:w="28" w:type="dxa"/>
          <w:right w:w="28" w:type="dxa"/>
        </w:tblCellMar>
      </w:tblPr>
      <w:tblGrid>
        <w:gridCol w:w="865"/>
        <w:gridCol w:w="756"/>
        <w:gridCol w:w="764"/>
        <w:gridCol w:w="109"/>
        <w:gridCol w:w="109"/>
        <w:gridCol w:w="154"/>
      </w:tblGrid>
      <w:tr>
        <w:trPr/>
        <w:tc>
          <w:tcPr>
            <w:tcW w:w="86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Balaji Sekar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Balaji Sekar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August 7, 2025</w:t>
      </w:r>
    </w:p>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9864/000095015725000390/ex2-1.htm" TargetMode="External"/><Relationship Id="rId3" Type="http://schemas.openxmlformats.org/officeDocument/2006/relationships/hyperlink" Target="https://www.sec.gov/Archives/edgar/data/1829864/000119312521191190/d191129dex31.htm" TargetMode="External"/><Relationship Id="rId4" Type="http://schemas.openxmlformats.org/officeDocument/2006/relationships/hyperlink" Target="https://www.sec.gov/Archives/edgar/data/1829864/000182986424000011/exhibit322023.htm" TargetMode="External"/><Relationship Id="rId5" Type="http://schemas.openxmlformats.org/officeDocument/2006/relationships/hyperlink" Target="https://www.sec.gov/Archives/edgar/data/1829864/000182986423000026/exhibit31thirdamendedandre.htm" TargetMode="External"/><Relationship Id="rId6" Type="http://schemas.openxmlformats.org/officeDocument/2006/relationships/hyperlink" Target="https://www.sec.gov/Archives/edgar/data/1829864/000095015725000390/ex10-1.htm" TargetMode="External"/><Relationship Id="rId7" Type="http://schemas.openxmlformats.org/officeDocument/2006/relationships/hyperlink" Target="https://www.sec.gov/Archives/edgar/data/1829864/000095015725000390/ex10-2.htm" TargetMode="External"/><Relationship Id="rId8" Type="http://schemas.openxmlformats.org/officeDocument/2006/relationships/hyperlink" Target="https://www.sec.gov/Archives/edgar/data/1829864/000095015725000390/ex10-3.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23139</Words>
  <Characters>128562</Characters>
  <CharactersWithSpaces>149878</CharactersWithSpaces>
  <Paragraphs>3363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