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TaskUs,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Dalton Investments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4,302,805.00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4,302,805.00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4,302,805.00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0"/>
        <w:gridCol w:w="8960"/>
        <w:gridCol w:w="155"/>
      </w:tblGrid>
      <w:tr>
        <w:trPr/>
        <w:tc>
          <w:tcPr>
            <w:tcW w:w="1090" w:type="dxa"/>
            <w:tcBorders/>
            <w:vAlign w:val="center"/>
          </w:tcPr>
          <w:p>
            <w:pPr>
              <w:pStyle w:val="TableContents"/>
              <w:bidi w:val="0"/>
              <w:spacing w:before="0" w:after="283"/>
              <w:jc w:val="left"/>
              <w:rPr/>
            </w:pPr>
            <w:r>
              <w:rPr/>
              <w:t>Item 1.</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issuer: </w:t>
            </w:r>
          </w:p>
          <w:p>
            <w:pPr>
              <w:pStyle w:val="TableContents"/>
              <w:bidi w:val="0"/>
              <w:spacing w:before="0" w:after="0"/>
              <w:jc w:val="left"/>
              <w:rPr/>
            </w:pPr>
            <w:r>
              <w:rPr/>
              <w:t>TaskUs,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1650 Independence Drive, Suite 100, New Braunfels, TEXAS 78132</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2.</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Dalton Investments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Persons is 360 N Pacific Coast Highway Suite 1060 El Segundo, CA 90245</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jc w:val="left"/>
              <w:rPr/>
            </w:pPr>
            <w:r>
              <w:rPr/>
              <w:t xml:space="preserve">Citizenship: </w:t>
            </w:r>
          </w:p>
          <w:p>
            <w:pPr>
              <w:pStyle w:val="TableContents"/>
              <w:bidi w:val="0"/>
              <w:spacing w:before="0" w:after="0"/>
              <w:jc w:val="left"/>
              <w:rPr/>
            </w:pPr>
            <w:r>
              <w:rPr/>
              <w:t>Dalton Investments, Inc. is a corporation formed in the State of Nevada.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3.</w:t>
            </w:r>
          </w:p>
        </w:tc>
        <w:tc>
          <w:tcPr>
            <w:tcW w:w="89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(f)</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(g)</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(h)</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(j)</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(k)</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9115" w:type="dxa"/>
            <w:gridSpan w:val="2"/>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4.</w:t>
            </w:r>
          </w:p>
        </w:tc>
        <w:tc>
          <w:tcPr>
            <w:tcW w:w="89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July 31, 2026, the Reporting Persons may be deemed to beneficially own in the aggregate 4,302,805 Shares.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July 31, 2026, the Reporting Persons may be deemed to beneficially own in the aggregate 4,302,805 Shares, representing approximately 11.77% of the Issuer's outstanding Shares (based on 36,545,511 outstanding Shares as of May 07, 2026, as set forth in the Issuer's Quarterly Report on Form 10-Q filed with the SEC on May 07, 2026).  %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4,302,805.00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4,302,805.00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5.</w:t>
            </w:r>
          </w:p>
        </w:tc>
        <w:tc>
          <w:tcPr>
            <w:tcW w:w="89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6.</w:t>
            </w:r>
          </w:p>
        </w:tc>
        <w:tc>
          <w:tcPr>
            <w:tcW w:w="89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7.</w:t>
            </w:r>
          </w:p>
        </w:tc>
        <w:tc>
          <w:tcPr>
            <w:tcW w:w="89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8.</w:t>
            </w:r>
          </w:p>
        </w:tc>
        <w:tc>
          <w:tcPr>
            <w:tcW w:w="89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9.</w:t>
            </w:r>
          </w:p>
        </w:tc>
        <w:tc>
          <w:tcPr>
            <w:tcW w:w="89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Dalton Investments Inc.</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Christopher Ha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Christopher Ha, Chief Compliance Officer and Counsel</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4274</Characters>
  <CharactersWithSpaces>5095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