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443865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8"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_______________________</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4"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53" w:lineRule="exact"/>
        <w:rPr>
          <w:sz w:val="24"/>
          <w:szCs w:val="24"/>
          <w:color w:val="auto"/>
        </w:rPr>
      </w:pPr>
    </w:p>
    <w:p>
      <w:pPr>
        <w:ind w:left="460" w:hanging="438"/>
        <w:spacing w:after="0"/>
        <w:tabs>
          <w:tab w:leader="none" w:pos="4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16"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For the transition period from_____________to______________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001-40482</w:t>
      </w:r>
    </w:p>
    <w:p>
      <w:pPr>
        <w:spacing w:after="0" w:line="122"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TaskUs,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_______________________</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6060" w:type="dxa"/>
            <w:vAlign w:val="bottom"/>
          </w:tcPr>
          <w:p>
            <w:pPr>
              <w:jc w:val="center"/>
              <w:ind w:right="3322"/>
              <w:spacing w:after="0"/>
              <w:rPr>
                <w:sz w:val="20"/>
                <w:szCs w:val="20"/>
                <w:color w:val="auto"/>
              </w:rPr>
            </w:pPr>
            <w:r>
              <w:rPr>
                <w:rFonts w:ascii="Arial" w:cs="Arial" w:eastAsia="Arial" w:hAnsi="Arial"/>
                <w:sz w:val="17"/>
                <w:szCs w:val="17"/>
                <w:b w:val="1"/>
                <w:bCs w:val="1"/>
                <w:color w:val="auto"/>
                <w:w w:val="93"/>
              </w:rPr>
              <w:t>Delaware</w:t>
            </w:r>
          </w:p>
        </w:tc>
        <w:tc>
          <w:tcPr>
            <w:tcW w:w="1420" w:type="dxa"/>
            <w:vAlign w:val="bottom"/>
          </w:tcPr>
          <w:p>
            <w:pPr>
              <w:jc w:val="right"/>
              <w:ind w:right="23"/>
              <w:spacing w:after="0"/>
              <w:rPr>
                <w:sz w:val="20"/>
                <w:szCs w:val="20"/>
                <w:color w:val="auto"/>
              </w:rPr>
            </w:pPr>
            <w:r>
              <w:rPr>
                <w:rFonts w:ascii="Arial" w:cs="Arial" w:eastAsia="Arial" w:hAnsi="Arial"/>
                <w:sz w:val="17"/>
                <w:szCs w:val="17"/>
                <w:b w:val="1"/>
                <w:bCs w:val="1"/>
                <w:color w:val="auto"/>
              </w:rPr>
              <w:t>83-1586636</w:t>
            </w:r>
          </w:p>
        </w:tc>
        <w:tc>
          <w:tcPr>
            <w:tcW w:w="0" w:type="dxa"/>
            <w:vAlign w:val="bottom"/>
          </w:tcPr>
          <w:p>
            <w:pPr>
              <w:spacing w:after="0"/>
              <w:rPr>
                <w:sz w:val="1"/>
                <w:szCs w:val="1"/>
                <w:color w:val="auto"/>
              </w:rPr>
            </w:pPr>
          </w:p>
        </w:tc>
      </w:tr>
      <w:tr>
        <w:trPr>
          <w:trHeight w:val="140"/>
        </w:trPr>
        <w:tc>
          <w:tcPr>
            <w:tcW w:w="6060" w:type="dxa"/>
            <w:vAlign w:val="bottom"/>
          </w:tcPr>
          <w:p>
            <w:pPr>
              <w:jc w:val="center"/>
              <w:ind w:right="3322"/>
              <w:spacing w:after="0" w:line="140" w:lineRule="exact"/>
              <w:rPr>
                <w:sz w:val="20"/>
                <w:szCs w:val="20"/>
                <w:color w:val="auto"/>
              </w:rPr>
            </w:pPr>
            <w:r>
              <w:rPr>
                <w:rFonts w:ascii="Arial" w:cs="Arial" w:eastAsia="Arial" w:hAnsi="Arial"/>
                <w:sz w:val="14"/>
                <w:szCs w:val="14"/>
                <w:b w:val="1"/>
                <w:bCs w:val="1"/>
                <w:color w:val="auto"/>
                <w:w w:val="90"/>
              </w:rPr>
              <w:t>State or other jurisdiction of</w:t>
            </w:r>
          </w:p>
        </w:tc>
        <w:tc>
          <w:tcPr>
            <w:tcW w:w="1420" w:type="dxa"/>
            <w:vAlign w:val="bottom"/>
          </w:tcPr>
          <w:p>
            <w:pPr>
              <w:jc w:val="center"/>
              <w:ind w:left="303"/>
              <w:spacing w:after="0" w:line="140"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2"/>
        </w:trPr>
        <w:tc>
          <w:tcPr>
            <w:tcW w:w="6060" w:type="dxa"/>
            <w:vAlign w:val="bottom"/>
          </w:tcPr>
          <w:p>
            <w:pPr>
              <w:jc w:val="center"/>
              <w:ind w:right="3322"/>
              <w:spacing w:after="0"/>
              <w:rPr>
                <w:sz w:val="20"/>
                <w:szCs w:val="20"/>
                <w:color w:val="auto"/>
              </w:rPr>
            </w:pPr>
            <w:r>
              <w:rPr>
                <w:rFonts w:ascii="Arial" w:cs="Arial" w:eastAsia="Arial" w:hAnsi="Arial"/>
                <w:sz w:val="14"/>
                <w:szCs w:val="14"/>
                <w:b w:val="1"/>
                <w:bCs w:val="1"/>
                <w:color w:val="auto"/>
                <w:w w:val="91"/>
              </w:rPr>
              <w:t>incorporation or organization</w:t>
            </w:r>
          </w:p>
        </w:tc>
        <w:tc>
          <w:tcPr>
            <w:tcW w:w="1420" w:type="dxa"/>
            <w:vAlign w:val="bottom"/>
          </w:tcPr>
          <w:p>
            <w:pPr>
              <w:jc w:val="center"/>
              <w:ind w:left="30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262"/>
        </w:trPr>
        <w:tc>
          <w:tcPr>
            <w:tcW w:w="6060" w:type="dxa"/>
            <w:vAlign w:val="bottom"/>
          </w:tcPr>
          <w:p>
            <w:pPr>
              <w:jc w:val="center"/>
              <w:ind w:right="3322"/>
              <w:spacing w:after="0"/>
              <w:rPr>
                <w:sz w:val="20"/>
                <w:szCs w:val="20"/>
                <w:color w:val="auto"/>
              </w:rPr>
            </w:pPr>
            <w:r>
              <w:rPr>
                <w:rFonts w:ascii="Arial" w:cs="Arial" w:eastAsia="Arial" w:hAnsi="Arial"/>
                <w:sz w:val="17"/>
                <w:szCs w:val="17"/>
                <w:b w:val="1"/>
                <w:bCs w:val="1"/>
                <w:color w:val="auto"/>
                <w:w w:val="92"/>
              </w:rPr>
              <w:t>1650 Independence Drive, Suite 100</w:t>
            </w:r>
          </w:p>
        </w:tc>
        <w:tc>
          <w:tcPr>
            <w:tcW w:w="1420" w:type="dxa"/>
            <w:vAlign w:val="bottom"/>
            <w:vMerge w:val="restart"/>
          </w:tcPr>
          <w:p>
            <w:pPr>
              <w:jc w:val="right"/>
              <w:ind w:right="223"/>
              <w:spacing w:after="0"/>
              <w:rPr>
                <w:sz w:val="20"/>
                <w:szCs w:val="20"/>
                <w:color w:val="auto"/>
              </w:rPr>
            </w:pPr>
            <w:r>
              <w:rPr>
                <w:rFonts w:ascii="Arial" w:cs="Arial" w:eastAsia="Arial" w:hAnsi="Arial"/>
                <w:sz w:val="17"/>
                <w:szCs w:val="17"/>
                <w:b w:val="1"/>
                <w:bCs w:val="1"/>
                <w:color w:val="auto"/>
              </w:rPr>
              <w:t>78132</w:t>
            </w:r>
          </w:p>
        </w:tc>
        <w:tc>
          <w:tcPr>
            <w:tcW w:w="0" w:type="dxa"/>
            <w:vAlign w:val="bottom"/>
          </w:tcPr>
          <w:p>
            <w:pPr>
              <w:spacing w:after="0"/>
              <w:rPr>
                <w:sz w:val="1"/>
                <w:szCs w:val="1"/>
                <w:color w:val="auto"/>
              </w:rPr>
            </w:pPr>
          </w:p>
        </w:tc>
      </w:tr>
      <w:tr>
        <w:trPr>
          <w:trHeight w:val="213"/>
        </w:trPr>
        <w:tc>
          <w:tcPr>
            <w:tcW w:w="6060" w:type="dxa"/>
            <w:vAlign w:val="bottom"/>
          </w:tcPr>
          <w:p>
            <w:pPr>
              <w:jc w:val="center"/>
              <w:ind w:right="3302"/>
              <w:spacing w:after="0"/>
              <w:rPr>
                <w:sz w:val="20"/>
                <w:szCs w:val="20"/>
                <w:color w:val="auto"/>
              </w:rPr>
            </w:pPr>
            <w:r>
              <w:rPr>
                <w:rFonts w:ascii="Arial" w:cs="Arial" w:eastAsia="Arial" w:hAnsi="Arial"/>
                <w:sz w:val="17"/>
                <w:szCs w:val="17"/>
                <w:b w:val="1"/>
                <w:bCs w:val="1"/>
                <w:color w:val="auto"/>
                <w:w w:val="91"/>
              </w:rPr>
              <w:t>New Braunfels, Texas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60" w:type="dxa"/>
            <w:vAlign w:val="bottom"/>
          </w:tcPr>
          <w:p>
            <w:pPr>
              <w:jc w:val="center"/>
              <w:ind w:right="3322"/>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420" w:type="dxa"/>
            <w:vAlign w:val="bottom"/>
          </w:tcPr>
          <w:p>
            <w:pPr>
              <w:jc w:val="center"/>
              <w:ind w:left="303"/>
              <w:spacing w:after="0"/>
              <w:rPr>
                <w:sz w:val="20"/>
                <w:szCs w:val="20"/>
                <w:color w:val="auto"/>
              </w:rPr>
            </w:pPr>
            <w:r>
              <w:rPr>
                <w:rFonts w:ascii="Arial" w:cs="Arial" w:eastAsia="Arial" w:hAnsi="Arial"/>
                <w:sz w:val="14"/>
                <w:szCs w:val="14"/>
                <w:b w:val="1"/>
                <w:bCs w:val="1"/>
                <w:color w:val="auto"/>
                <w:w w:val="93"/>
              </w:rPr>
              <w:t>Zip Code</w:t>
            </w:r>
          </w:p>
        </w:tc>
        <w:tc>
          <w:tcPr>
            <w:tcW w:w="0" w:type="dxa"/>
            <w:vAlign w:val="bottom"/>
          </w:tcPr>
          <w:p>
            <w:pPr>
              <w:spacing w:after="0"/>
              <w:rPr>
                <w:sz w:val="1"/>
                <w:szCs w:val="1"/>
                <w:color w:val="auto"/>
              </w:rPr>
            </w:pPr>
          </w:p>
        </w:tc>
      </w:tr>
      <w:tr>
        <w:trPr>
          <w:trHeight w:val="497"/>
        </w:trPr>
        <w:tc>
          <w:tcPr>
            <w:tcW w:w="6060" w:type="dxa"/>
            <w:vAlign w:val="bottom"/>
          </w:tcPr>
          <w:p>
            <w:pPr>
              <w:jc w:val="right"/>
              <w:ind w:right="1302"/>
              <w:spacing w:after="0"/>
              <w:rPr>
                <w:sz w:val="20"/>
                <w:szCs w:val="20"/>
                <w:color w:val="auto"/>
              </w:rPr>
            </w:pPr>
            <w:r>
              <w:rPr>
                <w:rFonts w:ascii="Arial" w:cs="Arial" w:eastAsia="Arial" w:hAnsi="Arial"/>
                <w:sz w:val="17"/>
                <w:szCs w:val="17"/>
                <w:b w:val="1"/>
                <w:bCs w:val="1"/>
                <w:color w:val="auto"/>
              </w:rPr>
              <w:t>(888) 400-8275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60" w:type="dxa"/>
            <w:vAlign w:val="bottom"/>
          </w:tcPr>
          <w:p>
            <w:pPr>
              <w:jc w:val="center"/>
              <w:ind w:left="214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_______________________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68"/>
        </w:trPr>
        <w:tc>
          <w:tcPr>
            <w:tcW w:w="36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7"/>
                <w:szCs w:val="17"/>
                <w:b w:val="1"/>
                <w:bCs w:val="1"/>
                <w:color w:val="auto"/>
                <w:w w:val="92"/>
              </w:rPr>
              <w:t>Class A Common Stock, par value $0.01 per</w:t>
            </w: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7"/>
                <w:szCs w:val="17"/>
                <w:b w:val="1"/>
                <w:bCs w:val="1"/>
                <w:color w:val="auto"/>
                <w:w w:val="99"/>
              </w:rPr>
              <w:t>TASK</w:t>
            </w: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7"/>
                <w:szCs w:val="17"/>
                <w:b w:val="1"/>
                <w:bCs w:val="1"/>
                <w:color w:val="auto"/>
                <w:w w:val="96"/>
              </w:rPr>
              <w:t>The Nasdaq Stock Market LLC</w:t>
            </w:r>
          </w:p>
        </w:tc>
      </w:tr>
      <w:tr>
        <w:trPr>
          <w:trHeight w:val="227"/>
        </w:trPr>
        <w:tc>
          <w:tcPr>
            <w:tcW w:w="37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70" w:lineRule="exact"/>
        <w:rPr>
          <w:sz w:val="24"/>
          <w:szCs w:val="24"/>
          <w:color w:val="auto"/>
        </w:rPr>
      </w:pPr>
    </w:p>
    <w:p>
      <w:pPr>
        <w:jc w:val="both"/>
        <w:ind w:firstLine="470"/>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2" w:lineRule="exact"/>
        <w:rPr>
          <w:sz w:val="24"/>
          <w:szCs w:val="24"/>
          <w:color w:val="auto"/>
        </w:rPr>
      </w:pPr>
    </w:p>
    <w:p>
      <w:pPr>
        <w:jc w:val="both"/>
        <w:ind w:firstLine="470"/>
        <w:spacing w:after="0" w:line="272"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72" w:lineRule="exact"/>
        <w:rPr>
          <w:sz w:val="24"/>
          <w:szCs w:val="24"/>
          <w:color w:val="auto"/>
        </w:rPr>
      </w:pPr>
    </w:p>
    <w:p>
      <w:pPr>
        <w:jc w:val="both"/>
        <w:ind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60" w:type="dxa"/>
            <w:vAlign w:val="bottom"/>
          </w:tcPr>
          <w:p>
            <w:pPr>
              <w:ind w:left="260"/>
              <w:spacing w:after="0"/>
              <w:rPr>
                <w:sz w:val="20"/>
                <w:szCs w:val="20"/>
                <w:color w:val="auto"/>
              </w:rPr>
            </w:pPr>
            <w:r>
              <w:rPr>
                <w:rFonts w:ascii="Arial" w:cs="Arial" w:eastAsia="Arial" w:hAnsi="Arial"/>
                <w:sz w:val="17"/>
                <w:szCs w:val="17"/>
                <w:color w:val="auto"/>
              </w:rPr>
              <w:t>o</w:t>
            </w:r>
          </w:p>
        </w:tc>
        <w:tc>
          <w:tcPr>
            <w:tcW w:w="530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288"/>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460" w:type="dxa"/>
            <w:vAlign w:val="bottom"/>
          </w:tcPr>
          <w:p>
            <w:pPr>
              <w:ind w:left="260"/>
              <w:spacing w:after="0"/>
              <w:rPr>
                <w:sz w:val="20"/>
                <w:szCs w:val="20"/>
                <w:color w:val="auto"/>
              </w:rPr>
            </w:pPr>
            <w:r>
              <w:rPr>
                <w:rFonts w:ascii="Arial" w:cs="Arial" w:eastAsia="Arial" w:hAnsi="Arial"/>
                <w:sz w:val="17"/>
                <w:szCs w:val="17"/>
                <w:color w:val="auto"/>
              </w:rPr>
              <w:t>x</w:t>
            </w:r>
          </w:p>
        </w:tc>
        <w:tc>
          <w:tcPr>
            <w:tcW w:w="530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300"/>
              <w:spacing w:after="0"/>
              <w:rPr>
                <w:sz w:val="20"/>
                <w:szCs w:val="20"/>
                <w:color w:val="auto"/>
              </w:rPr>
            </w:pPr>
            <w:r>
              <w:rPr>
                <w:rFonts w:ascii="Arial" w:cs="Arial" w:eastAsia="Arial" w:hAnsi="Arial"/>
                <w:sz w:val="17"/>
                <w:szCs w:val="17"/>
                <w:color w:val="auto"/>
                <w:w w:val="84"/>
              </w:rPr>
              <w:t>o</w:t>
            </w:r>
          </w:p>
        </w:tc>
      </w:tr>
      <w:tr>
        <w:trPr>
          <w:trHeight w:val="288"/>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300"/>
              <w:spacing w:after="0"/>
              <w:rPr>
                <w:sz w:val="20"/>
                <w:szCs w:val="20"/>
                <w:color w:val="auto"/>
              </w:rPr>
            </w:pPr>
            <w:r>
              <w:rPr>
                <w:rFonts w:ascii="Arial" w:cs="Arial" w:eastAsia="Arial" w:hAnsi="Arial"/>
                <w:sz w:val="17"/>
                <w:szCs w:val="17"/>
                <w:color w:val="auto"/>
                <w:w w:val="93"/>
              </w:rPr>
              <w:t>x</w:t>
            </w:r>
          </w:p>
        </w:tc>
      </w:tr>
    </w:tbl>
    <w:p>
      <w:pPr>
        <w:sectPr>
          <w:pgSz w:w="11900" w:h="16838" w:orient="portrait"/>
          <w:cols w:equalWidth="0" w:num="1">
            <w:col w:w="11240"/>
          </w:cols>
          <w:pgMar w:left="320" w:top="226" w:right="339" w:bottom="178" w:gutter="0" w:footer="0" w:header="0"/>
        </w:sectPr>
      </w:pPr>
    </w:p>
    <w:bookmarkStart w:id="1" w:name="page2"/>
    <w:bookmarkEnd w:id="1"/>
    <w:p>
      <w:pPr>
        <w:ind w:firstLine="470"/>
        <w:spacing w:after="0" w:line="28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As of November 8, 2021, the number of shares outstanding of the registrant’s common stock was as follows: Class A common stock, par value $0.01 per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share: 27,257,480; Class B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817880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174625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60" w:type="dxa"/>
            <w:vAlign w:val="bottom"/>
          </w:tcPr>
          <w:p>
            <w:pPr>
              <w:ind w:left="1660"/>
              <w:spacing w:after="0"/>
              <w:rPr>
                <w:sz w:val="20"/>
                <w:szCs w:val="20"/>
                <w:color w:val="auto"/>
              </w:rPr>
            </w:pPr>
            <w:r>
              <w:rPr>
                <w:rFonts w:ascii="Arial" w:cs="Arial" w:eastAsia="Arial" w:hAnsi="Arial"/>
                <w:sz w:val="14"/>
                <w:szCs w:val="14"/>
                <w:b w:val="1"/>
                <w:bCs w:val="1"/>
                <w:color w:val="auto"/>
              </w:rPr>
              <w:t>Page No.</w:t>
            </w:r>
          </w:p>
        </w:tc>
      </w:tr>
      <w:tr>
        <w:trPr>
          <w:trHeight w:val="246"/>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0" w:type="dxa"/>
            <w:vAlign w:val="bottom"/>
            <w:tcBorders>
              <w:bottom w:val="single" w:sz="8" w:color="0000FF"/>
            </w:tcBorders>
            <w:gridSpan w:val="18"/>
          </w:tcPr>
          <w:p>
            <w:pPr>
              <w:spacing w:after="0"/>
              <w:rPr>
                <w:rFonts w:ascii="Arial" w:cs="Arial" w:eastAsia="Arial" w:hAnsi="Arial"/>
                <w:sz w:val="17"/>
                <w:szCs w:val="17"/>
                <w:color w:val="0000FF"/>
                <w:w w:val="98"/>
              </w:rPr>
            </w:pPr>
            <w:hyperlink w:anchor="page3">
              <w:r>
                <w:rPr>
                  <w:rFonts w:ascii="Arial" w:cs="Arial" w:eastAsia="Arial" w:hAnsi="Arial"/>
                  <w:sz w:val="17"/>
                  <w:szCs w:val="17"/>
                  <w:color w:val="0000FF"/>
                  <w:w w:val="98"/>
                </w:rPr>
                <w:t>CAUTIONARY NOTE REGARDING FORWARD-LOOKING STATEMENTS</w:t>
              </w:r>
            </w:hyperlink>
          </w:p>
        </w:tc>
        <w:tc>
          <w:tcPr>
            <w:tcW w:w="2160" w:type="dxa"/>
            <w:vAlign w:val="bottom"/>
            <w:gridSpan w:val="3"/>
          </w:tcPr>
          <w:p>
            <w:pPr>
              <w:spacing w:after="0"/>
              <w:rPr>
                <w:sz w:val="21"/>
                <w:szCs w:val="21"/>
                <w:color w:val="auto"/>
              </w:rPr>
            </w:pPr>
          </w:p>
        </w:tc>
        <w:tc>
          <w:tcPr>
            <w:tcW w:w="2360" w:type="dxa"/>
            <w:vAlign w:val="bottom"/>
          </w:tcPr>
          <w:p>
            <w:pPr>
              <w:ind w:left="1500"/>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8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WEBSITE AND SOCIAL MEDIA DISCLOSURE</w:t>
              </w:r>
            </w:hyperlink>
          </w:p>
        </w:tc>
        <w:tc>
          <w:tcPr>
            <w:tcW w:w="4180" w:type="dxa"/>
            <w:vAlign w:val="bottom"/>
            <w:gridSpan w:val="11"/>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5">
              <w:r>
                <w:rPr>
                  <w:rFonts w:ascii="Arial" w:cs="Arial" w:eastAsia="Arial" w:hAnsi="Arial"/>
                  <w:sz w:val="17"/>
                  <w:szCs w:val="17"/>
                  <w:color w:val="auto"/>
                </w:rPr>
                <w:t>2</w:t>
              </w:r>
            </w:hyperlink>
          </w:p>
        </w:tc>
      </w:tr>
      <w:tr>
        <w:trPr>
          <w:trHeight w:val="411"/>
        </w:trPr>
        <w:tc>
          <w:tcPr>
            <w:tcW w:w="2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7"/>
                <w:szCs w:val="17"/>
                <w:b w:val="1"/>
                <w:bCs w:val="1"/>
                <w:color w:val="auto"/>
              </w:rPr>
            </w:pPr>
            <w:hyperlink w:anchor="page5">
              <w:r>
                <w:rPr>
                  <w:rFonts w:ascii="Arial" w:cs="Arial" w:eastAsia="Arial" w:hAnsi="Arial"/>
                  <w:sz w:val="17"/>
                  <w:szCs w:val="17"/>
                  <w:b w:val="1"/>
                  <w:bCs w:val="1"/>
                  <w:color w:val="auto"/>
                </w:rPr>
                <w:t>PART I.</w:t>
              </w:r>
            </w:hyperlink>
          </w:p>
        </w:tc>
        <w:tc>
          <w:tcPr>
            <w:tcW w:w="7760" w:type="dxa"/>
            <w:vAlign w:val="bottom"/>
            <w:gridSpan w:val="21"/>
          </w:tcPr>
          <w:p>
            <w:pPr>
              <w:spacing w:after="0"/>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FINANCIAL INFORMATION</w:t>
              </w:r>
            </w:hyperlink>
          </w:p>
        </w:tc>
        <w:tc>
          <w:tcPr>
            <w:tcW w:w="2360" w:type="dxa"/>
            <w:vAlign w:val="bottom"/>
          </w:tcPr>
          <w:p>
            <w:pPr>
              <w:ind w:left="1500"/>
              <w:spacing w:after="0"/>
              <w:rPr>
                <w:rFonts w:ascii="Arial" w:cs="Arial" w:eastAsia="Arial" w:hAnsi="Arial"/>
                <w:sz w:val="17"/>
                <w:szCs w:val="17"/>
                <w:color w:val="auto"/>
              </w:rPr>
            </w:pPr>
            <w:hyperlink w:anchor="page5">
              <w:r>
                <w:rPr>
                  <w:rFonts w:ascii="Arial" w:cs="Arial" w:eastAsia="Arial" w:hAnsi="Arial"/>
                  <w:sz w:val="17"/>
                  <w:szCs w:val="17"/>
                  <w:color w:val="auto"/>
                </w:rPr>
                <w:t>3</w:t>
              </w:r>
            </w:hyperlink>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600" w:type="dxa"/>
            <w:vAlign w:val="bottom"/>
          </w:tcPr>
          <w:p>
            <w:pPr>
              <w:spacing w:after="0"/>
              <w:rPr>
                <w:rFonts w:ascii="Arial" w:cs="Arial" w:eastAsia="Arial" w:hAnsi="Arial"/>
                <w:sz w:val="17"/>
                <w:szCs w:val="17"/>
                <w:color w:val="auto"/>
              </w:rPr>
            </w:pPr>
            <w:hyperlink w:anchor="page6">
              <w:r>
                <w:rPr>
                  <w:rFonts w:ascii="Arial" w:cs="Arial" w:eastAsia="Arial" w:hAnsi="Arial"/>
                  <w:sz w:val="17"/>
                  <w:szCs w:val="17"/>
                  <w:color w:val="auto"/>
                </w:rPr>
                <w:t>Item 1.</w:t>
              </w:r>
            </w:hyperlink>
          </w:p>
        </w:tc>
        <w:tc>
          <w:tcPr>
            <w:tcW w:w="500" w:type="dxa"/>
            <w:vAlign w:val="bottom"/>
            <w:gridSpan w:val="2"/>
          </w:tcPr>
          <w:p>
            <w:pPr>
              <w:spacing w:after="0"/>
              <w:rPr>
                <w:sz w:val="24"/>
                <w:szCs w:val="24"/>
                <w:color w:val="auto"/>
              </w:rPr>
            </w:pPr>
          </w:p>
        </w:tc>
        <w:tc>
          <w:tcPr>
            <w:tcW w:w="776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 xml:space="preserve">Financial Statements </w:t>
              </w:r>
            </w:hyperlink>
            <w:r>
              <w:rPr>
                <w:rFonts w:ascii="Arial" w:cs="Arial" w:eastAsia="Arial" w:hAnsi="Arial"/>
                <w:sz w:val="17"/>
                <w:szCs w:val="17"/>
                <w:color w:val="000000"/>
              </w:rPr>
              <w:t>(Unaudited)</w:t>
            </w:r>
          </w:p>
        </w:tc>
        <w:tc>
          <w:tcPr>
            <w:tcW w:w="2360" w:type="dxa"/>
            <w:vAlign w:val="bottom"/>
          </w:tcPr>
          <w:p>
            <w:pPr>
              <w:ind w:left="1500"/>
              <w:spacing w:after="0"/>
              <w:rPr>
                <w:rFonts w:ascii="Arial" w:cs="Arial" w:eastAsia="Arial" w:hAnsi="Arial"/>
                <w:sz w:val="17"/>
                <w:szCs w:val="17"/>
                <w:color w:val="auto"/>
              </w:rPr>
            </w:pPr>
            <w:hyperlink w:anchor="page6">
              <w:r>
                <w:rPr>
                  <w:rFonts w:ascii="Arial" w:cs="Arial" w:eastAsia="Arial" w:hAnsi="Arial"/>
                  <w:sz w:val="17"/>
                  <w:szCs w:val="17"/>
                  <w:color w:val="auto"/>
                </w:rPr>
                <w:t>3</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76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Unaudited Condensed Consolidated Balance Sheets</w:t>
              </w:r>
            </w:hyperlink>
          </w:p>
        </w:tc>
        <w:tc>
          <w:tcPr>
            <w:tcW w:w="2360" w:type="dxa"/>
            <w:vAlign w:val="bottom"/>
          </w:tcPr>
          <w:p>
            <w:pPr>
              <w:ind w:left="1500"/>
              <w:spacing w:after="0"/>
              <w:rPr>
                <w:rFonts w:ascii="Arial" w:cs="Arial" w:eastAsia="Arial" w:hAnsi="Arial"/>
                <w:sz w:val="17"/>
                <w:szCs w:val="17"/>
                <w:color w:val="auto"/>
              </w:rPr>
            </w:pPr>
            <w:hyperlink w:anchor="page6">
              <w:r>
                <w:rPr>
                  <w:rFonts w:ascii="Arial" w:cs="Arial" w:eastAsia="Arial" w:hAnsi="Arial"/>
                  <w:sz w:val="17"/>
                  <w:szCs w:val="17"/>
                  <w:color w:val="auto"/>
                </w:rPr>
                <w:t>3</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76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Unaudited Condensed Consolidated Statements of Operations</w:t>
              </w:r>
            </w:hyperlink>
          </w:p>
        </w:tc>
        <w:tc>
          <w:tcPr>
            <w:tcW w:w="2360" w:type="dxa"/>
            <w:vAlign w:val="bottom"/>
          </w:tcPr>
          <w:p>
            <w:pPr>
              <w:ind w:left="1500"/>
              <w:spacing w:after="0"/>
              <w:rPr>
                <w:rFonts w:ascii="Arial" w:cs="Arial" w:eastAsia="Arial" w:hAnsi="Arial"/>
                <w:sz w:val="17"/>
                <w:szCs w:val="17"/>
                <w:color w:val="auto"/>
              </w:rPr>
            </w:pPr>
            <w:hyperlink w:anchor="page6">
              <w:r>
                <w:rPr>
                  <w:rFonts w:ascii="Arial" w:cs="Arial" w:eastAsia="Arial" w:hAnsi="Arial"/>
                  <w:sz w:val="17"/>
                  <w:szCs w:val="17"/>
                  <w:color w:val="auto"/>
                </w:rPr>
                <w:t>4</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00" w:type="dxa"/>
            <w:vAlign w:val="bottom"/>
            <w:tcBorders>
              <w:bottom w:val="single" w:sz="8" w:color="0000FF"/>
            </w:tcBorders>
            <w:gridSpan w:val="19"/>
          </w:tcPr>
          <w:p>
            <w:pPr>
              <w:spacing w:after="0"/>
              <w:rPr>
                <w:rFonts w:ascii="Arial" w:cs="Arial" w:eastAsia="Arial" w:hAnsi="Arial"/>
                <w:sz w:val="17"/>
                <w:szCs w:val="17"/>
                <w:color w:val="0000FF"/>
                <w:w w:val="91"/>
              </w:rPr>
            </w:pPr>
            <w:hyperlink w:anchor="page7">
              <w:r>
                <w:rPr>
                  <w:rFonts w:ascii="Arial" w:cs="Arial" w:eastAsia="Arial" w:hAnsi="Arial"/>
                  <w:sz w:val="17"/>
                  <w:szCs w:val="17"/>
                  <w:color w:val="0000FF"/>
                  <w:w w:val="91"/>
                </w:rPr>
                <w:t>Unaudited Condensed Consolidated Statements of Comprehensive Income (Loss)</w:t>
              </w:r>
            </w:hyperlink>
          </w:p>
        </w:tc>
        <w:tc>
          <w:tcPr>
            <w:tcW w:w="2060" w:type="dxa"/>
            <w:vAlign w:val="bottom"/>
            <w:gridSpan w:val="2"/>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7">
              <w:r>
                <w:rPr>
                  <w:rFonts w:ascii="Arial" w:cs="Arial" w:eastAsia="Arial" w:hAnsi="Arial"/>
                  <w:sz w:val="17"/>
                  <w:szCs w:val="17"/>
                  <w:color w:val="auto"/>
                </w:rPr>
                <w:t>5</w:t>
              </w:r>
            </w:hyperlink>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760" w:type="dxa"/>
            <w:vAlign w:val="bottom"/>
            <w:gridSpan w:val="21"/>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Unaudited Condensed Consolidated Statements of Shareholders’ Equity</w:t>
              </w:r>
            </w:hyperlink>
          </w:p>
        </w:tc>
        <w:tc>
          <w:tcPr>
            <w:tcW w:w="2360" w:type="dxa"/>
            <w:vAlign w:val="bottom"/>
          </w:tcPr>
          <w:p>
            <w:pPr>
              <w:ind w:left="1500"/>
              <w:spacing w:after="0"/>
              <w:rPr>
                <w:rFonts w:ascii="Arial" w:cs="Arial" w:eastAsia="Arial" w:hAnsi="Arial"/>
                <w:sz w:val="17"/>
                <w:szCs w:val="17"/>
                <w:color w:val="auto"/>
              </w:rPr>
            </w:pPr>
            <w:hyperlink w:anchor="page8">
              <w:r>
                <w:rPr>
                  <w:rFonts w:ascii="Arial" w:cs="Arial" w:eastAsia="Arial" w:hAnsi="Arial"/>
                  <w:sz w:val="17"/>
                  <w:szCs w:val="17"/>
                  <w:color w:val="auto"/>
                </w:rPr>
                <w:t>6</w:t>
              </w:r>
            </w:hyperlink>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20" w:type="dxa"/>
            <w:vAlign w:val="bottom"/>
            <w:tcBorders>
              <w:top w:val="single" w:sz="8" w:color="0000FF"/>
            </w:tcBorders>
            <w:gridSpan w:val="17"/>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Unaudited Condensed Consolidated Statements of Cash Flows</w:t>
              </w:r>
            </w:hyperlink>
          </w:p>
        </w:tc>
        <w:tc>
          <w:tcPr>
            <w:tcW w:w="2740" w:type="dxa"/>
            <w:vAlign w:val="bottom"/>
            <w:gridSpan w:val="4"/>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9">
              <w:r>
                <w:rPr>
                  <w:rFonts w:ascii="Arial" w:cs="Arial" w:eastAsia="Arial" w:hAnsi="Arial"/>
                  <w:sz w:val="17"/>
                  <w:szCs w:val="17"/>
                  <w:color w:val="auto"/>
                </w:rPr>
                <w:t>7</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40" w:type="dxa"/>
            <w:vAlign w:val="bottom"/>
            <w:tcBorders>
              <w:bottom w:val="single" w:sz="8" w:color="0000FF"/>
            </w:tcBorders>
            <w:gridSpan w:val="16"/>
          </w:tcPr>
          <w:p>
            <w:pPr>
              <w:spacing w:after="0"/>
              <w:rPr>
                <w:rFonts w:ascii="Arial" w:cs="Arial" w:eastAsia="Arial" w:hAnsi="Arial"/>
                <w:sz w:val="17"/>
                <w:szCs w:val="17"/>
                <w:color w:val="0000FF"/>
                <w:w w:val="91"/>
              </w:rPr>
            </w:pPr>
            <w:hyperlink w:anchor="page10">
              <w:r>
                <w:rPr>
                  <w:rFonts w:ascii="Arial" w:cs="Arial" w:eastAsia="Arial" w:hAnsi="Arial"/>
                  <w:sz w:val="17"/>
                  <w:szCs w:val="17"/>
                  <w:color w:val="0000FF"/>
                  <w:w w:val="91"/>
                </w:rPr>
                <w:t>Notes to Unaudited Condensed Consolidated Financial Statements</w:t>
              </w:r>
            </w:hyperlink>
          </w:p>
        </w:tc>
        <w:tc>
          <w:tcPr>
            <w:tcW w:w="3120" w:type="dxa"/>
            <w:vAlign w:val="bottom"/>
            <w:gridSpan w:val="5"/>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10">
              <w:r>
                <w:rPr>
                  <w:rFonts w:ascii="Arial" w:cs="Arial" w:eastAsia="Arial" w:hAnsi="Arial"/>
                  <w:sz w:val="17"/>
                  <w:szCs w:val="17"/>
                  <w:color w:val="auto"/>
                </w:rPr>
                <w:t>8</w:t>
              </w:r>
            </w:hyperlink>
          </w:p>
        </w:tc>
      </w:tr>
      <w:tr>
        <w:trPr>
          <w:trHeight w:val="411"/>
        </w:trPr>
        <w:tc>
          <w:tcPr>
            <w:tcW w:w="2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7"/>
                <w:szCs w:val="17"/>
                <w:color w:val="auto"/>
              </w:rPr>
            </w:pPr>
            <w:hyperlink w:anchor="page20">
              <w:r>
                <w:rPr>
                  <w:rFonts w:ascii="Arial" w:cs="Arial" w:eastAsia="Arial" w:hAnsi="Arial"/>
                  <w:sz w:val="17"/>
                  <w:szCs w:val="17"/>
                  <w:color w:val="auto"/>
                </w:rPr>
                <w:t>Item 2.</w:t>
              </w:r>
            </w:hyperlink>
          </w:p>
        </w:tc>
        <w:tc>
          <w:tcPr>
            <w:tcW w:w="7760" w:type="dxa"/>
            <w:vAlign w:val="bottom"/>
            <w:gridSpan w:val="21"/>
          </w:tcPr>
          <w:p>
            <w:pPr>
              <w:spacing w:after="0"/>
              <w:rPr>
                <w:rFonts w:ascii="Arial" w:cs="Arial" w:eastAsia="Arial" w:hAnsi="Arial"/>
                <w:sz w:val="17"/>
                <w:szCs w:val="17"/>
                <w:color w:val="0000FF"/>
              </w:rPr>
            </w:pPr>
            <w:hyperlink w:anchor="page20">
              <w:r>
                <w:rPr>
                  <w:rFonts w:ascii="Arial" w:cs="Arial" w:eastAsia="Arial" w:hAnsi="Arial"/>
                  <w:sz w:val="17"/>
                  <w:szCs w:val="17"/>
                  <w:color w:val="0000FF"/>
                </w:rPr>
                <w:t>Management’s Discussion and Analysis of Financial Condition and Results of Operations</w:t>
              </w:r>
            </w:hyperlink>
          </w:p>
        </w:tc>
        <w:tc>
          <w:tcPr>
            <w:tcW w:w="2360" w:type="dxa"/>
            <w:vAlign w:val="bottom"/>
          </w:tcPr>
          <w:p>
            <w:pPr>
              <w:ind w:left="1500"/>
              <w:spacing w:after="0"/>
              <w:rPr>
                <w:rFonts w:ascii="Arial" w:cs="Arial" w:eastAsia="Arial" w:hAnsi="Arial"/>
                <w:sz w:val="17"/>
                <w:szCs w:val="17"/>
                <w:color w:val="auto"/>
              </w:rPr>
            </w:pPr>
            <w:hyperlink w:anchor="page20">
              <w:r>
                <w:rPr>
                  <w:rFonts w:ascii="Arial" w:cs="Arial" w:eastAsia="Arial" w:hAnsi="Arial"/>
                  <w:sz w:val="17"/>
                  <w:szCs w:val="17"/>
                  <w:color w:val="auto"/>
                </w:rPr>
                <w:t>17</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4">
              <w:r>
                <w:rPr>
                  <w:rFonts w:ascii="Arial" w:cs="Arial" w:eastAsia="Arial" w:hAnsi="Arial"/>
                  <w:sz w:val="17"/>
                  <w:szCs w:val="17"/>
                  <w:color w:val="auto"/>
                </w:rPr>
                <w:t>Item 3.</w:t>
              </w:r>
            </w:hyperlink>
          </w:p>
        </w:tc>
        <w:tc>
          <w:tcPr>
            <w:tcW w:w="4220" w:type="dxa"/>
            <w:vAlign w:val="bottom"/>
            <w:tcBorders>
              <w:top w:val="single" w:sz="8" w:color="0000FF"/>
              <w:bottom w:val="single" w:sz="8" w:color="0000FF"/>
            </w:tcBorders>
            <w:gridSpan w:val="13"/>
          </w:tcPr>
          <w:p>
            <w:pPr>
              <w:spacing w:after="0"/>
              <w:rPr>
                <w:rFonts w:ascii="Arial" w:cs="Arial" w:eastAsia="Arial" w:hAnsi="Arial"/>
                <w:sz w:val="17"/>
                <w:szCs w:val="17"/>
                <w:color w:val="0000FF"/>
                <w:w w:val="94"/>
              </w:rPr>
            </w:pPr>
            <w:hyperlink w:anchor="page34">
              <w:r>
                <w:rPr>
                  <w:rFonts w:ascii="Arial" w:cs="Arial" w:eastAsia="Arial" w:hAnsi="Arial"/>
                  <w:sz w:val="17"/>
                  <w:szCs w:val="17"/>
                  <w:color w:val="0000FF"/>
                  <w:w w:val="94"/>
                </w:rPr>
                <w:t>Quantitative and Qualitative Disclosures About Market Risk</w:t>
              </w:r>
            </w:hyperlink>
          </w:p>
        </w:tc>
        <w:tc>
          <w:tcPr>
            <w:tcW w:w="2020" w:type="dxa"/>
            <w:vAlign w:val="bottom"/>
            <w:tcBorders>
              <w:top w:val="single" w:sz="8" w:color="0000FF"/>
            </w:tcBorders>
            <w:gridSpan w:val="7"/>
          </w:tcPr>
          <w:p>
            <w:pPr>
              <w:spacing w:after="0"/>
              <w:rPr>
                <w:sz w:val="22"/>
                <w:szCs w:val="22"/>
                <w:color w:val="auto"/>
              </w:rPr>
            </w:pPr>
          </w:p>
        </w:tc>
        <w:tc>
          <w:tcPr>
            <w:tcW w:w="1520" w:type="dxa"/>
            <w:vAlign w:val="bottom"/>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4">
              <w:r>
                <w:rPr>
                  <w:rFonts w:ascii="Arial" w:cs="Arial" w:eastAsia="Arial" w:hAnsi="Arial"/>
                  <w:sz w:val="17"/>
                  <w:szCs w:val="17"/>
                  <w:color w:val="auto"/>
                </w:rPr>
                <w:t>31</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5">
              <w:r>
                <w:rPr>
                  <w:rFonts w:ascii="Arial" w:cs="Arial" w:eastAsia="Arial" w:hAnsi="Arial"/>
                  <w:sz w:val="17"/>
                  <w:szCs w:val="17"/>
                  <w:color w:val="auto"/>
                </w:rPr>
                <w:t>Item 4.</w:t>
              </w:r>
            </w:hyperlink>
          </w:p>
        </w:tc>
        <w:tc>
          <w:tcPr>
            <w:tcW w:w="172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35">
              <w:r>
                <w:rPr>
                  <w:rFonts w:ascii="Arial" w:cs="Arial" w:eastAsia="Arial" w:hAnsi="Arial"/>
                  <w:sz w:val="17"/>
                  <w:szCs w:val="17"/>
                  <w:color w:val="0000FF"/>
                  <w:w w:val="90"/>
                </w:rPr>
                <w:t>Controls and Procedures</w:t>
              </w:r>
            </w:hyperlink>
          </w:p>
        </w:tc>
        <w:tc>
          <w:tcPr>
            <w:tcW w:w="6040" w:type="dxa"/>
            <w:vAlign w:val="bottom"/>
            <w:gridSpan w:val="15"/>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5">
              <w:r>
                <w:rPr>
                  <w:rFonts w:ascii="Arial" w:cs="Arial" w:eastAsia="Arial" w:hAnsi="Arial"/>
                  <w:sz w:val="17"/>
                  <w:szCs w:val="17"/>
                  <w:color w:val="auto"/>
                </w:rPr>
                <w:t>32</w:t>
              </w:r>
            </w:hyperlink>
          </w:p>
        </w:tc>
      </w:tr>
      <w:tr>
        <w:trPr>
          <w:trHeight w:val="411"/>
        </w:trPr>
        <w:tc>
          <w:tcPr>
            <w:tcW w:w="2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7"/>
                <w:szCs w:val="17"/>
                <w:b w:val="1"/>
                <w:bCs w:val="1"/>
                <w:color w:val="auto"/>
              </w:rPr>
            </w:pPr>
            <w:hyperlink w:anchor="page35">
              <w:r>
                <w:rPr>
                  <w:rFonts w:ascii="Arial" w:cs="Arial" w:eastAsia="Arial" w:hAnsi="Arial"/>
                  <w:sz w:val="17"/>
                  <w:szCs w:val="17"/>
                  <w:b w:val="1"/>
                  <w:bCs w:val="1"/>
                  <w:color w:val="auto"/>
                </w:rPr>
                <w:t>PART II.</w:t>
              </w:r>
            </w:hyperlink>
          </w:p>
        </w:tc>
        <w:tc>
          <w:tcPr>
            <w:tcW w:w="1960" w:type="dxa"/>
            <w:vAlign w:val="bottom"/>
            <w:tcBorders>
              <w:bottom w:val="single" w:sz="8" w:color="0000FF"/>
            </w:tcBorders>
            <w:gridSpan w:val="7"/>
          </w:tcPr>
          <w:p>
            <w:pPr>
              <w:spacing w:after="0"/>
              <w:rPr>
                <w:rFonts w:ascii="Arial" w:cs="Arial" w:eastAsia="Arial" w:hAnsi="Arial"/>
                <w:sz w:val="17"/>
                <w:szCs w:val="17"/>
                <w:b w:val="1"/>
                <w:bCs w:val="1"/>
                <w:color w:val="0000FF"/>
              </w:rPr>
            </w:pPr>
            <w:hyperlink w:anchor="page35">
              <w:r>
                <w:rPr>
                  <w:rFonts w:ascii="Arial" w:cs="Arial" w:eastAsia="Arial" w:hAnsi="Arial"/>
                  <w:sz w:val="17"/>
                  <w:szCs w:val="17"/>
                  <w:b w:val="1"/>
                  <w:bCs w:val="1"/>
                  <w:color w:val="0000FF"/>
                </w:rPr>
                <w:t>OTHER INFORMATION</w:t>
              </w:r>
            </w:hyperlink>
          </w:p>
        </w:tc>
        <w:tc>
          <w:tcPr>
            <w:tcW w:w="5800" w:type="dxa"/>
            <w:vAlign w:val="bottom"/>
            <w:gridSpan w:val="14"/>
          </w:tcPr>
          <w:p>
            <w:pPr>
              <w:spacing w:after="0"/>
              <w:rPr>
                <w:sz w:val="24"/>
                <w:szCs w:val="24"/>
                <w:color w:val="auto"/>
              </w:rPr>
            </w:pPr>
          </w:p>
        </w:tc>
        <w:tc>
          <w:tcPr>
            <w:tcW w:w="2360" w:type="dxa"/>
            <w:vAlign w:val="bottom"/>
          </w:tcPr>
          <w:p>
            <w:pPr>
              <w:ind w:left="1500"/>
              <w:spacing w:after="0"/>
              <w:rPr>
                <w:rFonts w:ascii="Arial" w:cs="Arial" w:eastAsia="Arial" w:hAnsi="Arial"/>
                <w:sz w:val="17"/>
                <w:szCs w:val="17"/>
                <w:color w:val="auto"/>
              </w:rPr>
            </w:pPr>
            <w:hyperlink w:anchor="page35">
              <w:r>
                <w:rPr>
                  <w:rFonts w:ascii="Arial" w:cs="Arial" w:eastAsia="Arial" w:hAnsi="Arial"/>
                  <w:sz w:val="17"/>
                  <w:szCs w:val="17"/>
                  <w:color w:val="auto"/>
                </w:rPr>
                <w:t>33</w:t>
              </w:r>
            </w:hyperlink>
          </w:p>
        </w:tc>
      </w:tr>
      <w:tr>
        <w:trPr>
          <w:trHeight w:val="411"/>
        </w:trPr>
        <w:tc>
          <w:tcPr>
            <w:tcW w:w="2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1.</w:t>
              </w:r>
            </w:hyperlink>
          </w:p>
        </w:tc>
        <w:tc>
          <w:tcPr>
            <w:tcW w:w="130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Legal Proceedings</w:t>
              </w:r>
            </w:hyperlink>
          </w:p>
        </w:tc>
        <w:tc>
          <w:tcPr>
            <w:tcW w:w="6460" w:type="dxa"/>
            <w:vAlign w:val="bottom"/>
            <w:gridSpan w:val="17"/>
          </w:tcPr>
          <w:p>
            <w:pPr>
              <w:spacing w:after="0"/>
              <w:rPr>
                <w:sz w:val="24"/>
                <w:szCs w:val="24"/>
                <w:color w:val="auto"/>
              </w:rPr>
            </w:pPr>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1A.</w:t>
              </w:r>
            </w:hyperlink>
          </w:p>
        </w:tc>
        <w:tc>
          <w:tcPr>
            <w:tcW w:w="88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36">
              <w:r>
                <w:rPr>
                  <w:rFonts w:ascii="Arial" w:cs="Arial" w:eastAsia="Arial" w:hAnsi="Arial"/>
                  <w:sz w:val="17"/>
                  <w:szCs w:val="17"/>
                  <w:color w:val="0000FF"/>
                  <w:w w:val="90"/>
                </w:rPr>
                <w:t>Risk Factors</w:t>
              </w:r>
            </w:hyperlink>
          </w:p>
        </w:tc>
        <w:tc>
          <w:tcPr>
            <w:tcW w:w="6880" w:type="dxa"/>
            <w:vAlign w:val="bottom"/>
            <w:gridSpan w:val="19"/>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2.</w:t>
              </w:r>
            </w:hyperlink>
          </w:p>
        </w:tc>
        <w:tc>
          <w:tcPr>
            <w:tcW w:w="7760" w:type="dxa"/>
            <w:vAlign w:val="bottom"/>
            <w:gridSpan w:val="21"/>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Unregistered Sales of Equity Securities and Use of Proceeds</w:t>
              </w:r>
            </w:hyperlink>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3.</w:t>
              </w:r>
            </w:hyperlink>
          </w:p>
        </w:tc>
        <w:tc>
          <w:tcPr>
            <w:tcW w:w="4200" w:type="dxa"/>
            <w:vAlign w:val="bottom"/>
            <w:tcBorders>
              <w:top w:val="single" w:sz="8" w:color="0000FF"/>
            </w:tcBorders>
            <w:gridSpan w:val="12"/>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Defaults Upon Senior Securities</w:t>
              </w:r>
            </w:hyperlink>
          </w:p>
        </w:tc>
        <w:tc>
          <w:tcPr>
            <w:tcW w:w="3560" w:type="dxa"/>
            <w:vAlign w:val="bottom"/>
            <w:gridSpan w:val="9"/>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4.</w:t>
              </w:r>
            </w:hyperlink>
          </w:p>
        </w:tc>
        <w:tc>
          <w:tcPr>
            <w:tcW w:w="172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3"/>
              </w:rPr>
            </w:pPr>
            <w:hyperlink w:anchor="page36">
              <w:r>
                <w:rPr>
                  <w:rFonts w:ascii="Arial" w:cs="Arial" w:eastAsia="Arial" w:hAnsi="Arial"/>
                  <w:sz w:val="17"/>
                  <w:szCs w:val="17"/>
                  <w:color w:val="0000FF"/>
                  <w:w w:val="93"/>
                </w:rPr>
                <w:t>Mine Safety Disclosures</w:t>
              </w:r>
            </w:hyperlink>
          </w:p>
        </w:tc>
        <w:tc>
          <w:tcPr>
            <w:tcW w:w="520" w:type="dxa"/>
            <w:vAlign w:val="bottom"/>
            <w:tcBorders>
              <w:top w:val="single" w:sz="8" w:color="0000FF"/>
            </w:tcBorders>
            <w:gridSpan w:val="2"/>
          </w:tcPr>
          <w:p>
            <w:pPr>
              <w:spacing w:after="0"/>
              <w:rPr>
                <w:sz w:val="22"/>
                <w:szCs w:val="22"/>
                <w:color w:val="auto"/>
              </w:rPr>
            </w:pPr>
          </w:p>
        </w:tc>
        <w:tc>
          <w:tcPr>
            <w:tcW w:w="5520" w:type="dxa"/>
            <w:vAlign w:val="bottom"/>
            <w:gridSpan w:val="13"/>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5.</w:t>
              </w:r>
            </w:hyperlink>
          </w:p>
        </w:tc>
        <w:tc>
          <w:tcPr>
            <w:tcW w:w="1280" w:type="dxa"/>
            <w:vAlign w:val="bottom"/>
            <w:tcBorders>
              <w:bottom w:val="single" w:sz="8" w:color="0000FF"/>
            </w:tcBorders>
            <w:gridSpan w:val="3"/>
          </w:tcPr>
          <w:p>
            <w:pPr>
              <w:spacing w:after="0"/>
              <w:rPr>
                <w:rFonts w:ascii="Arial" w:cs="Arial" w:eastAsia="Arial" w:hAnsi="Arial"/>
                <w:sz w:val="17"/>
                <w:szCs w:val="17"/>
                <w:color w:val="0000FF"/>
                <w:w w:val="95"/>
              </w:rPr>
            </w:pPr>
            <w:hyperlink w:anchor="page36">
              <w:r>
                <w:rPr>
                  <w:rFonts w:ascii="Arial" w:cs="Arial" w:eastAsia="Arial" w:hAnsi="Arial"/>
                  <w:sz w:val="17"/>
                  <w:szCs w:val="17"/>
                  <w:color w:val="0000FF"/>
                  <w:w w:val="95"/>
                </w:rPr>
                <w:t>Other Information</w:t>
              </w:r>
            </w:hyperlink>
          </w:p>
        </w:tc>
        <w:tc>
          <w:tcPr>
            <w:tcW w:w="6480" w:type="dxa"/>
            <w:vAlign w:val="bottom"/>
            <w:gridSpan w:val="18"/>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33</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auto"/>
              </w:rPr>
            </w:pPr>
            <w:hyperlink w:anchor="page36">
              <w:r>
                <w:rPr>
                  <w:rFonts w:ascii="Arial" w:cs="Arial" w:eastAsia="Arial" w:hAnsi="Arial"/>
                  <w:sz w:val="17"/>
                  <w:szCs w:val="17"/>
                  <w:color w:val="auto"/>
                </w:rPr>
                <w:t>Item 6.</w:t>
              </w:r>
            </w:hyperlink>
          </w:p>
        </w:tc>
        <w:tc>
          <w:tcPr>
            <w:tcW w:w="7760" w:type="dxa"/>
            <w:vAlign w:val="bottom"/>
            <w:gridSpan w:val="21"/>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Exhibits</w:t>
              </w:r>
            </w:hyperlink>
          </w:p>
        </w:tc>
        <w:tc>
          <w:tcPr>
            <w:tcW w:w="2360" w:type="dxa"/>
            <w:vAlign w:val="bottom"/>
          </w:tcPr>
          <w:p>
            <w:pPr>
              <w:ind w:left="1500"/>
              <w:spacing w:after="0"/>
              <w:rPr>
                <w:rFonts w:ascii="Arial" w:cs="Arial" w:eastAsia="Arial" w:hAnsi="Arial"/>
                <w:sz w:val="17"/>
                <w:szCs w:val="17"/>
                <w:color w:val="auto"/>
              </w:rPr>
            </w:pPr>
            <w:hyperlink w:anchor="page36">
              <w:r>
                <w:rPr>
                  <w:rFonts w:ascii="Arial" w:cs="Arial" w:eastAsia="Arial" w:hAnsi="Arial"/>
                  <w:sz w:val="17"/>
                  <w:szCs w:val="17"/>
                  <w:color w:val="auto"/>
                </w:rPr>
                <w:t>34</w:t>
              </w:r>
            </w:hyperlink>
          </w:p>
        </w:tc>
      </w:tr>
      <w:tr>
        <w:trPr>
          <w:trHeight w:val="254"/>
        </w:trPr>
        <w:tc>
          <w:tcPr>
            <w:tcW w:w="20" w:type="dxa"/>
            <w:vAlign w:val="bottom"/>
          </w:tcPr>
          <w:p>
            <w:pPr>
              <w:spacing w:after="0"/>
              <w:rPr>
                <w:sz w:val="22"/>
                <w:szCs w:val="22"/>
                <w:color w:val="auto"/>
              </w:rPr>
            </w:pPr>
          </w:p>
        </w:tc>
        <w:tc>
          <w:tcPr>
            <w:tcW w:w="110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Signatures</w:t>
              </w:r>
            </w:hyperlink>
          </w:p>
        </w:tc>
        <w:tc>
          <w:tcPr>
            <w:tcW w:w="5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360" w:type="dxa"/>
            <w:vAlign w:val="bottom"/>
          </w:tcPr>
          <w:p>
            <w:pPr>
              <w:ind w:left="1500"/>
              <w:spacing w:after="0"/>
              <w:rPr>
                <w:rFonts w:ascii="Arial" w:cs="Arial" w:eastAsia="Arial" w:hAnsi="Arial"/>
                <w:sz w:val="17"/>
                <w:szCs w:val="17"/>
                <w:color w:val="auto"/>
              </w:rPr>
            </w:pPr>
            <w:hyperlink w:anchor="page37">
              <w:r>
                <w:rPr>
                  <w:rFonts w:ascii="Arial" w:cs="Arial" w:eastAsia="Arial" w:hAnsi="Arial"/>
                  <w:sz w:val="17"/>
                  <w:szCs w:val="17"/>
                  <w:color w:val="auto"/>
                </w:rPr>
                <w:t>35</w:t>
              </w:r>
            </w:hyperlink>
          </w:p>
        </w:tc>
      </w:tr>
      <w:tr>
        <w:trPr>
          <w:trHeight w:val="1005"/>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Our actual results or outcomes may differ materially from those anticipated.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1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“Risk Factors” in our prospectus dated October 20, 2021 (the "prospectus"), as filed with the Securities and Exchange Commission (the “SEC”) on October 22, 2021 pursuant to Rule 424(b)(4) under the Securities Act, and in this Quarterly Report, as such risk factors may be updated from time to time in our periodic filings with the SEC, which are accessible on the SEC’s website at www.sec.gov. Such risks and uncertainties include, but are not limited to, the following:</w:t>
      </w:r>
    </w:p>
    <w:p>
      <w:pPr>
        <w:spacing w:after="0" w:line="80" w:lineRule="exact"/>
        <w:rPr>
          <w:sz w:val="20"/>
          <w:szCs w:val="20"/>
          <w:color w:val="auto"/>
        </w:rPr>
      </w:pPr>
    </w:p>
    <w:p>
      <w:pPr>
        <w:ind w:left="940" w:hanging="465"/>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dependent on key clients, and the loss of a key client could have an adverse effect on our business and results of operations;</w:t>
      </w:r>
    </w:p>
    <w:p>
      <w:pPr>
        <w:spacing w:after="0" w:line="129" w:lineRule="exact"/>
        <w:rPr>
          <w:rFonts w:ascii="Arial" w:cs="Arial" w:eastAsia="Arial" w:hAnsi="Arial"/>
          <w:sz w:val="16"/>
          <w:szCs w:val="16"/>
          <w:color w:val="auto"/>
        </w:rPr>
      </w:pPr>
    </w:p>
    <w:p>
      <w:pPr>
        <w:ind w:left="940" w:hanging="4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loss of business or non-payment from significant clients could materially affect our results of operations;</w:t>
      </w:r>
    </w:p>
    <w:p>
      <w:pPr>
        <w:spacing w:after="0" w:line="11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fail to cost-effectively acquire new, high-growth clients, which would adversely affect our business, financial condition and results of operations;</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53" w:lineRule="exact"/>
        <w:rPr>
          <w:rFonts w:ascii="Arial" w:cs="Arial" w:eastAsia="Arial" w:hAnsi="Arial"/>
          <w:sz w:val="17"/>
          <w:szCs w:val="17"/>
          <w:color w:val="auto"/>
        </w:rPr>
      </w:pPr>
    </w:p>
    <w:p>
      <w:pPr>
        <w:jc w:val="both"/>
        <w:ind w:left="940" w:hanging="465"/>
        <w:spacing w:after="0" w:line="272"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67" w:lineRule="exact"/>
        <w:rPr>
          <w:rFonts w:ascii="Arial" w:cs="Arial" w:eastAsia="Arial" w:hAnsi="Arial"/>
          <w:sz w:val="17"/>
          <w:szCs w:val="17"/>
          <w:color w:val="auto"/>
        </w:rPr>
      </w:pPr>
    </w:p>
    <w:p>
      <w:pPr>
        <w:ind w:left="940" w:hanging="465"/>
        <w:spacing w:after="0" w:line="321"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because content moderation is a large portion of our business we may be subject to negative publicity or liability or face difficulties retaining and recruiting employees, any of which could have an adverse effect on our reputation, business, financial condition and results of operations;</w:t>
      </w:r>
    </w:p>
    <w:p>
      <w:pPr>
        <w:spacing w:after="0" w:line="30"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detect and deter criminal or fraudulent activities or other misconduct by our employees could result in loss of trust from our clients and negative publicity, which would have an adverse effect on our business and results of operations;</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and political conditions, especially in the social media and meal delivery and transport industries from which we generate most of our revenue, could adversely affect our business, results of operations, financial condition and prospects;</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heavily dependent upon our international operations, particularly in the Philippines and India, and any disruption to those operations would adversely affect us;</w:t>
      </w:r>
    </w:p>
    <w:p>
      <w:pPr>
        <w:spacing w:after="0" w:line="53" w:lineRule="exact"/>
        <w:rPr>
          <w:rFonts w:ascii="Arial" w:cs="Arial" w:eastAsia="Arial" w:hAnsi="Arial"/>
          <w:sz w:val="17"/>
          <w:szCs w:val="17"/>
          <w:color w:val="auto"/>
        </w:rPr>
      </w:pPr>
    </w:p>
    <w:p>
      <w:pPr>
        <w:jc w:val="both"/>
        <w:ind w:left="940" w:hanging="465"/>
        <w:spacing w:after="0" w:line="297"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subject to a variety of U.S. and international laws and regulations, including those regarding privacy and data security, and we or our clients may be subject to regulations related to the handling and transfer of certain types of sensitive and confidential information; any failure to comply with applicable privacy and data security laws and regulations could harm our business, results of operations and financial condition;</w:t>
      </w:r>
    </w:p>
    <w:p>
      <w:pPr>
        <w:spacing w:after="0" w:line="48" w:lineRule="exact"/>
        <w:rPr>
          <w:rFonts w:ascii="Arial" w:cs="Arial" w:eastAsia="Arial" w:hAnsi="Arial"/>
          <w:sz w:val="16"/>
          <w:szCs w:val="16"/>
          <w:color w:val="auto"/>
        </w:rPr>
      </w:pPr>
    </w:p>
    <w:p>
      <w:pPr>
        <w:ind w:left="940" w:hanging="465"/>
        <w:spacing w:after="0" w:line="28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in part on our capacity to invest in technology as it develops, and substantial increases in the costs of technology and telecommunications services or our inability to attract and retain the necessary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technologists could have a material adverse effect on our business, financial condition, results of operations and prospects;</w:t>
      </w:r>
    </w:p>
    <w:p>
      <w:pPr>
        <w:spacing w:after="0" w:line="118" w:lineRule="exact"/>
        <w:rPr>
          <w:sz w:val="20"/>
          <w:szCs w:val="20"/>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results of operations and ability to grow could be materially affected if we cannot adapt our services and solutions to changes in technology and client expectations;</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against the U.S. dollar in the local currencies in the countries in which we operate could have a material effect on our results of operations;</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53"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competitive pricing pressure may reduce our revenue or gross profits and adversely affect our financial results;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business depends on our senior management and key employees;</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management team has limited experience managing a public company;</w:t>
      </w:r>
    </w:p>
    <w:p>
      <w:pPr>
        <w:spacing w:after="0" w:line="118"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including the resulting global economic uncertainty and measures taken in response to the pandemic, has adversely impacted our business, financial condition and results of operations, and may continue to do so;</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affiliates of The Blackstone Group Inc. and our Co-Founders Bryce Maddock and Jaspar Weir control us and their interests may conflict with ours or yours in the future; and</w:t>
      </w:r>
    </w:p>
    <w:p>
      <w:pPr>
        <w:spacing w:after="0" w:line="53" w:lineRule="exact"/>
        <w:rPr>
          <w:rFonts w:ascii="Arial" w:cs="Arial" w:eastAsia="Arial" w:hAnsi="Arial"/>
          <w:sz w:val="17"/>
          <w:szCs w:val="17"/>
          <w:color w:val="auto"/>
        </w:rPr>
      </w:pPr>
    </w:p>
    <w:p>
      <w:pPr>
        <w:ind w:left="940" w:hanging="465"/>
        <w:spacing w:after="0" w:line="28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held our common stock prior to the completion of our initial public offering, and it may depress the trading price of our Class A common stock.</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urge you to carefully consider the foregoing summary together with the risks discussed under “Risk Factors” in the prospectus and in Part I, Item 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Financial Condition and Results of Operations in this Quarterly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WEBSITE AND SOCIAL MEDIA DISCLOSURE</w:t>
      </w:r>
    </w:p>
    <w:p>
      <w:pPr>
        <w:spacing w:after="0" w:line="12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We use our website and our social media outlets, such as Facebook, Instagram, Youtube, LinkedIn,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at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39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Cash</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61,330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107,728</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 of allowance for doubtful accounts of $2,931 and $2,294,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87,782</w:t>
            </w: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Other receivables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13,032</w:t>
            </w: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Income tax receivable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211,304</w:t>
            </w:r>
          </w:p>
        </w:tc>
        <w:tc>
          <w:tcPr>
            <w:tcW w:w="0" w:type="dxa"/>
            <w:vAlign w:val="bottom"/>
          </w:tcPr>
          <w:p>
            <w:pPr>
              <w:spacing w:after="0"/>
              <w:rPr>
                <w:sz w:val="1"/>
                <w:szCs w:val="1"/>
                <w:color w:val="auto"/>
              </w:rPr>
            </w:pP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56,957</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Intangibles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226,160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240,295</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195,735</w:t>
            </w:r>
          </w:p>
        </w:tc>
        <w:tc>
          <w:tcPr>
            <w:tcW w:w="0" w:type="dxa"/>
            <w:vAlign w:val="bottom"/>
          </w:tcPr>
          <w:p>
            <w:pPr>
              <w:spacing w:after="0"/>
              <w:rPr>
                <w:sz w:val="1"/>
                <w:szCs w:val="1"/>
                <w:color w:val="auto"/>
              </w:rPr>
            </w:pPr>
          </w:p>
        </w:tc>
      </w:tr>
      <w:tr>
        <w:trPr>
          <w:trHeight w:val="206"/>
        </w:trPr>
        <w:tc>
          <w:tcPr>
            <w:tcW w:w="8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496,202</w:t>
            </w:r>
          </w:p>
        </w:tc>
        <w:tc>
          <w:tcPr>
            <w:tcW w:w="0" w:type="dxa"/>
            <w:vAlign w:val="bottom"/>
          </w:tcPr>
          <w:p>
            <w:pPr>
              <w:spacing w:after="0"/>
              <w:rPr>
                <w:sz w:val="1"/>
                <w:szCs w:val="1"/>
                <w:color w:val="auto"/>
              </w:rPr>
            </w:pPr>
          </w:p>
        </w:tc>
      </w:tr>
      <w:tr>
        <w:trPr>
          <w:trHeight w:val="205"/>
        </w:trPr>
        <w:tc>
          <w:tcPr>
            <w:tcW w:w="8300" w:type="dxa"/>
            <w:vAlign w:val="bottom"/>
          </w:tcPr>
          <w:p>
            <w:pPr>
              <w:ind w:left="10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731,532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707,506</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00" w:type="dxa"/>
            <w:vAlign w:val="bottom"/>
            <w:shd w:val="clear" w:color="auto" w:fill="CCEEFF"/>
          </w:tcPr>
          <w:p>
            <w:pPr>
              <w:ind w:left="2940"/>
              <w:spacing w:after="0" w:line="175"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44,767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41,935</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payroll and employee-related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21,994</w:t>
            </w:r>
          </w:p>
        </w:tc>
        <w:tc>
          <w:tcPr>
            <w:tcW w:w="0" w:type="dxa"/>
            <w:vAlign w:val="bottom"/>
          </w:tcPr>
          <w:p>
            <w:pPr>
              <w:spacing w:after="0"/>
              <w:rPr>
                <w:sz w:val="1"/>
                <w:szCs w:val="1"/>
                <w:color w:val="auto"/>
              </w:rPr>
            </w:pPr>
          </w:p>
        </w:tc>
      </w:tr>
      <w:tr>
        <w:trPr>
          <w:trHeight w:val="206"/>
        </w:trPr>
        <w:tc>
          <w:tcPr>
            <w:tcW w:w="8300" w:type="dxa"/>
            <w:vAlign w:val="bottom"/>
          </w:tcPr>
          <w:p>
            <w:pPr>
              <w:ind w:left="440"/>
              <w:spacing w:after="0"/>
              <w:rPr>
                <w:sz w:val="20"/>
                <w:szCs w:val="20"/>
                <w:color w:val="auto"/>
              </w:rPr>
            </w:pPr>
            <w:r>
              <w:rPr>
                <w:rFonts w:ascii="Arial" w:cs="Arial" w:eastAsia="Arial" w:hAnsi="Arial"/>
                <w:sz w:val="16"/>
                <w:szCs w:val="16"/>
                <w:color w:val="auto"/>
              </w:rPr>
              <w:t>Current portion of debt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49,822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45,984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Current portion of income tax payable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0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rent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114,842</w:t>
            </w:r>
          </w:p>
        </w:tc>
        <w:tc>
          <w:tcPr>
            <w:tcW w:w="0" w:type="dxa"/>
            <w:vAlign w:val="bottom"/>
          </w:tcPr>
          <w:p>
            <w:pPr>
              <w:spacing w:after="0"/>
              <w:rPr>
                <w:sz w:val="1"/>
                <w:szCs w:val="1"/>
                <w:color w:val="auto"/>
              </w:rPr>
            </w:pPr>
          </w:p>
        </w:tc>
      </w:tr>
      <w:tr>
        <w:trPr>
          <w:trHeight w:val="19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440"/>
              <w:spacing w:after="0"/>
              <w:rPr>
                <w:sz w:val="20"/>
                <w:szCs w:val="20"/>
                <w:color w:val="auto"/>
              </w:rPr>
            </w:pPr>
            <w:r>
              <w:rPr>
                <w:rFonts w:ascii="Arial" w:cs="Arial" w:eastAsia="Arial" w:hAnsi="Arial"/>
                <w:sz w:val="16"/>
                <w:szCs w:val="16"/>
                <w:color w:val="auto"/>
              </w:rPr>
              <w:t>Income tax payable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198,768</w:t>
            </w:r>
          </w:p>
        </w:tc>
        <w:tc>
          <w:tcPr>
            <w:tcW w:w="0" w:type="dxa"/>
            <w:vAlign w:val="bottom"/>
          </w:tcPr>
          <w:p>
            <w:pPr>
              <w:spacing w:after="0"/>
              <w:rPr>
                <w:sz w:val="1"/>
                <w:szCs w:val="1"/>
                <w:color w:val="auto"/>
              </w:rPr>
            </w:pPr>
          </w:p>
        </w:tc>
      </w:tr>
      <w:tr>
        <w:trPr>
          <w:trHeight w:val="206"/>
        </w:trPr>
        <w:tc>
          <w:tcPr>
            <w:tcW w:w="8300" w:type="dxa"/>
            <w:vAlign w:val="bottom"/>
          </w:tcPr>
          <w:p>
            <w:pPr>
              <w:ind w:left="44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payroll and employee-related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06"/>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50,936</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257,527</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372,369</w:t>
            </w:r>
          </w:p>
        </w:tc>
        <w:tc>
          <w:tcPr>
            <w:tcW w:w="0" w:type="dxa"/>
            <w:vAlign w:val="bottom"/>
          </w:tcPr>
          <w:p>
            <w:pPr>
              <w:spacing w:after="0"/>
              <w:rPr>
                <w:sz w:val="1"/>
                <w:szCs w:val="1"/>
                <w:color w:val="auto"/>
              </w:rPr>
            </w:pP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w w:val="91"/>
              </w:rPr>
              <w:t>Class A Common stock, $0.01 par value. Authorized 2,500,000,000; 15,180,000 and no shares issued and outstanding as of</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September 30, 2021 and December 31, 2020, respectively</w:t>
            </w: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300" w:type="dxa"/>
            <w:vAlign w:val="bottom"/>
          </w:tcPr>
          <w:p>
            <w:pPr>
              <w:ind w:left="240"/>
              <w:spacing w:after="0" w:line="160" w:lineRule="exact"/>
              <w:rPr>
                <w:sz w:val="20"/>
                <w:szCs w:val="20"/>
                <w:color w:val="auto"/>
              </w:rPr>
            </w:pPr>
            <w:r>
              <w:rPr>
                <w:rFonts w:ascii="Arial" w:cs="Arial" w:eastAsia="Arial" w:hAnsi="Arial"/>
                <w:sz w:val="16"/>
                <w:szCs w:val="16"/>
                <w:color w:val="auto"/>
                <w:w w:val="93"/>
              </w:rPr>
              <w:t>Class B Convertible Common stock, $0.01 par value. Authorized 250,000,000; 82,110,174 and 91,737,020 shares issued</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03"/>
        </w:trPr>
        <w:tc>
          <w:tcPr>
            <w:tcW w:w="8300" w:type="dxa"/>
            <w:vAlign w:val="bottom"/>
          </w:tcPr>
          <w:p>
            <w:pPr>
              <w:ind w:left="380"/>
              <w:spacing w:after="0"/>
              <w:rPr>
                <w:sz w:val="20"/>
                <w:szCs w:val="20"/>
                <w:color w:val="auto"/>
              </w:rPr>
            </w:pPr>
            <w:r>
              <w:rPr>
                <w:rFonts w:ascii="Arial" w:cs="Arial" w:eastAsia="Arial" w:hAnsi="Arial"/>
                <w:sz w:val="16"/>
                <w:szCs w:val="16"/>
                <w:color w:val="auto"/>
              </w:rPr>
              <w:t>and outstanding as of September 30, 2021 and December 31, 2020, respectively</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398,202</w:t>
            </w:r>
          </w:p>
        </w:tc>
        <w:tc>
          <w:tcPr>
            <w:tcW w:w="0" w:type="dxa"/>
            <w:vAlign w:val="bottom"/>
          </w:tcPr>
          <w:p>
            <w:pPr>
              <w:spacing w:after="0"/>
              <w:rPr>
                <w:sz w:val="1"/>
                <w:szCs w:val="1"/>
                <w:color w:val="auto"/>
              </w:rPr>
            </w:pPr>
          </w:p>
        </w:tc>
      </w:tr>
      <w:tr>
        <w:trPr>
          <w:trHeight w:val="206"/>
        </w:trPr>
        <w:tc>
          <w:tcPr>
            <w:tcW w:w="830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(67,398)</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335,137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707,506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1"/>
        </w:trPr>
        <w:tc>
          <w:tcPr>
            <w:tcW w:w="52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122,425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339,254</w:t>
            </w:r>
          </w:p>
        </w:tc>
        <w:tc>
          <w:tcPr>
            <w:tcW w:w="0" w:type="dxa"/>
            <w:vAlign w:val="bottom"/>
          </w:tcPr>
          <w:p>
            <w:pPr>
              <w:spacing w:after="0"/>
              <w:rPr>
                <w:sz w:val="1"/>
                <w:szCs w:val="1"/>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65,378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191,296</w:t>
            </w: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60,342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32,190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269,650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83,630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w:t>
            </w: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4,711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14,135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3,570</w:t>
            </w:r>
          </w:p>
        </w:tc>
        <w:tc>
          <w:tcPr>
            <w:tcW w:w="0" w:type="dxa"/>
            <w:vAlign w:val="bottom"/>
          </w:tcPr>
          <w:p>
            <w:pPr>
              <w:spacing w:after="0"/>
              <w:rPr>
                <w:sz w:val="1"/>
                <w:szCs w:val="1"/>
                <w:color w:val="auto"/>
              </w:rPr>
            </w:pPr>
          </w:p>
        </w:tc>
      </w:tr>
      <w:tr>
        <w:trPr>
          <w:trHeight w:val="205"/>
        </w:trPr>
        <w:tc>
          <w:tcPr>
            <w:tcW w:w="5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184,924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106,130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608,444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307,006</w:t>
            </w:r>
          </w:p>
        </w:tc>
        <w:tc>
          <w:tcPr>
            <w:tcW w:w="0" w:type="dxa"/>
            <w:vAlign w:val="bottom"/>
          </w:tcPr>
          <w:p>
            <w:pPr>
              <w:spacing w:after="0"/>
              <w:rPr>
                <w:sz w:val="1"/>
                <w:szCs w:val="1"/>
                <w:color w:val="auto"/>
              </w:rPr>
            </w:pPr>
          </w:p>
        </w:tc>
      </w:tr>
      <w:tr>
        <w:trPr>
          <w:trHeight w:val="206"/>
        </w:trPr>
        <w:tc>
          <w:tcPr>
            <w:tcW w:w="5280" w:type="dxa"/>
            <w:vAlign w:val="bottom"/>
          </w:tcPr>
          <w:p>
            <w:pPr>
              <w:ind w:left="6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16,295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32,248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0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14,020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0" w:type="dxa"/>
            <w:vAlign w:val="bottom"/>
          </w:tcPr>
          <w:p>
            <w:pPr>
              <w:spacing w:after="0"/>
              <w:rPr>
                <w:sz w:val="1"/>
                <w:szCs w:val="1"/>
                <w:color w:val="auto"/>
              </w:rPr>
            </w:pPr>
          </w:p>
        </w:tc>
      </w:tr>
      <w:tr>
        <w:trPr>
          <w:trHeight w:val="20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2,564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11,456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97,290,174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93,994,896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91,737,020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109,426,011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91,737,020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93,994,896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91,737,020</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Statements of Comprehensive Income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30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1"/>
        </w:trPr>
        <w:tc>
          <w:tcPr>
            <w:tcW w:w="528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11,636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20,979</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Retirement benefit reserves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(3,957)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1,695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r>
      <w:tr>
        <w:trPr>
          <w:trHeight w:val="199"/>
        </w:trPr>
        <w:tc>
          <w:tcPr>
            <w:tcW w:w="5280" w:type="dxa"/>
            <w:vAlign w:val="bottom"/>
          </w:tcPr>
          <w:p>
            <w:pPr>
              <w:ind w:left="240"/>
              <w:spacing w:after="0"/>
              <w:rPr>
                <w:sz w:val="20"/>
                <w:szCs w:val="20"/>
                <w:color w:val="auto"/>
              </w:rPr>
            </w:pPr>
            <w:r>
              <w:rPr>
                <w:rFonts w:ascii="Arial" w:cs="Arial" w:eastAsia="Arial" w:hAnsi="Arial"/>
                <w:sz w:val="16"/>
                <w:szCs w:val="16"/>
                <w:color w:val="auto"/>
              </w:rPr>
              <w:t>Comprehensive income (loss)</w:t>
            </w: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13,155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23,687</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Statements of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w w:val="90"/>
              </w:rPr>
              <w:t>Capital stock and additional paid-in capital</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6"/>
            <w:vMerge w:val="restart"/>
          </w:tcPr>
          <w:p>
            <w:pPr>
              <w:jc w:val="right"/>
              <w:ind w:right="150"/>
              <w:spacing w:after="0"/>
              <w:rPr>
                <w:sz w:val="20"/>
                <w:szCs w:val="20"/>
                <w:color w:val="auto"/>
              </w:rPr>
            </w:pPr>
            <w:r>
              <w:rPr>
                <w:rFonts w:ascii="Arial" w:cs="Arial" w:eastAsia="Arial" w:hAnsi="Arial"/>
                <w:sz w:val="14"/>
                <w:szCs w:val="14"/>
                <w:b w:val="1"/>
                <w:bCs w:val="1"/>
                <w:color w:val="auto"/>
                <w:w w:val="95"/>
              </w:rPr>
              <w:t>Class A Common stock</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6"/>
            <w:vMerge w:val="restart"/>
          </w:tcPr>
          <w:p>
            <w:pPr>
              <w:jc w:val="right"/>
              <w:ind w:right="150"/>
              <w:spacing w:after="0"/>
              <w:rPr>
                <w:sz w:val="20"/>
                <w:szCs w:val="20"/>
                <w:color w:val="auto"/>
              </w:rPr>
            </w:pPr>
            <w:r>
              <w:rPr>
                <w:rFonts w:ascii="Arial" w:cs="Arial" w:eastAsia="Arial" w:hAnsi="Arial"/>
                <w:sz w:val="14"/>
                <w:szCs w:val="14"/>
                <w:b w:val="1"/>
                <w:bCs w:val="1"/>
                <w:color w:val="auto"/>
                <w:w w:val="98"/>
              </w:rPr>
              <w:t>Class B Common stock</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3"/>
          </w:tcPr>
          <w:p>
            <w:pPr>
              <w:jc w:val="center"/>
              <w:ind w:right="300"/>
              <w:spacing w:after="0" w:line="100"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1200" w:type="dxa"/>
            <w:vAlign w:val="bottom"/>
            <w:gridSpan w:val="2"/>
          </w:tcPr>
          <w:p>
            <w:pPr>
              <w:jc w:val="center"/>
              <w:ind w:right="220"/>
              <w:spacing w:after="0" w:line="100"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080" w:type="dxa"/>
            <w:vAlign w:val="bottom"/>
          </w:tcPr>
          <w:p>
            <w:pPr>
              <w:jc w:val="center"/>
              <w:ind w:right="91"/>
              <w:spacing w:after="0" w:line="100"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94"/>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6"/>
                <w:szCs w:val="16"/>
                <w:color w:val="auto"/>
              </w:rPr>
            </w:pPr>
          </w:p>
        </w:tc>
        <w:tc>
          <w:tcPr>
            <w:tcW w:w="1080" w:type="dxa"/>
            <w:vAlign w:val="bottom"/>
          </w:tcPr>
          <w:p>
            <w:pPr>
              <w:jc w:val="center"/>
              <w:ind w:right="9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7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(101,931)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297,500</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9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4"/>
        </w:trPr>
        <w:tc>
          <w:tcPr>
            <w:tcW w:w="2180" w:type="dxa"/>
            <w:vAlign w:val="bottom"/>
          </w:tcPr>
          <w:p>
            <w:pPr>
              <w:ind w:left="20"/>
              <w:spacing w:after="0"/>
              <w:rPr>
                <w:sz w:val="20"/>
                <w:szCs w:val="20"/>
                <w:color w:val="auto"/>
              </w:rPr>
            </w:pPr>
            <w:r>
              <w:rPr>
                <w:rFonts w:ascii="Arial" w:cs="Arial" w:eastAsia="Arial" w:hAnsi="Arial"/>
                <w:sz w:val="14"/>
                <w:szCs w:val="14"/>
                <w:color w:val="auto"/>
              </w:rPr>
              <w:t>Balance as of March 31, 2020</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(100,416)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298,791</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5"/>
                <w:szCs w:val="15"/>
                <w:color w:val="auto"/>
              </w:rPr>
            </w:pPr>
          </w:p>
        </w:tc>
        <w:tc>
          <w:tcPr>
            <w:tcW w:w="9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7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2020</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1,321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308,032</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98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11,456</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174"/>
        </w:trPr>
        <w:tc>
          <w:tcPr>
            <w:tcW w:w="2180" w:type="dxa"/>
            <w:vAlign w:val="bottom"/>
          </w:tcPr>
          <w:p>
            <w:pPr>
              <w:ind w:left="20"/>
              <w:spacing w:after="0"/>
              <w:rPr>
                <w:sz w:val="20"/>
                <w:szCs w:val="20"/>
                <w:color w:val="auto"/>
              </w:rPr>
            </w:pPr>
            <w:r>
              <w:rPr>
                <w:rFonts w:ascii="Arial" w:cs="Arial" w:eastAsia="Arial" w:hAnsi="Arial"/>
                <w:sz w:val="14"/>
                <w:szCs w:val="14"/>
                <w:color w:val="auto"/>
                <w:w w:val="99"/>
              </w:rPr>
              <w:t>Balance as of September 30, 2020</w:t>
            </w: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(80,952)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3,020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321,187</w:t>
            </w:r>
          </w:p>
        </w:tc>
        <w:tc>
          <w:tcPr>
            <w:tcW w:w="0" w:type="dxa"/>
            <w:vAlign w:val="bottom"/>
          </w:tcPr>
          <w:p>
            <w:pPr>
              <w:spacing w:after="0"/>
              <w:rPr>
                <w:sz w:val="1"/>
                <w:szCs w:val="1"/>
                <w:color w:val="auto"/>
              </w:rPr>
            </w:pPr>
          </w:p>
        </w:tc>
      </w:tr>
      <w:tr>
        <w:trPr>
          <w:trHeight w:val="513"/>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4"/>
          </w:tcPr>
          <w:p>
            <w:pPr>
              <w:jc w:val="right"/>
              <w:ind w:right="110"/>
              <w:spacing w:after="0"/>
              <w:rPr>
                <w:sz w:val="20"/>
                <w:szCs w:val="20"/>
                <w:color w:val="auto"/>
              </w:rPr>
            </w:pPr>
            <w:r>
              <w:rPr>
                <w:rFonts w:ascii="Arial" w:cs="Arial" w:eastAsia="Arial" w:hAnsi="Arial"/>
                <w:sz w:val="14"/>
                <w:szCs w:val="14"/>
                <w:b w:val="1"/>
                <w:bCs w:val="1"/>
                <w:color w:val="auto"/>
                <w:w w:val="92"/>
              </w:rPr>
              <w:t>Capital stock and additional paid-in capital</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w w:val="99"/>
              </w:rPr>
              <w:t>Class A Common stock</w:t>
            </w:r>
          </w:p>
        </w:tc>
        <w:tc>
          <w:tcPr>
            <w:tcW w:w="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Borders>
              <w:bottom w:val="single" w:sz="8" w:color="auto"/>
            </w:tcBorders>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tcBorders>
              <w:bottom w:val="single" w:sz="8" w:color="auto"/>
            </w:tcBorders>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3"/>
          </w:tcPr>
          <w:p>
            <w:pPr>
              <w:jc w:val="center"/>
              <w:ind w:right="260"/>
              <w:spacing w:after="0" w:line="100"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jc w:val="center"/>
              <w:ind w:right="240"/>
              <w:spacing w:after="0" w:line="100"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1200" w:type="dxa"/>
            <w:vAlign w:val="bottom"/>
            <w:gridSpan w:val="2"/>
          </w:tcPr>
          <w:p>
            <w:pPr>
              <w:jc w:val="center"/>
              <w:ind w:right="220"/>
              <w:spacing w:after="0" w:line="100"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080" w:type="dxa"/>
            <w:vAlign w:val="bottom"/>
          </w:tcPr>
          <w:p>
            <w:pPr>
              <w:jc w:val="center"/>
              <w:ind w:right="91"/>
              <w:spacing w:after="0" w:line="100"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194"/>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2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6"/>
                <w:szCs w:val="16"/>
                <w:color w:val="auto"/>
              </w:rPr>
            </w:pPr>
          </w:p>
        </w:tc>
        <w:tc>
          <w:tcPr>
            <w:tcW w:w="1080" w:type="dxa"/>
            <w:vAlign w:val="bottom"/>
          </w:tcPr>
          <w:p>
            <w:pPr>
              <w:jc w:val="center"/>
              <w:ind w:right="9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7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3,416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335,137</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16,507</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ind w:left="20"/>
              <w:spacing w:after="0" w:line="158" w:lineRule="exact"/>
              <w:rPr>
                <w:sz w:val="20"/>
                <w:szCs w:val="20"/>
                <w:color w:val="auto"/>
              </w:rPr>
            </w:pPr>
            <w:r>
              <w:rPr>
                <w:rFonts w:ascii="Arial" w:cs="Arial" w:eastAsia="Arial" w:hAnsi="Arial"/>
                <w:sz w:val="14"/>
                <w:szCs w:val="14"/>
                <w:color w:val="auto"/>
              </w:rPr>
              <w:t>Balance as of March 31, 2021</w:t>
            </w:r>
          </w:p>
        </w:tc>
        <w:tc>
          <w:tcPr>
            <w:tcW w:w="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91,737,020</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398,202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(50,891)</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2,561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350,789</w:t>
            </w:r>
          </w:p>
        </w:tc>
        <w:tc>
          <w:tcPr>
            <w:tcW w:w="0" w:type="dxa"/>
            <w:vAlign w:val="bottom"/>
          </w:tcPr>
          <w:p>
            <w:pPr>
              <w:spacing w:after="0"/>
              <w:rPr>
                <w:sz w:val="1"/>
                <w:szCs w:val="1"/>
                <w:color w:val="auto"/>
              </w:rPr>
            </w:pPr>
          </w:p>
        </w:tc>
      </w:tr>
      <w:tr>
        <w:trPr>
          <w:trHeight w:val="113"/>
        </w:trPr>
        <w:tc>
          <w:tcPr>
            <w:tcW w:w="218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w w:val="96"/>
              </w:rPr>
              <w:t>Issuance on Class A Common stock in</w:t>
            </w: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80" w:type="dxa"/>
            <w:vAlign w:val="bottom"/>
            <w:shd w:val="clear" w:color="auto" w:fill="CCEEFF"/>
          </w:tcPr>
          <w:p>
            <w:pPr>
              <w:ind w:left="180"/>
              <w:spacing w:after="0" w:line="131" w:lineRule="exact"/>
              <w:rPr>
                <w:sz w:val="20"/>
                <w:szCs w:val="20"/>
                <w:color w:val="auto"/>
              </w:rPr>
            </w:pPr>
            <w:r>
              <w:rPr>
                <w:rFonts w:ascii="Arial" w:cs="Arial" w:eastAsia="Arial" w:hAnsi="Arial"/>
                <w:sz w:val="14"/>
                <w:szCs w:val="14"/>
                <w:color w:val="auto"/>
              </w:rPr>
              <w:t>the initial public offering primary</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80" w:type="dxa"/>
            <w:vAlign w:val="bottom"/>
            <w:shd w:val="clear" w:color="auto" w:fill="CCEEFF"/>
          </w:tcPr>
          <w:p>
            <w:pPr>
              <w:ind w:left="180"/>
              <w:spacing w:after="0" w:line="131" w:lineRule="exact"/>
              <w:rPr>
                <w:sz w:val="20"/>
                <w:szCs w:val="20"/>
                <w:color w:val="auto"/>
              </w:rPr>
            </w:pPr>
            <w:r>
              <w:rPr>
                <w:rFonts w:ascii="Arial" w:cs="Arial" w:eastAsia="Arial" w:hAnsi="Arial"/>
                <w:sz w:val="14"/>
                <w:szCs w:val="14"/>
                <w:color w:val="auto"/>
                <w:w w:val="97"/>
              </w:rPr>
              <w:t>offering, net of underwriters’ fees</w:t>
            </w:r>
          </w:p>
        </w:tc>
        <w:tc>
          <w:tcPr>
            <w:tcW w:w="1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5,553,154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115,844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115,900</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offering costs</w:t>
            </w:r>
          </w:p>
        </w:tc>
        <w:tc>
          <w:tcPr>
            <w:tcW w:w="10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w w:val="90"/>
              </w:rPr>
              <w:t>Conversion of Class B Common stock</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9,626,846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2"/>
              </w:rPr>
              <w:t>(9,626,846)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Stock-based compensation expense</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0" w:type="dxa"/>
            <w:vAlign w:val="bottom"/>
          </w:tcPr>
          <w:p>
            <w:pPr>
              <w:spacing w:after="0"/>
              <w:rPr>
                <w:sz w:val="1"/>
                <w:szCs w:val="1"/>
                <w:color w:val="auto"/>
              </w:rPr>
            </w:pPr>
          </w:p>
        </w:tc>
      </w:tr>
      <w:tr>
        <w:trPr>
          <w:trHeight w:val="131"/>
        </w:trPr>
        <w:tc>
          <w:tcPr>
            <w:tcW w:w="2180" w:type="dxa"/>
            <w:vAlign w:val="bottom"/>
          </w:tcPr>
          <w:p>
            <w:pPr>
              <w:ind w:left="20"/>
              <w:spacing w:after="0" w:line="131" w:lineRule="exact"/>
              <w:rPr>
                <w:sz w:val="20"/>
                <w:szCs w:val="20"/>
                <w:color w:val="auto"/>
              </w:rPr>
            </w:pPr>
            <w:r>
              <w:rPr>
                <w:rFonts w:ascii="Arial" w:cs="Arial" w:eastAsia="Arial" w:hAnsi="Arial"/>
                <w:sz w:val="14"/>
                <w:szCs w:val="14"/>
                <w:color w:val="auto"/>
                <w:w w:val="98"/>
              </w:rPr>
              <w:t>Distribution of dividends ($0.55 per</w:t>
            </w:r>
          </w:p>
        </w:tc>
        <w:tc>
          <w:tcPr>
            <w:tcW w:w="80" w:type="dxa"/>
            <w:vAlign w:val="bottom"/>
          </w:tcPr>
          <w:p>
            <w:pPr>
              <w:spacing w:after="0"/>
              <w:rPr>
                <w:sz w:val="11"/>
                <w:szCs w:val="11"/>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1"/>
        </w:trPr>
        <w:tc>
          <w:tcPr>
            <w:tcW w:w="2180" w:type="dxa"/>
            <w:vAlign w:val="bottom"/>
          </w:tcPr>
          <w:p>
            <w:pPr>
              <w:ind w:left="18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(105,943)</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7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15,180,000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82,110,174</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519,817</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(206,834)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316,025</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w w:val="94"/>
              </w:rPr>
              <w:t>Stock-based compensation expense</w:t>
            </w:r>
          </w:p>
        </w:tc>
        <w:tc>
          <w:tcPr>
            <w:tcW w:w="8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0" w:type="dxa"/>
            <w:vAlign w:val="bottom"/>
          </w:tcPr>
          <w:p>
            <w:pPr>
              <w:spacing w:after="0"/>
              <w:rPr>
                <w:sz w:val="1"/>
                <w:szCs w:val="1"/>
                <w:color w:val="auto"/>
              </w:rPr>
            </w:pPr>
          </w:p>
        </w:tc>
      </w:tr>
      <w:tr>
        <w:trPr>
          <w:trHeight w:val="181"/>
        </w:trPr>
        <w:tc>
          <w:tcPr>
            <w:tcW w:w="21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8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203"/>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Balance as of September 30, 2021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15,180,000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82,110,174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539,060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342,984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1"/>
        </w:trPr>
        <w:tc>
          <w:tcPr>
            <w:tcW w:w="8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(77,800)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20,979</w:t>
            </w: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6"/>
        </w:trPr>
        <w:tc>
          <w:tcPr>
            <w:tcW w:w="8300" w:type="dxa"/>
            <w:vAlign w:val="bottom"/>
          </w:tcPr>
          <w:p>
            <w:pPr>
              <w:ind w:left="6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14,220</w:t>
            </w:r>
          </w:p>
        </w:tc>
      </w:tr>
      <w:tr>
        <w:trPr>
          <w:trHeight w:val="212"/>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14,135</w:t>
            </w:r>
          </w:p>
        </w:tc>
      </w:tr>
      <w:tr>
        <w:trPr>
          <w:trHeight w:val="206"/>
        </w:trPr>
        <w:tc>
          <w:tcPr>
            <w:tcW w:w="8300" w:type="dxa"/>
            <w:vAlign w:val="bottom"/>
          </w:tcPr>
          <w:p>
            <w:pPr>
              <w:ind w:left="640"/>
              <w:spacing w:after="0"/>
              <w:rPr>
                <w:sz w:val="20"/>
                <w:szCs w:val="20"/>
                <w:color w:val="auto"/>
              </w:rPr>
            </w:pPr>
            <w:r>
              <w:rPr>
                <w:rFonts w:ascii="Arial" w:cs="Arial" w:eastAsia="Arial" w:hAnsi="Arial"/>
                <w:sz w:val="16"/>
                <w:szCs w:val="16"/>
                <w:color w:val="auto"/>
              </w:rPr>
              <w:t>Amortization of debt financing fees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2"/>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on disposal of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6"/>
        </w:trPr>
        <w:tc>
          <w:tcPr>
            <w:tcW w:w="8300" w:type="dxa"/>
            <w:vAlign w:val="bottom"/>
          </w:tcPr>
          <w:p>
            <w:pPr>
              <w:ind w:left="640"/>
              <w:spacing w:after="0"/>
              <w:rPr>
                <w:sz w:val="20"/>
                <w:szCs w:val="20"/>
                <w:color w:val="auto"/>
              </w:rPr>
            </w:pPr>
            <w:r>
              <w:rPr>
                <w:rFonts w:ascii="Arial" w:cs="Arial" w:eastAsia="Arial" w:hAnsi="Arial"/>
                <w:sz w:val="16"/>
                <w:szCs w:val="16"/>
                <w:color w:val="auto"/>
              </w:rPr>
              <w:t>Provision for losses on accounts receivable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2,229</w:t>
            </w:r>
          </w:p>
        </w:tc>
      </w:tr>
      <w:tr>
        <w:trPr>
          <w:trHeight w:val="212"/>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Unrealized foreign exchange losses on forward contracts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r>
      <w:tr>
        <w:trPr>
          <w:trHeight w:val="206"/>
        </w:trPr>
        <w:tc>
          <w:tcPr>
            <w:tcW w:w="8300" w:type="dxa"/>
            <w:vAlign w:val="bottom"/>
          </w:tcPr>
          <w:p>
            <w:pPr>
              <w:ind w:left="640"/>
              <w:spacing w:after="0"/>
              <w:rPr>
                <w:sz w:val="20"/>
                <w:szCs w:val="20"/>
                <w:color w:val="auto"/>
              </w:rPr>
            </w:pPr>
            <w:r>
              <w:rPr>
                <w:rFonts w:ascii="Arial" w:cs="Arial" w:eastAsia="Arial" w:hAnsi="Arial"/>
                <w:sz w:val="16"/>
                <w:szCs w:val="16"/>
                <w:color w:val="auto"/>
              </w:rPr>
              <w:t>Deferred taxes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(2,876)</w:t>
            </w:r>
          </w:p>
        </w:tc>
      </w:tr>
      <w:tr>
        <w:trPr>
          <w:trHeight w:val="212"/>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00" w:type="dxa"/>
            <w:vAlign w:val="bottom"/>
          </w:tcPr>
          <w:p>
            <w:pPr>
              <w:ind w:left="6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8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w:t>
            </w:r>
          </w:p>
        </w:tc>
      </w:tr>
      <w:tr>
        <w:trPr>
          <w:trHeight w:val="206"/>
        </w:trPr>
        <w:tc>
          <w:tcPr>
            <w:tcW w:w="8300" w:type="dxa"/>
            <w:vAlign w:val="bottom"/>
          </w:tcPr>
          <w:p>
            <w:pPr>
              <w:ind w:left="1040"/>
              <w:spacing w:after="0"/>
              <w:rPr>
                <w:sz w:val="20"/>
                <w:szCs w:val="20"/>
                <w:color w:val="auto"/>
              </w:rPr>
            </w:pPr>
            <w:r>
              <w:rPr>
                <w:rFonts w:ascii="Arial" w:cs="Arial" w:eastAsia="Arial" w:hAnsi="Arial"/>
                <w:sz w:val="16"/>
                <w:szCs w:val="16"/>
                <w:color w:val="auto"/>
              </w:rPr>
              <w:t>Other receivables, prepaid expenses, and other current assets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8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6"/>
        </w:trPr>
        <w:tc>
          <w:tcPr>
            <w:tcW w:w="8300" w:type="dxa"/>
            <w:vAlign w:val="bottom"/>
          </w:tcPr>
          <w:p>
            <w:pPr>
              <w:ind w:left="104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9,326</w:t>
            </w:r>
          </w:p>
        </w:tc>
      </w:tr>
      <w:tr>
        <w:trPr>
          <w:trHeight w:val="212"/>
        </w:trPr>
        <w:tc>
          <w:tcPr>
            <w:tcW w:w="8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Accrued payroll and employee-related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12,788</w:t>
            </w:r>
          </w:p>
        </w:tc>
      </w:tr>
      <w:tr>
        <w:trPr>
          <w:trHeight w:val="206"/>
        </w:trPr>
        <w:tc>
          <w:tcPr>
            <w:tcW w:w="8300" w:type="dxa"/>
            <w:vAlign w:val="bottom"/>
          </w:tcPr>
          <w:p>
            <w:pPr>
              <w:ind w:left="104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(3,343)</w:t>
            </w:r>
          </w:p>
        </w:tc>
      </w:tr>
      <w:tr>
        <w:trPr>
          <w:trHeight w:val="212"/>
        </w:trPr>
        <w:tc>
          <w:tcPr>
            <w:tcW w:w="830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r>
      <w:tr>
        <w:trPr>
          <w:trHeight w:val="206"/>
        </w:trPr>
        <w:tc>
          <w:tcPr>
            <w:tcW w:w="830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Deferred rent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05"/>
        </w:trPr>
        <w:tc>
          <w:tcPr>
            <w:tcW w:w="83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45,629</w:t>
            </w:r>
          </w:p>
        </w:tc>
      </w:tr>
      <w:tr>
        <w:trPr>
          <w:trHeight w:val="186"/>
        </w:trPr>
        <w:tc>
          <w:tcPr>
            <w:tcW w:w="830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(21,886)</w:t>
            </w:r>
          </w:p>
        </w:tc>
      </w:tr>
      <w:tr>
        <w:trPr>
          <w:trHeight w:val="199"/>
        </w:trPr>
        <w:tc>
          <w:tcPr>
            <w:tcW w:w="83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(21,886)</w:t>
            </w: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Proceeds from borrowing, Revolving credit facility</w:t>
            </w: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39,878</w:t>
            </w: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on long-term debt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Payments for debt financing fees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 net of underwriters’ fees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Payments for offering costs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 of dividends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83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38,303</w:t>
            </w:r>
          </w:p>
        </w:tc>
      </w:tr>
      <w:tr>
        <w:trPr>
          <w:trHeight w:val="205"/>
        </w:trPr>
        <w:tc>
          <w:tcPr>
            <w:tcW w:w="83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Increase (decrease) in cash and cash equivalents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62,046</w:t>
            </w: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2,720</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37,541</w:t>
            </w:r>
          </w:p>
        </w:tc>
      </w:tr>
      <w:tr>
        <w:trPr>
          <w:trHeight w:val="199"/>
        </w:trPr>
        <w:tc>
          <w:tcPr>
            <w:tcW w:w="8300" w:type="dxa"/>
            <w:vAlign w:val="bottom"/>
          </w:tcPr>
          <w:p>
            <w:pPr>
              <w:ind w:left="20"/>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102,307</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Statements</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Description of Business and Organization</w:t>
      </w:r>
    </w:p>
    <w:p>
      <w:pPr>
        <w:spacing w:after="0" w:line="12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TaskUs, Inc. (formerly known as TU TopCo, Inc.) (“TaskUs” and, together with its subsidiaries, the “Company,” “we,” “us” or “our”) was formed by investment funds affiliated with Blackstone Inc. (“Blackstone”) as a vehicle for the acquisition of TaskUs Holdings, Inc. (formerly known as TaskUs, Inc.) (“TaskUs Holdings”) on October 1, 2018 (the “Blackstone Acquisition”). Prior to the Blackstone Acquisition, TaskUs had no operations and TaskUs Holdings operated as a standalone entity.</w:t>
      </w:r>
    </w:p>
    <w:p>
      <w:pPr>
        <w:spacing w:after="0" w:line="71"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connection with the Company’s June 2021 initial public offering (“IPO”), on June 10, 2021, the Company amended and restated its certificate of incorporation to effect a ten-for-one forward stock split of its outstanding common stock and authorized two classes of ownership interests. See Note 11, “Shareholders’ Equity” for additional information.</w:t>
      </w:r>
    </w:p>
    <w:p>
      <w:pPr>
        <w:spacing w:after="0" w:line="6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are a digital outsourcer focused on serving high-growth technology companies to represent, protect and grow their brands. Our global, omni-channel delivery model is focused on Digital Customer Experience, Content Security and artificial intelligence (“AI”) Operations. We have designed our platform to enable us to rapidly scale and benefit from our clients’ growth. Through our agile and responsive operational model, we deliver services from multiple delivery sites that span globally from the United States, Philippines, and other parts of the world.</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major service offerings are described in more detail below:</w:t>
      </w:r>
    </w:p>
    <w:p>
      <w:pPr>
        <w:spacing w:after="0" w:line="118" w:lineRule="exact"/>
        <w:rPr>
          <w:sz w:val="20"/>
          <w:szCs w:val="20"/>
          <w:color w:val="auto"/>
        </w:rPr>
      </w:pPr>
    </w:p>
    <w:p>
      <w:pPr>
        <w:ind w:left="940" w:hanging="308"/>
        <w:spacing w:after="0" w:line="288" w:lineRule="auto"/>
        <w:tabs>
          <w:tab w:leader="none" w:pos="936" w:val="left"/>
        </w:tabs>
        <w:numPr>
          <w:ilvl w:val="2"/>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Digital Customer Experience</w:t>
      </w:r>
      <w:r>
        <w:rPr>
          <w:rFonts w:ascii="Arial" w:cs="Arial" w:eastAsia="Arial" w:hAnsi="Arial"/>
          <w:sz w:val="17"/>
          <w:szCs w:val="17"/>
          <w:color w:val="auto"/>
        </w:rPr>
        <w:t>: Principally consists of omni-channel customer care services primarily delivered through digital (non-voice)</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w:t>
      </w:r>
    </w:p>
    <w:p>
      <w:pPr>
        <w:spacing w:after="0" w:line="53" w:lineRule="exact"/>
        <w:rPr>
          <w:rFonts w:ascii="Arial" w:cs="Arial" w:eastAsia="Arial" w:hAnsi="Arial"/>
          <w:sz w:val="17"/>
          <w:szCs w:val="17"/>
          <w:i w:val="1"/>
          <w:iCs w:val="1"/>
          <w:color w:val="auto"/>
        </w:rPr>
      </w:pPr>
    </w:p>
    <w:p>
      <w:pPr>
        <w:ind w:left="940" w:hanging="308"/>
        <w:spacing w:after="0" w:line="288" w:lineRule="auto"/>
        <w:tabs>
          <w:tab w:leader="none" w:pos="936" w:val="left"/>
        </w:tabs>
        <w:numPr>
          <w:ilvl w:val="2"/>
          <w:numId w:val="5"/>
        </w:numPr>
        <w:rPr>
          <w:rFonts w:ascii="Arial" w:cs="Arial" w:eastAsia="Arial" w:hAnsi="Arial"/>
          <w:sz w:val="17"/>
          <w:szCs w:val="17"/>
          <w:color w:val="auto"/>
        </w:rPr>
      </w:pPr>
      <w:r>
        <w:rPr>
          <w:rFonts w:ascii="Arial" w:cs="Arial" w:eastAsia="Arial" w:hAnsi="Arial"/>
          <w:sz w:val="17"/>
          <w:szCs w:val="17"/>
          <w:i w:val="1"/>
          <w:iCs w:val="1"/>
          <w:color w:val="auto"/>
        </w:rPr>
        <w:t>Content Security</w:t>
      </w:r>
      <w:r>
        <w:rPr>
          <w:rFonts w:ascii="Arial" w:cs="Arial" w:eastAsia="Arial" w:hAnsi="Arial"/>
          <w:sz w:val="17"/>
          <w:szCs w:val="17"/>
          <w:color w:val="auto"/>
        </w:rPr>
        <w:t>: Principally consists of review and disposition of user and advertiser generated content for purposes which include removal or</w:t>
      </w:r>
      <w:r>
        <w:rPr>
          <w:rFonts w:ascii="Arial" w:cs="Arial" w:eastAsia="Arial" w:hAnsi="Arial"/>
          <w:sz w:val="17"/>
          <w:szCs w:val="17"/>
          <w:i w:val="1"/>
          <w:iCs w:val="1"/>
          <w:color w:val="auto"/>
        </w:rPr>
        <w:t xml:space="preserve"> </w:t>
      </w:r>
      <w:r>
        <w:rPr>
          <w:rFonts w:ascii="Arial" w:cs="Arial" w:eastAsia="Arial" w:hAnsi="Arial"/>
          <w:sz w:val="17"/>
          <w:szCs w:val="17"/>
          <w:color w:val="auto"/>
        </w:rPr>
        <w:t>labeling of policy violating, offensive or misleading content.</w:t>
      </w:r>
    </w:p>
    <w:p>
      <w:pPr>
        <w:spacing w:after="0" w:line="53" w:lineRule="exact"/>
        <w:rPr>
          <w:rFonts w:ascii="Arial" w:cs="Arial" w:eastAsia="Arial" w:hAnsi="Arial"/>
          <w:sz w:val="17"/>
          <w:szCs w:val="17"/>
          <w:color w:val="auto"/>
        </w:rPr>
      </w:pPr>
    </w:p>
    <w:p>
      <w:pPr>
        <w:ind w:left="940" w:hanging="308"/>
        <w:spacing w:after="0" w:line="288" w:lineRule="auto"/>
        <w:tabs>
          <w:tab w:leader="none" w:pos="936" w:val="left"/>
        </w:tabs>
        <w:numPr>
          <w:ilvl w:val="2"/>
          <w:numId w:val="5"/>
        </w:numPr>
        <w:rPr>
          <w:rFonts w:ascii="Arial" w:cs="Arial" w:eastAsia="Arial" w:hAnsi="Arial"/>
          <w:sz w:val="17"/>
          <w:szCs w:val="17"/>
          <w:color w:val="auto"/>
        </w:rPr>
      </w:pPr>
      <w:r>
        <w:rPr>
          <w:rFonts w:ascii="Arial" w:cs="Arial" w:eastAsia="Arial" w:hAnsi="Arial"/>
          <w:sz w:val="17"/>
          <w:szCs w:val="17"/>
          <w:i w:val="1"/>
          <w:iCs w:val="1"/>
          <w:color w:val="auto"/>
        </w:rPr>
        <w:t>AI Operation</w:t>
      </w:r>
      <w:r>
        <w:rPr>
          <w:rFonts w:ascii="Arial" w:cs="Arial" w:eastAsia="Arial" w:hAnsi="Arial"/>
          <w:sz w:val="17"/>
          <w:szCs w:val="17"/>
          <w:color w:val="auto"/>
        </w:rPr>
        <w:t>s: Principally consists of data labeling, annotation and transcription services performed for the purpose of training and tuning AI</w:t>
      </w:r>
      <w:r>
        <w:rPr>
          <w:rFonts w:ascii="Arial" w:cs="Arial" w:eastAsia="Arial" w:hAnsi="Arial"/>
          <w:sz w:val="17"/>
          <w:szCs w:val="17"/>
          <w:i w:val="1"/>
          <w:iCs w:val="1"/>
          <w:color w:val="auto"/>
        </w:rPr>
        <w:t xml:space="preserve"> </w:t>
      </w:r>
      <w:r>
        <w:rPr>
          <w:rFonts w:ascii="Arial" w:cs="Arial" w:eastAsia="Arial" w:hAnsi="Arial"/>
          <w:sz w:val="17"/>
          <w:szCs w:val="17"/>
          <w:color w:val="auto"/>
        </w:rPr>
        <w:t>algorithms through the process of machine learning.</w:t>
      </w:r>
    </w:p>
    <w:p>
      <w:pPr>
        <w:spacing w:after="0" w:line="256" w:lineRule="exact"/>
        <w:rPr>
          <w:rFonts w:ascii="Arial" w:cs="Arial" w:eastAsia="Arial" w:hAnsi="Arial"/>
          <w:sz w:val="17"/>
          <w:szCs w:val="17"/>
          <w:color w:val="auto"/>
        </w:rPr>
      </w:pPr>
    </w:p>
    <w:p>
      <w:pPr>
        <w:ind w:left="180" w:hanging="175"/>
        <w:spacing w:after="0"/>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24" w:lineRule="exact"/>
        <w:rPr>
          <w:rFonts w:ascii="Arial" w:cs="Arial" w:eastAsia="Arial" w:hAnsi="Arial"/>
          <w:sz w:val="17"/>
          <w:szCs w:val="17"/>
          <w:b w:val="1"/>
          <w:bCs w:val="1"/>
          <w:color w:val="auto"/>
        </w:rPr>
      </w:pPr>
    </w:p>
    <w:p>
      <w:pPr>
        <w:ind w:left="400" w:hanging="239"/>
        <w:spacing w:after="0"/>
        <w:tabs>
          <w:tab w:leader="none" w:pos="400" w:val="left"/>
        </w:tabs>
        <w:numPr>
          <w:ilvl w:val="1"/>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accounting and reporting policies of the Company are in accordance with accounting principles generally accepted in the United States of America (“US GAAP”). Our prospectus dated October 20, 2021 (the "prospectus"), as filed with the Securities and Exchange Commission (the “SEC”) on October 22, 2021, includes a discussion of the significant accounting policies used in the preparation of our consolidated financial statements. There were no material changes to our significant accounting policies during the nine months ended September 30, 2021.</w:t>
      </w:r>
    </w:p>
    <w:p>
      <w:pPr>
        <w:spacing w:after="0" w:line="71"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2020 included in our prospectus. In the opinion of the Company, the accompanying unaudited condensed consolidated financial statements contain all adjustments, consisting of only normal recurring adjustments, necessary for a fair statement of its financial position as of September 30, 2021 and its results of operations, comprehensive income (loss) and shareholders’ equity for the three and nine months ended September 30, 2021 and 2020, and cash flows for the nine months ended September 30, 2021 and 2020. The condensed consolidated balance sheet as of December 31, 2020, was derived from audited annual financial statements but does not contain all of the footnote disclosures from the annual financial statements.</w:t>
      </w:r>
    </w:p>
    <w:p>
      <w:pPr>
        <w:spacing w:after="0" w:line="5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accompanying financial statements and related notes to the financial statements give retroactive effect to the stock split for all periods presented.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See Note 11, “Shareholders’ Equity” for additional information.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receivables; the valuation of deferred tax assets; valuation of forward contracts receivable; valuation of stock-based compensation; valuation and impairment of intangibles and goodwill and reserves for income tax uncertainties and other contingencies. As of September 30, 2021, the impact of the novel coronavirus (“COVID-19”) pandemic, including as a result of new strains and variants of the virus and uncertainty of acceptance of vaccines and their effectiveness, continues to unfold. As a result, many of our estimates and assumptions required increased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 Principles of Consolidation</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 Concentration Risk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Most of the Company’s customers are located in the United States. Customers outside of the United States are concentrated in Europe and Canada.</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the three and nine months ended September 30, 2021 and 2020, the following customers represented greater than 10% of the Company’s service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revenue:</w:t>
      </w:r>
    </w:p>
    <w:p>
      <w:pPr>
        <w:spacing w:after="0" w:line="161" w:lineRule="exact"/>
        <w:rPr>
          <w:sz w:val="20"/>
          <w:szCs w:val="20"/>
          <w:color w:val="auto"/>
        </w:rPr>
      </w:pPr>
    </w:p>
    <w:tbl>
      <w:tblPr>
        <w:tblLayout w:type="fixed"/>
        <w:tblInd w:w="1540" w:type="dxa"/>
        <w:tblCellMar>
          <w:top w:w="0" w:type="dxa"/>
          <w:left w:w="0" w:type="dxa"/>
          <w:bottom w:w="0" w:type="dxa"/>
          <w:right w:w="0" w:type="dxa"/>
        </w:tblCellMar>
      </w:tblPr>
      <w:tr>
        <w:trPr>
          <w:trHeight w:val="187"/>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Service revenue percentage</w:t>
            </w:r>
          </w:p>
        </w:tc>
        <w:tc>
          <w:tcPr>
            <w:tcW w:w="1440" w:type="dxa"/>
            <w:vAlign w:val="bottom"/>
            <w:tcBorders>
              <w:bottom w:val="single" w:sz="8" w:color="auto"/>
            </w:tcBorders>
          </w:tcPr>
          <w:p>
            <w:pPr>
              <w:spacing w:after="0"/>
              <w:rPr>
                <w:sz w:val="16"/>
                <w:szCs w:val="16"/>
                <w:color w:val="auto"/>
              </w:rPr>
            </w:pPr>
          </w:p>
        </w:tc>
      </w:tr>
      <w:tr>
        <w:trPr>
          <w:trHeight w:val="187"/>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Customer</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2020</w:t>
            </w:r>
          </w:p>
        </w:tc>
      </w:tr>
      <w:tr>
        <w:trPr>
          <w:trHeight w:val="207"/>
        </w:trPr>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3"/>
        </w:trPr>
        <w:tc>
          <w:tcPr>
            <w:tcW w:w="210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B</w:t>
            </w:r>
          </w:p>
        </w:tc>
        <w:tc>
          <w:tcPr>
            <w:tcW w:w="144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13 %</w:t>
            </w:r>
          </w:p>
        </w:tc>
      </w:tr>
    </w:tbl>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2021 and December 31, 2020, the following customers represented greater than 10% of the Company’s accounts receivable:</w:t>
      </w:r>
    </w:p>
    <w:p>
      <w:pPr>
        <w:spacing w:after="0" w:line="159" w:lineRule="exact"/>
        <w:rPr>
          <w:sz w:val="20"/>
          <w:szCs w:val="20"/>
          <w:color w:val="auto"/>
        </w:rPr>
      </w:pPr>
    </w:p>
    <w:tbl>
      <w:tblPr>
        <w:tblLayout w:type="fixed"/>
        <w:tblInd w:w="304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4"/>
                <w:szCs w:val="14"/>
                <w:b w:val="1"/>
                <w:bCs w:val="1"/>
                <w:color w:val="auto"/>
              </w:rPr>
              <w:t>Accounts receivable percentage</w:t>
            </w:r>
          </w:p>
        </w:tc>
      </w:tr>
      <w:tr>
        <w:trPr>
          <w:trHeight w:val="183"/>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2020</w:t>
            </w:r>
          </w:p>
        </w:tc>
      </w:tr>
      <w:tr>
        <w:trPr>
          <w:trHeight w:val="203"/>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3"/>
        </w:trPr>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B</w:t>
            </w:r>
          </w:p>
        </w:tc>
        <w:tc>
          <w:tcPr>
            <w:tcW w:w="15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16 %</w:t>
            </w:r>
          </w:p>
        </w:tc>
      </w:tr>
    </w:tbl>
    <w:p>
      <w:pPr>
        <w:spacing w:after="0" w:line="17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Company’s principal operations, including the majority of its employees and the fixed assets owned by its wholly owned subsidiaries, are located in the Philippines.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 Recent Accounting Pronouncements</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2019-12, Income Taxes (Topic 740): Simplifying the Accounting for Income Taxes (“ASU 2019-12”). ASU 2019-12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standard in the first quarter of 2021; the adoption did not have a material impact on its consolidated financial statements.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February 2016, the FASB issued ASU 2016-02, Leases (Topic 842), which supersedes FASB Accounting Standards Codification ("ASC"), Leases (Topic 840). The standard is intended to increase the transparency and comparability among organizations by recognizing lease assets and lease liabilities on the balance sheet and disclosing key information about leasing arrangements. In June 2020, the FASB postponed the effective date for ASC 842 for private companies. This ASU will be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effective for the Company beginning in fiscal year 2022, with early adoption permitted. The Company is currently evaluating the impact of adopting ASU 2016-02 on the Company’s consolidated financial statements.</w:t>
      </w:r>
    </w:p>
    <w:p>
      <w:pPr>
        <w:spacing w:after="0" w:line="54"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permitted. The Company is currently evaluating the impact of adopting ASU 2016-13 on the Company’s consolidated financial statements.</w:t>
      </w:r>
    </w:p>
    <w:p>
      <w:pPr>
        <w:spacing w:after="0" w:line="66"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standard aligns the requirements for capitalizing implementation costs incurred in a hosting arrangement that is a service with the requirements for capitalizing implementation costs incurred to develop or obtain internal-use software. The amendments in this ASU require (i) costs for implementation activities to be capitalized in the statement of financial position in the same line item that a prepayment for the fees of the associated hosting arrangement would be presented, (ii) expense related to the capitalized implementation costs be presented in the same line item in the statement of income as the fees associated with the hosting element (service) of the arrangement and (iii) payments for capitalized implementation costs be presented in the statement of cash flows in the same manner as payments made for fees associated with the hosting element. The guidance should be applied either retrospectively or prospectively to all implementation costs incurred after the date of adoption. The Company intends to adopt this standard, on a prospective basis, for the fiscal year ending December 31, 2021 and interim periods during the fiscal year ending December 31, 2022. The Company is currently evaluating the impact of adopting ASU 2018-15 on the Company's consolidated financial statements.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Revenue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Disaggregation of Revenue</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Our revenues are derived from contracts with customers related to business outsourcing services that we provide. The following table presents the breakdown of the Company’s revenues by service offering: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Customer Experience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76,255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212,817</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Content Security</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45,376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33,787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91,401</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 Operations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12,383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35,036</w:t>
            </w:r>
          </w:p>
        </w:tc>
      </w:tr>
      <w:tr>
        <w:trPr>
          <w:trHeight w:val="199"/>
        </w:trPr>
        <w:tc>
          <w:tcPr>
            <w:tcW w:w="5280" w:type="dxa"/>
            <w:vAlign w:val="bottom"/>
          </w:tcPr>
          <w:p>
            <w:pPr>
              <w:ind w:left="240"/>
              <w:spacing w:after="0" w:line="183" w:lineRule="exact"/>
              <w:rPr>
                <w:sz w:val="20"/>
                <w:szCs w:val="20"/>
                <w:color w:val="auto"/>
              </w:rPr>
            </w:pPr>
            <w:r>
              <w:rPr>
                <w:rFonts w:ascii="Arial" w:cs="Arial" w:eastAsia="Arial" w:hAnsi="Arial"/>
                <w:sz w:val="16"/>
                <w:szCs w:val="16"/>
                <w:color w:val="auto"/>
              </w:rPr>
              <w:t>Service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201,053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122,425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339,254</w:t>
            </w:r>
          </w:p>
        </w:tc>
      </w:tr>
      <w:tr>
        <w:trPr>
          <w:trHeight w:val="22"/>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majority of the Company’s revenues are derived from contracts with customers who are located in the United States. However, we deliver our services from geographies outside of the United States. The following table presents the breakdown of the Company’s revenues by geographical location, based on where the services are provided from:</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69,369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188,085</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65,866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42,761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175,553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126,835</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10,295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24,334</w:t>
            </w:r>
          </w:p>
        </w:tc>
      </w:tr>
      <w:tr>
        <w:trPr>
          <w:trHeight w:val="199"/>
        </w:trPr>
        <w:tc>
          <w:tcPr>
            <w:tcW w:w="5280" w:type="dxa"/>
            <w:vAlign w:val="bottom"/>
          </w:tcPr>
          <w:p>
            <w:pPr>
              <w:ind w:left="240"/>
              <w:spacing w:after="0" w:line="183" w:lineRule="exact"/>
              <w:rPr>
                <w:sz w:val="20"/>
                <w:szCs w:val="20"/>
                <w:color w:val="auto"/>
              </w:rPr>
            </w:pPr>
            <w:r>
              <w:rPr>
                <w:rFonts w:ascii="Arial" w:cs="Arial" w:eastAsia="Arial" w:hAnsi="Arial"/>
                <w:sz w:val="16"/>
                <w:szCs w:val="16"/>
                <w:color w:val="auto"/>
              </w:rPr>
              <w:t>Service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201,053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122,425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339,254</w:t>
            </w:r>
          </w:p>
        </w:tc>
      </w:tr>
      <w:tr>
        <w:trPr>
          <w:trHeight w:val="22"/>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Contract Balances</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Accounts receivable, net of allowance for doubtful accounts includes $67.6 million and $47.4 million of unbilled revenues as of September 30, 2021 and December 31, 2020,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4. Forward Contracts</w:t>
      </w:r>
    </w:p>
    <w:p>
      <w:pPr>
        <w:spacing w:after="0" w:line="124"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The Company transacts business in various foreign currencies and has international sales and expenses denominated in foreign currencies, subjecting the Company to foreign currency exchange rate risk. During 2021 and 2020, the Company entered into foreign currency exchange rate forward contracts, with a commercial bank as the counterparty,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 the consolidated statements of operations.</w:t>
      </w:r>
    </w:p>
    <w:p>
      <w:pPr>
        <w:spacing w:after="0" w:line="49"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For the three months ended September 30, 2021 and 2020, the Company settled forward contracts with total notional amounts of approximately $31.8 million and $26.0 million, respectively, and for the nine months ended September 30, 2021 and 2020, the Company settled forward contracts with total notional amounts of approximately $77.4 million and $62.0 million, respectively. For the three months ended September 30, 2021 and 2020, realized losses (gains) of approximately $0.7 million and $(1.9) million, respectively, resulting from the settlement of forward contracts were included within other expense. For the nine months ended September 30, 2021 and 2020, realized gains of approximately $0.6 million and $3.5 million, respectively, resulting from the settlement of forward contracts were included within other expense.</w:t>
      </w:r>
    </w:p>
    <w:p>
      <w:pPr>
        <w:spacing w:after="0" w:line="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As of September 30, 2021 and December 31, 2020, the Company had outstanding forward contracts with notional amounts of approximately $116.6 million and $109.2 million, respectively. The forward contract receivable (payable) resulting from changes in fair value was recorded under prepaid expenses (accounts payable and accrued liabilities). For the three months ended September 30, 2021 and 2020, the unrealized losses on the forward contracts of $4.1 million and $1.2 million, respectively, were included within other expense. For the nine months ended September 30, 2021 and 2020, the unrealized losses on the forward contracts of $5.8 million and $1.3 million, respectively, were included within other expense.</w:t>
      </w:r>
    </w:p>
    <w:p>
      <w:pPr>
        <w:spacing w:after="0" w:line="7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1"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67"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 September 30, 2021 and December 31, 2020 and indicates the fair value hierarchy of the valuation techniques utilized to determine such fair value: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300" w:type="dxa"/>
            <w:vAlign w:val="bottom"/>
          </w:tcPr>
          <w:p>
            <w:pPr>
              <w:spacing w:after="0"/>
              <w:rPr>
                <w:sz w:val="11"/>
                <w:szCs w:val="11"/>
                <w:color w:val="auto"/>
              </w:rPr>
            </w:pPr>
          </w:p>
        </w:tc>
        <w:tc>
          <w:tcPr>
            <w:tcW w:w="12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1"/>
                <w:szCs w:val="11"/>
                <w:color w:val="auto"/>
              </w:rPr>
            </w:pPr>
          </w:p>
        </w:tc>
        <w:tc>
          <w:tcPr>
            <w:tcW w:w="1120" w:type="dxa"/>
            <w:vAlign w:val="bottom"/>
          </w:tcPr>
          <w:p>
            <w:pPr>
              <w:jc w:val="center"/>
              <w:ind w:right="227"/>
              <w:spacing w:after="0" w:line="129" w:lineRule="exact"/>
              <w:rPr>
                <w:sz w:val="20"/>
                <w:szCs w:val="20"/>
                <w:color w:val="auto"/>
              </w:rPr>
            </w:pPr>
            <w:r>
              <w:rPr>
                <w:rFonts w:ascii="Arial" w:cs="Arial" w:eastAsia="Arial" w:hAnsi="Arial"/>
                <w:sz w:val="14"/>
                <w:szCs w:val="14"/>
                <w:b w:val="1"/>
                <w:bCs w:val="1"/>
                <w:color w:val="auto"/>
                <w:w w:val="88"/>
              </w:rPr>
              <w:t>Level 3</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inputs</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7"/>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 payable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0"/>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00" w:type="dxa"/>
            <w:vAlign w:val="bottom"/>
          </w:tcPr>
          <w:p>
            <w:pPr>
              <w:spacing w:after="0"/>
              <w:rPr>
                <w:sz w:val="11"/>
                <w:szCs w:val="11"/>
                <w:color w:val="auto"/>
              </w:rPr>
            </w:pPr>
          </w:p>
        </w:tc>
        <w:tc>
          <w:tcPr>
            <w:tcW w:w="12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11"/>
                <w:szCs w:val="11"/>
                <w:color w:val="auto"/>
              </w:rPr>
            </w:pPr>
          </w:p>
        </w:tc>
        <w:tc>
          <w:tcPr>
            <w:tcW w:w="1120" w:type="dxa"/>
            <w:vAlign w:val="bottom"/>
          </w:tcPr>
          <w:p>
            <w:pPr>
              <w:jc w:val="center"/>
              <w:ind w:right="227"/>
              <w:spacing w:after="0" w:line="129" w:lineRule="exact"/>
              <w:rPr>
                <w:sz w:val="20"/>
                <w:szCs w:val="20"/>
                <w:color w:val="auto"/>
              </w:rPr>
            </w:pPr>
            <w:r>
              <w:rPr>
                <w:rFonts w:ascii="Arial" w:cs="Arial" w:eastAsia="Arial" w:hAnsi="Arial"/>
                <w:sz w:val="14"/>
                <w:szCs w:val="14"/>
                <w:b w:val="1"/>
                <w:bCs w:val="1"/>
                <w:color w:val="auto"/>
                <w:w w:val="88"/>
              </w:rPr>
              <w:t>Level 3</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inputs</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7"/>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7"/>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 receivable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627"/>
        <w:spacing w:after="0" w:line="272" w:lineRule="auto"/>
        <w:rPr>
          <w:sz w:val="20"/>
          <w:szCs w:val="20"/>
          <w:color w:val="auto"/>
        </w:rPr>
      </w:pPr>
      <w:r>
        <w:rPr>
          <w:rFonts w:ascii="Arial" w:cs="Arial" w:eastAsia="Arial" w:hAnsi="Arial"/>
          <w:sz w:val="17"/>
          <w:szCs w:val="17"/>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5. Property and Equipment,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property and equipment, net as of September 30, 2021 and December 31, 2020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31,654</w:t>
            </w:r>
          </w:p>
        </w:tc>
        <w:tc>
          <w:tcPr>
            <w:tcW w:w="0" w:type="dxa"/>
            <w:vAlign w:val="bottom"/>
          </w:tcPr>
          <w:p>
            <w:pPr>
              <w:spacing w:after="0"/>
              <w:rPr>
                <w:sz w:val="1"/>
                <w:szCs w:val="1"/>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Technology and computers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47,572</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c>
          <w:tcPr>
            <w:tcW w:w="0" w:type="dxa"/>
            <w:vAlign w:val="bottom"/>
          </w:tcPr>
          <w:p>
            <w:pPr>
              <w:spacing w:after="0"/>
              <w:rPr>
                <w:sz w:val="1"/>
                <w:szCs w:val="1"/>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Construction in process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property and equipment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0" w:type="dxa"/>
            <w:vAlign w:val="bottom"/>
          </w:tcPr>
          <w:p>
            <w:pPr>
              <w:spacing w:after="0"/>
              <w:rPr>
                <w:sz w:val="1"/>
                <w:szCs w:val="1"/>
                <w:color w:val="auto"/>
              </w:rPr>
            </w:pPr>
          </w:p>
        </w:tc>
      </w:tr>
      <w:tr>
        <w:trPr>
          <w:trHeight w:val="199"/>
        </w:trPr>
        <w:tc>
          <w:tcPr>
            <w:tcW w:w="8300" w:type="dxa"/>
            <w:vAlign w:val="bottom"/>
          </w:tcPr>
          <w:p>
            <w:pPr>
              <w:ind w:left="340"/>
              <w:spacing w:after="0" w:line="183" w:lineRule="exact"/>
              <w:rPr>
                <w:sz w:val="20"/>
                <w:szCs w:val="20"/>
                <w:color w:val="auto"/>
              </w:rPr>
            </w:pPr>
            <w:r>
              <w:rPr>
                <w:rFonts w:ascii="Arial" w:cs="Arial" w:eastAsia="Arial" w:hAnsi="Arial"/>
                <w:sz w:val="16"/>
                <w:szCs w:val="16"/>
                <w:color w:val="auto"/>
              </w:rPr>
              <w:t>Property and equipment, gross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127,030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94,618</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(37,661)</w:t>
            </w:r>
          </w:p>
        </w:tc>
        <w:tc>
          <w:tcPr>
            <w:tcW w:w="0" w:type="dxa"/>
            <w:vAlign w:val="bottom"/>
          </w:tcPr>
          <w:p>
            <w:pPr>
              <w:spacing w:after="0"/>
              <w:rPr>
                <w:sz w:val="1"/>
                <w:szCs w:val="1"/>
                <w:color w:val="auto"/>
              </w:rPr>
            </w:pPr>
          </w:p>
        </w:tc>
      </w:tr>
      <w:tr>
        <w:trPr>
          <w:trHeight w:val="199"/>
        </w:trPr>
        <w:tc>
          <w:tcPr>
            <w:tcW w:w="8300" w:type="dxa"/>
            <w:vAlign w:val="bottom"/>
          </w:tcPr>
          <w:p>
            <w:pPr>
              <w:ind w:left="540"/>
              <w:spacing w:after="0" w:line="183" w:lineRule="exact"/>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56,957</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principal operations are in the Philippines where the majority of property and equipment resides under its wholly owned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Company’s total property and equipment by geographic location as of September 30, 2021 and December 31,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37,823</w:t>
            </w:r>
          </w:p>
        </w:tc>
        <w:tc>
          <w:tcPr>
            <w:tcW w:w="0" w:type="dxa"/>
            <w:vAlign w:val="bottom"/>
          </w:tcPr>
          <w:p>
            <w:pPr>
              <w:spacing w:after="0"/>
              <w:rPr>
                <w:sz w:val="1"/>
                <w:szCs w:val="1"/>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8,983</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10,151</w:t>
            </w:r>
          </w:p>
        </w:tc>
        <w:tc>
          <w:tcPr>
            <w:tcW w:w="0" w:type="dxa"/>
            <w:vAlign w:val="bottom"/>
          </w:tcPr>
          <w:p>
            <w:pPr>
              <w:spacing w:after="0"/>
              <w:rPr>
                <w:sz w:val="1"/>
                <w:szCs w:val="1"/>
                <w:color w:val="auto"/>
              </w:rPr>
            </w:pPr>
          </w:p>
        </w:tc>
      </w:tr>
      <w:tr>
        <w:trPr>
          <w:trHeight w:val="199"/>
        </w:trPr>
        <w:tc>
          <w:tcPr>
            <w:tcW w:w="8300" w:type="dxa"/>
            <w:vAlign w:val="bottom"/>
          </w:tcPr>
          <w:p>
            <w:pPr>
              <w:ind w:left="440"/>
              <w:spacing w:after="0" w:line="183" w:lineRule="exact"/>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56,957</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6. Goodwill and Intangibles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carrying amount of goodwill as of September 30, 2021 and December 31, 2020 was $195.7 million.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intangible assets as of September 30, 2021 and December 31, 2020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September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jc w:val="center"/>
              <w:ind w:left="206"/>
              <w:spacing w:after="0" w:line="131" w:lineRule="exact"/>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Intangibles,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1"/>
                <w:szCs w:val="11"/>
                <w:color w:val="auto"/>
              </w:rPr>
            </w:pPr>
          </w:p>
        </w:tc>
        <w:tc>
          <w:tcPr>
            <w:tcW w:w="1060" w:type="dxa"/>
            <w:vAlign w:val="bottom"/>
          </w:tcPr>
          <w:p>
            <w:pPr>
              <w:jc w:val="center"/>
              <w:ind w:right="125"/>
              <w:spacing w:after="0" w:line="131" w:lineRule="exact"/>
              <w:rPr>
                <w:sz w:val="20"/>
                <w:szCs w:val="20"/>
                <w:color w:val="auto"/>
              </w:rPr>
            </w:pPr>
            <w:r>
              <w:rPr>
                <w:rFonts w:ascii="Arial" w:cs="Arial" w:eastAsia="Arial" w:hAnsi="Arial"/>
                <w:sz w:val="14"/>
                <w:szCs w:val="14"/>
                <w:b w:val="1"/>
                <w:bCs w:val="1"/>
                <w:color w:val="auto"/>
                <w:w w:val="89"/>
              </w:rPr>
              <w:t>Intangibles,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Intangibles,</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1"/>
                <w:szCs w:val="11"/>
                <w:color w:val="auto"/>
              </w:rPr>
            </w:pPr>
          </w:p>
        </w:tc>
        <w:tc>
          <w:tcPr>
            <w:tcW w:w="1060" w:type="dxa"/>
            <w:vAlign w:val="bottom"/>
          </w:tcPr>
          <w:p>
            <w:pPr>
              <w:jc w:val="right"/>
              <w:ind w:right="205"/>
              <w:spacing w:after="0" w:line="131" w:lineRule="exact"/>
              <w:rPr>
                <w:sz w:val="20"/>
                <w:szCs w:val="20"/>
                <w:color w:val="auto"/>
              </w:rPr>
            </w:pPr>
            <w:r>
              <w:rPr>
                <w:rFonts w:ascii="Arial" w:cs="Arial" w:eastAsia="Arial" w:hAnsi="Arial"/>
                <w:sz w:val="14"/>
                <w:szCs w:val="14"/>
                <w:b w:val="1"/>
                <w:bCs w:val="1"/>
                <w:color w:val="auto"/>
                <w:w w:val="97"/>
              </w:rPr>
              <w:t>Intangibles,</w:t>
            </w:r>
          </w:p>
        </w:tc>
        <w:tc>
          <w:tcPr>
            <w:tcW w:w="0" w:type="dxa"/>
            <w:vAlign w:val="bottom"/>
          </w:tcPr>
          <w:p>
            <w:pPr>
              <w:spacing w:after="0"/>
              <w:rPr>
                <w:sz w:val="1"/>
                <w:szCs w:val="1"/>
                <w:color w:val="auto"/>
              </w:rPr>
            </w:pPr>
          </w:p>
        </w:tc>
      </w:tr>
      <w:tr>
        <w:trPr>
          <w:trHeight w:val="183"/>
        </w:trPr>
        <w:tc>
          <w:tcPr>
            <w:tcW w:w="2020" w:type="dxa"/>
            <w:vAlign w:val="bottom"/>
            <w:vMerge w:val="continue"/>
          </w:tcPr>
          <w:p>
            <w:pPr>
              <w:spacing w:after="0"/>
              <w:rPr>
                <w:sz w:val="15"/>
                <w:szCs w:val="15"/>
                <w:color w:val="auto"/>
              </w:rPr>
            </w:pPr>
          </w:p>
        </w:tc>
        <w:tc>
          <w:tcPr>
            <w:tcW w:w="1240" w:type="dxa"/>
            <w:vAlign w:val="bottom"/>
          </w:tcPr>
          <w:p>
            <w:pPr>
              <w:jc w:val="center"/>
              <w:ind w:left="206"/>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Amortization</w:t>
            </w:r>
          </w:p>
        </w:tc>
        <w:tc>
          <w:tcPr>
            <w:tcW w:w="200" w:type="dxa"/>
            <w:vAlign w:val="bottom"/>
          </w:tcPr>
          <w:p>
            <w:pPr>
              <w:spacing w:after="0"/>
              <w:rPr>
                <w:sz w:val="15"/>
                <w:szCs w:val="15"/>
                <w:color w:val="auto"/>
              </w:rPr>
            </w:pPr>
          </w:p>
        </w:tc>
        <w:tc>
          <w:tcPr>
            <w:tcW w:w="1060" w:type="dxa"/>
            <w:vAlign w:val="bottom"/>
          </w:tcPr>
          <w:p>
            <w:pPr>
              <w:jc w:val="right"/>
              <w:ind w:right="44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3"/>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240" w:type="dxa"/>
            <w:vAlign w:val="bottom"/>
            <w:tcBorders>
              <w:top w:val="single" w:sz="8" w:color="CCEEFF"/>
            </w:tcBorders>
            <w:shd w:val="clear" w:color="auto" w:fill="CCEEFF"/>
          </w:tcPr>
          <w:p>
            <w:pPr>
              <w:jc w:val="center"/>
              <w:ind w:left="206"/>
              <w:spacing w:after="0"/>
              <w:rPr>
                <w:sz w:val="20"/>
                <w:szCs w:val="20"/>
                <w:color w:val="auto"/>
              </w:rPr>
            </w:pPr>
            <w:r>
              <w:rPr>
                <w:rFonts w:ascii="Arial" w:cs="Arial" w:eastAsia="Arial" w:hAnsi="Arial"/>
                <w:sz w:val="16"/>
                <w:szCs w:val="16"/>
                <w:color w:val="auto"/>
                <w:w w:val="89"/>
              </w:rPr>
              <w:t>15</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240,800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240,800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204,679</w:t>
            </w:r>
          </w:p>
        </w:tc>
        <w:tc>
          <w:tcPr>
            <w:tcW w:w="0" w:type="dxa"/>
            <w:vAlign w:val="bottom"/>
          </w:tcPr>
          <w:p>
            <w:pPr>
              <w:spacing w:after="0"/>
              <w:rPr>
                <w:sz w:val="1"/>
                <w:szCs w:val="1"/>
                <w:color w:val="auto"/>
              </w:rPr>
            </w:pPr>
          </w:p>
        </w:tc>
      </w:tr>
      <w:tr>
        <w:trPr>
          <w:trHeight w:val="206"/>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name</w:t>
            </w:r>
          </w:p>
        </w:tc>
        <w:tc>
          <w:tcPr>
            <w:tcW w:w="1240" w:type="dxa"/>
            <w:vAlign w:val="bottom"/>
            <w:tcBorders>
              <w:bottom w:val="single" w:sz="8" w:color="CCEEFF"/>
            </w:tcBorders>
          </w:tcPr>
          <w:p>
            <w:pPr>
              <w:jc w:val="center"/>
              <w:ind w:left="206"/>
              <w:spacing w:after="0"/>
              <w:rPr>
                <w:sz w:val="20"/>
                <w:szCs w:val="20"/>
                <w:color w:val="auto"/>
              </w:rPr>
            </w:pPr>
            <w:r>
              <w:rPr>
                <w:rFonts w:ascii="Arial" w:cs="Arial" w:eastAsia="Arial" w:hAnsi="Arial"/>
                <w:sz w:val="16"/>
                <w:szCs w:val="16"/>
                <w:color w:val="auto"/>
                <w:w w:val="89"/>
              </w:rPr>
              <w:t>15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41,900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41,900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35,616</w:t>
            </w:r>
          </w:p>
        </w:tc>
        <w:tc>
          <w:tcPr>
            <w:tcW w:w="0" w:type="dxa"/>
            <w:vAlign w:val="bottom"/>
          </w:tcPr>
          <w:p>
            <w:pPr>
              <w:spacing w:after="0"/>
              <w:rPr>
                <w:sz w:val="1"/>
                <w:szCs w:val="1"/>
                <w:color w:val="auto"/>
              </w:rPr>
            </w:pPr>
          </w:p>
        </w:tc>
      </w:tr>
      <w:tr>
        <w:trPr>
          <w:trHeight w:val="227"/>
        </w:trPr>
        <w:tc>
          <w:tcPr>
            <w:tcW w:w="2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282,700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282,700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240,295</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00" w:hanging="182"/>
        <w:spacing w:after="0"/>
        <w:tabs>
          <w:tab w:leader="none" w:pos="5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124"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7"/>
          <w:szCs w:val="17"/>
          <w:color w:val="auto"/>
        </w:rPr>
        <w:t>The balances of current and non-current portions of debt consist of the following as of September 30,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32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1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202,650</w:t>
            </w:r>
          </w:p>
        </w:tc>
      </w:tr>
      <w:tr>
        <w:trPr>
          <w:trHeight w:val="206"/>
        </w:trPr>
        <w:tc>
          <w:tcPr>
            <w:tcW w:w="6780" w:type="dxa"/>
            <w:vAlign w:val="bottom"/>
          </w:tcPr>
          <w:p>
            <w:pPr>
              <w:ind w:left="20"/>
              <w:spacing w:after="0"/>
              <w:rPr>
                <w:sz w:val="20"/>
                <w:szCs w:val="20"/>
                <w:color w:val="auto"/>
              </w:rPr>
            </w:pPr>
            <w:r>
              <w:rPr>
                <w:rFonts w:ascii="Arial" w:cs="Arial" w:eastAsia="Arial" w:hAnsi="Arial"/>
                <w:sz w:val="16"/>
                <w:szCs w:val="16"/>
                <w:color w:val="auto"/>
              </w:rPr>
              <w:t>Revolver</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39,878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39,878</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Debt financing fees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199"/>
        </w:trPr>
        <w:tc>
          <w:tcPr>
            <w:tcW w:w="6780" w:type="dxa"/>
            <w:vAlign w:val="bottom"/>
          </w:tcPr>
          <w:p>
            <w:pPr>
              <w:ind w:left="240"/>
              <w:spacing w:after="0" w:line="183" w:lineRule="exact"/>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49,822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191,039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240,861</w:t>
            </w:r>
          </w:p>
        </w:tc>
      </w:tr>
      <w:tr>
        <w:trPr>
          <w:trHeight w:val="22"/>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2019 Credit Agreement</w:t>
      </w:r>
    </w:p>
    <w:p>
      <w:pPr>
        <w:spacing w:after="0" w:line="118"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Revolving Credit Facility.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 year, with the remaining principal due in a lump sum at the maturity date of September 25, 2024. The interest rate in effect with respect to the Term Loan Facility as of September 30, 2021 was 2.334% per annum.</w:t>
      </w:r>
    </w:p>
    <w:p>
      <w:pPr>
        <w:spacing w:after="0" w:line="75"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expires on September 25, 2024, and requires a commitment fee of 0.4% on undrawn commitments paid quarterly in arrears. As of September 30, 2021, the interest rate in effect was 2.334% on outstanding borrowings under the Revolving Credit Facility. As of September 30, 2021, we had $50.1 million of borrowing availability under the Revolving Credit Facility.</w:t>
      </w:r>
    </w:p>
    <w:p>
      <w:pPr>
        <w:spacing w:after="0" w:line="75"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The 2019 Credit Agreement contains certain restrictive financial covenants and also limits additional borrowings, capital expenditures, and distributions. The Company was in compliance with these covenants as of September 30, 2021. Substantially all assets of the Company's direct wholly owned subsidiary TU Midco, Inc. and its material domestic subsidiaries are pledged as collateral under this agreement, subject to certain customary exceptions.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8. Commitments and Contingencies</w:t>
      </w:r>
    </w:p>
    <w:p>
      <w:pPr>
        <w:spacing w:after="0" w:line="124"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9. Employee Compensation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Phantom Stock Plan</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On June 19, 2015, TaskUs Holdings’ board of directors officially adopted a company-wide phantom stock plan and related phantom share agreements. There were 6,514,360 outstanding phantom shares as of December 31, 2020. There were 1,399,470 phantom shares forfeited during the nine months ended September 30, 2021. Because the change in control became probable upon the IPO, the Company recognized expense in the amount of the cash settlement totaling $127.5 million recorded in selling, general, and administrative expense on the condensed consolidated statements of operations for the nine months ended September 30, 2021. As of September 30, 2021 there were no phantom shares outstanding.</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2019 Stock Incentive Plan</w:t>
      </w:r>
    </w:p>
    <w:p>
      <w:pPr>
        <w:spacing w:after="0" w:line="11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On April 16, 2019, the Company established an equity incentive plan pursuant to which the Company has granted option awards to selected executives and other key employees (the “2019 Plan”). The stock options contain service, market and performance conditions. Stock options under this plan contingently vest over a period of two years in the event of a change in control and over a period of three years 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10 years. Following the IPO and establishment of the Company's 2021 Omnibus Incentive Plan (the “2021 Plan”) as further discussed below, it is not expected that any additional awards will be issued under the 2019 Plan.</w:t>
      </w:r>
    </w:p>
    <w:p>
      <w:pPr>
        <w:spacing w:after="0" w:line="8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At the date of the IPO, the Company concluded that the public offering represented a qualifying liquidity event that would cause the stock option’s performance condition to be probable of occurring. As such, the Company has begun to recognize compensation expense in relation to the stock options issued under the 2019 Plan.</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2021 Omnibus Incentive Plan</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connection with the IPO, the Company adopted the 2021 Plan, which provides for the issuance of non-qualified stock options, incentive stock options, stock appreciation rights (“SARs”), restricted shares of Class A common stock, restricted stock units (“RSUs”), or other equity-based or cash-based awards. The Company initially granted 6,614,122 awards to its founders and reserved an additional 12,160,929 shares of Class A common stock for issuance under the 2021 Plan, subject to automatic annual evergreen increases.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Stock Options</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nine months ended September 30, 2021, the Company granted 2,265,146 stock options to its founders and certain officers and employees with a weighted-average grant date fair value of $9.34. The stock options are subject to service-based vesting conditions and generally vest quarterly or annually over four years and expire 10 years from the date of the grant. The grant date fair value of the stock options was estimated using the Black-Scholes option pricing method with the following assumptions: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 (%)</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06"/>
        </w:trPr>
        <w:tc>
          <w:tcPr>
            <w:tcW w:w="616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5080" w:type="dxa"/>
            <w:vAlign w:val="bottom"/>
          </w:tcPr>
          <w:p>
            <w:pPr>
              <w:jc w:val="right"/>
              <w:spacing w:after="0"/>
              <w:rPr>
                <w:sz w:val="20"/>
                <w:szCs w:val="20"/>
                <w:color w:val="auto"/>
              </w:rPr>
            </w:pPr>
            <w:r>
              <w:rPr>
                <w:rFonts w:ascii="Arial" w:cs="Arial" w:eastAsia="Arial" w:hAnsi="Arial"/>
                <w:sz w:val="16"/>
                <w:szCs w:val="16"/>
                <w:color w:val="auto"/>
              </w:rPr>
              <w:t>32-35%</w:t>
            </w:r>
          </w:p>
        </w:tc>
      </w:tr>
      <w:tr>
        <w:trPr>
          <w:trHeight w:val="212"/>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 (%)</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0.8-1.3%</w:t>
            </w:r>
          </w:p>
        </w:tc>
      </w:tr>
      <w:tr>
        <w:trPr>
          <w:trHeight w:val="203"/>
        </w:trPr>
        <w:tc>
          <w:tcPr>
            <w:tcW w:w="6160" w:type="dxa"/>
            <w:vAlign w:val="bottom"/>
          </w:tcPr>
          <w:p>
            <w:pPr>
              <w:ind w:left="20"/>
              <w:spacing w:after="0"/>
              <w:rPr>
                <w:sz w:val="20"/>
                <w:szCs w:val="20"/>
                <w:color w:val="auto"/>
              </w:rPr>
            </w:pPr>
            <w:r>
              <w:rPr>
                <w:rFonts w:ascii="Arial" w:cs="Arial" w:eastAsia="Arial" w:hAnsi="Arial"/>
                <w:sz w:val="16"/>
                <w:szCs w:val="16"/>
                <w:color w:val="auto"/>
              </w:rPr>
              <w:t>Expected term (years)</w:t>
            </w:r>
          </w:p>
        </w:tc>
        <w:tc>
          <w:tcPr>
            <w:tcW w:w="5080" w:type="dxa"/>
            <w:vAlign w:val="bottom"/>
          </w:tcPr>
          <w:p>
            <w:pPr>
              <w:jc w:val="right"/>
              <w:spacing w:after="0"/>
              <w:rPr>
                <w:sz w:val="20"/>
                <w:szCs w:val="20"/>
                <w:color w:val="auto"/>
              </w:rPr>
            </w:pPr>
            <w:r>
              <w:rPr>
                <w:rFonts w:ascii="Arial" w:cs="Arial" w:eastAsia="Arial" w:hAnsi="Arial"/>
                <w:sz w:val="16"/>
                <w:szCs w:val="16"/>
                <w:color w:val="auto"/>
              </w:rPr>
              <w:t>5.1-7.0</w:t>
            </w:r>
          </w:p>
        </w:tc>
      </w:tr>
    </w:tbl>
    <w:p>
      <w:pPr>
        <w:spacing w:after="0" w:line="19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As of September 30, 2021, there were 9,744,028 stock options outstanding with a weighted-average exercise price of $10.06 per share. As of September 30, 2021, there was $22.3 million of unrecognized compensation expense related to the Company’s unvested stock options that is expected to be recognized over a weighted-average period of 2.4 years.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RSUs</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nine months ended September 30, 2021, the Company granted 4,277,543 RSUs to its founders and certain officers and employees with a weighted-average grant date fair value of $27.23. The RSUs are typically subject to service-based vesting conditions and generally vest quarterly or annually over four years. As of September 30, 2021, there was $98.9 million of unrecognized compensation expense related to the Company’s unvested RSUs that is expected to be recognized over a weighted-average period of 2.4 years.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PSUs</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During the nine months ended September 30, 2021, the Company granted 3,373,417 PSUs to its founders a certain officer with a weighted-average grant date fair value of $4.02. The majority of the PSUs vest contingently in annual installments over four years subject to continued service and the achievement of certain enterprise value compound annual growth rate ("CAGR") targets. The remaining PSUs vest contingently in four years subject to continued service and the achievement of certain market capitalization CAGR targets. The grant date fair value of the PSUs were estimated using the Monte Carlo simulation method with the following assumptions: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 (%)</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06"/>
        </w:trPr>
        <w:tc>
          <w:tcPr>
            <w:tcW w:w="614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510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 (%)</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0.1-0.6 %</w:t>
            </w:r>
          </w:p>
        </w:tc>
      </w:tr>
    </w:tbl>
    <w:p>
      <w:pPr>
        <w:spacing w:after="0" w:line="171"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2021, there was $11.7 million of unrecognized compensation expense related to the Company’s unvested PSUs that is expected to be recognized over a weighted-average period of 2.7 years.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Stock-Based Compensation Expense</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recognize stock-based compensation expense for all awards using a graded vesting method. The following table summarizes the components of stock-based compensation expense recognized for the periods presented: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18,792</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r>
      <w:tr>
        <w:trPr>
          <w:trHeight w:val="22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19,243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Income Taxes</w:t>
      </w:r>
    </w:p>
    <w:p>
      <w:pPr>
        <w:spacing w:after="0" w:line="124"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49"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Company recorded provision for income taxes of $1.7 million and $2.6 million in the three months ended September 30, 2021 and 2020, respectively. The effective tax rate was 12.5% and 18.3% for the three months ended September 30, 2021 and 2020,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The Company recorded provision for (benefit from) income taxes of $(1.8) million and $4.5 million in the nine months ended September 30, 2021 and 2020, respectively. The effective tax rate was 2.3% and 17.8% for the nine months ended September 30, 2021 and 2020. The difference between the effective tax rates and the 21% federal statutory rate in the nine months ended September 30, 2021 was primarily due to global intangible low-taxed income (“GILTI”) inclusion, tax benefits of income tax holidays in foreign jurisdiction, nondeductible transaction costs and nondeductible compensation of officers. The difference between the effective tax rates and the 21% federal statutory rate in the nine months ended September 30, 2020 was primarily due to GILTI inclusion, foreign-derived intangible income ("FDII") deduction and tax benefits of income tax holidays in foreign jurisdiction.</w:t>
      </w:r>
    </w:p>
    <w:p>
      <w:pPr>
        <w:spacing w:after="0" w:line="62"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The Company is subject to income tax in the United States federal, state and various foreign jurisdictions. Federal income tax returns of the Company are subject to IRS examination for the 2017 through 2019 tax years. State income tax returns are subject to examination for the 2017 through 2019 tax years.</w:t>
      </w:r>
    </w:p>
    <w:p>
      <w:pPr>
        <w:spacing w:after="0" w:line="31"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Shareholders’ Equity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Dividend Distribution</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On April 9, 2021, prior to the IPO, the Company's board of directors declared a cash dividend in the aggregate amount of $50.0 million to holders of our common stock. The cash dividend was paid on April 16, 2021.</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Amendment and Restatement of Certificate of Incorporation</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On June 10, 2021, the Company amended and restated its certificate of incorporation to effect a ten-for-one forward stock split of its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outstanding shares of common stock were reclassified into an equal number of shares of Class B common stock (the “Class B Reclassification”) and the selling shareholders participated equally in the Class B Reclassification.</w:t>
      </w:r>
    </w:p>
    <w:p>
      <w:pPr>
        <w:spacing w:after="0" w:line="75"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transfer and conversion rights. Each share of Class A common stock is entitled to one vote per share. Each share of Class B common stock is entitled to ten votes per share and is convertible into one share of Class A common stock at any time or automatically upon certain conditions but no later than June 10, 2028 (seven years following the filing and effectiveness of the amended and restated certificate of incorporation).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Initial Public Offering</w:t>
      </w:r>
    </w:p>
    <w:p>
      <w:pPr>
        <w:spacing w:after="0" w:line="118"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On June 15, 2021, the Company closed its IPO of 5,553,154 shares of Class A common stock (the “primary” offering) and selling stockholders sold 9,626,846 shares (the “secondary” offering), including shares sold by the selling stockholders pursuant to the underwriters’ full exercise of their option to purchase additional shares, at a public offering price of $23 per share. The Company received net proceeds of $120.7 million after deducting underwriting discounts and commissions, but before deducting offering expenses. The Company used the proceeds from the primary offering, together with cash on hand, to satisfy payments of approximately $127.5 million in respect of vested phantom shares in the third quarter of 2021.</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(Loss) Per Share</w:t>
      </w:r>
    </w:p>
    <w:p>
      <w:pPr>
        <w:spacing w:after="0" w:line="12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Following the effectiveness of the amended and restated certificate of incorporation, the Class B Reclassification and the IPO, 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11, “Shareholders’ Equity” for additional information.</w:t>
      </w:r>
    </w:p>
    <w:p>
      <w:pPr>
        <w:spacing w:after="0" w:line="75"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The computation of basic net income (loss) per share (“EPS”) is based on the weighted-average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computation of basic and diluted EPS for the three and nine months ended September 30, 2021 and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thousands,except share and per share data)</w:t>
            </w: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19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Net income (loss) available to common shareholders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11,636</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11,456</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(77,800)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20,979</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 – basic</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97,290,174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93,994,896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91,737,020</w:t>
            </w:r>
          </w:p>
        </w:tc>
      </w:tr>
      <w:tr>
        <w:trPr>
          <w:trHeight w:val="20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Effect of dilutive securities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12,135,837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280" w:type="dxa"/>
            <w:vAlign w:val="bottom"/>
          </w:tcPr>
          <w:p>
            <w:pPr>
              <w:ind w:left="440"/>
              <w:spacing w:after="0"/>
              <w:rPr>
                <w:sz w:val="20"/>
                <w:szCs w:val="20"/>
                <w:color w:val="auto"/>
              </w:rPr>
            </w:pPr>
            <w:r>
              <w:rPr>
                <w:rFonts w:ascii="Arial" w:cs="Arial" w:eastAsia="Arial" w:hAnsi="Arial"/>
                <w:sz w:val="16"/>
                <w:szCs w:val="16"/>
                <w:color w:val="auto"/>
              </w:rPr>
              <w:t>Weighted-average common shares outstanding – diluted</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109,426,011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93,994,896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91,737,020</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5"/>
        </w:trPr>
        <w:tc>
          <w:tcPr>
            <w:tcW w:w="52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Net income (loss) per common share:</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6"/>
        </w:trPr>
        <w:tc>
          <w:tcPr>
            <w:tcW w:w="528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12"/>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r>
    </w:tbl>
    <w:p>
      <w:pPr>
        <w:spacing w:after="0" w:line="184"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Since the Company was in a net loss position for the nine months ended September 30, 2021, diluted EPS is equal to basic EPS for that period as the inclusion of potential common stock equivalents would have been anti-dilutive. The Company excluded 12,309 and 23,607 potential common stock equivalents from the computation of diluted EPS for the three and nine months ended September 30, 2021, respectively, because the effect would have been anti-dilutive. In addition, the Company excluded 5,578,525 potential common stock equivalents from the computation of diluted EPS for the nine months ended September 30, 2021 since the Company was in a net loss position; however, these awards would have been dilutive if the Company was in a net income position.</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Related Party</w:t>
      </w:r>
    </w:p>
    <w:p>
      <w:pPr>
        <w:spacing w:after="0" w:line="12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On October 1, 2018, Bidco acquired 100% of the outstanding shares of TaskUs Holdings at a purchase price of $429.4 million (the “Transaction”). As a part of the Transaction, the Company entered into a Stock Purchase Agreement, which provides that the sellers of TaskUs Holdings are entitled to receive cash payments for certain tax benefits, if any, realized as a result of the Blackstone Acquisition that are received by the Company for a specified period after the closing date. The Company recognized expense of $3.6 million for the expected payment to the sellers during the nine months ended September 30, 2020. The Company made payment to the sellers during the nine months ended September 30, 2021.</w:t>
      </w:r>
    </w:p>
    <w:p>
      <w:pPr>
        <w:spacing w:after="0" w:line="75"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In connection with the closing of the Blackstone Acquisition, TaskUs and TaskUs Holdings entered into a support and services agreement (the “Support and Services Agreement”) with Blackstone Capital Partners VII L.P. and Blackstone Capital Partners Asia L.P. and Blackstone Management Partners L.L.C. (“BMP”), an affiliate of Blackstone. Under the Support and Services Agreement, we reimburse BMP and its affiliates for expenses related to support services customarily provided by Blackstone’s portfolio operations group to Blackstone’s portfolio companies, as well as healthcare-related services provided by Blackstone’s Equity Healthcare group and Blackstone’s group purchasing program. The Support and Services Agreement also requires us to, among other things, make certain information available to Blackstone and to indemnify BMP and its affiliates against certain claims. During the three and nine months ended September 30, 2020, the Company made payments of $0.2 million and $0.2 million, respectively, pursuant to the Support and Services Agreement.</w:t>
      </w:r>
    </w:p>
    <w:p>
      <w:pPr>
        <w:spacing w:after="0" w:line="66"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From time to time, the Company does business with a number of other companies affiliated with Blackstone, which cannot be presumed to be carried out at an arm’s-length basis. During the periods presented, Blackstone had an interest in Alight, Inc. (“Alight”), Custom Ink and Mphasis Limited (“Mphasis”), entities that supply TaskUs with certain consulting services and promotional items. During the three and nine months ended September 30, 2021, the Company made payments of $0.4 million and $0.9 million, respectively, to Alight. During the nine months ended September 30, 2021, the Company made payments of $0.2 million to Custom Ink. During the nine months ended September 30, 2020, the Company made payments of $0.2 million to Mphasis.</w:t>
      </w:r>
    </w:p>
    <w:p>
      <w:pPr>
        <w:spacing w:after="0" w:line="61"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periods presented, Blackstone had an interest in Vivint Smart Home, Inc. (“Vivint”), North American Bancard, and Custom Ink, entities that are TaskUs customers. During the three months ended September 30, 2021, the Company received payments of $0.6 million, $0.7 million, and $0.8 million from Vivint, North American Bancard and Custom Ink, respectively. During the nine months ended September 30, 2021, the Company received payments of $1.5 million, $1.3 million, and $1.5 million from Vivint, North American Bancard and Custom Ink, respectively.</w:t>
      </w:r>
    </w:p>
    <w:p>
      <w:pPr>
        <w:spacing w:after="0" w:line="71"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Similarly, from time to time, the Company does business with entities affiliated with members of our Board of Directors, which cannot be presumed to be carried out at an arm’s length basis. A management consulting firm affiliated with a member of our Board of Directors provides consulting services to the Company. During the three months ended September 30, 2021 and 2020, the Company incurred fees related to consulting services provided by this consulting firm of $0.1 million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$0.1 million, respectively. During the nine months ended September 30, 2021 and 2020, the Company incurred fees related to consulting services provided by this consulting of $0.2 million and $0.2 million, respectively.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Underwriting of IPO</w:t>
      </w:r>
    </w:p>
    <w:p>
      <w:pPr>
        <w:spacing w:after="0" w:line="118" w:lineRule="exact"/>
        <w:rPr>
          <w:sz w:val="20"/>
          <w:szCs w:val="20"/>
          <w:color w:val="auto"/>
        </w:rPr>
      </w:pPr>
    </w:p>
    <w:p>
      <w:pPr>
        <w:ind w:right="220" w:firstLine="627"/>
        <w:spacing w:after="0" w:line="288" w:lineRule="auto"/>
        <w:rPr>
          <w:sz w:val="20"/>
          <w:szCs w:val="20"/>
          <w:color w:val="auto"/>
        </w:rPr>
      </w:pPr>
      <w:r>
        <w:rPr>
          <w:rFonts w:ascii="Arial" w:cs="Arial" w:eastAsia="Arial" w:hAnsi="Arial"/>
          <w:sz w:val="17"/>
          <w:szCs w:val="17"/>
          <w:color w:val="auto"/>
        </w:rPr>
        <w:t>Blackstone Securities Partners L.P., an affiliate of Blackstone, served as underwriter of 1,380,000 of the 15,180,000 shares of Class A common stock sold in the IPO, with underwriting discounts and commissions of $1.265 per share paid by the Company and selling stockholders.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14. Subsequent Events</w:t>
      </w:r>
    </w:p>
    <w:p>
      <w:pPr>
        <w:spacing w:after="0" w:line="12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On October 25, 2021, certain of the Company's stockholders completed a secondary offering of 12,077,480 shares of the Company's Class A common stock at a public offering price of $63.50 per share. All of the shares of Class A common stock were offered by existing stockholders. The Company did not sell any common stock in the offering and did not receive any proceeds from the offering. Blackstone Securities Partners L.P., an affiliate of Blackstone, served as underwriter of 1,021,942 of the 12,077,480 shares of Class A common stock sold in the offering, with underwriting discounts and commissions of $2.06375 per share paid by the selling stockholders. The underwriters have the option to purchase up to an additional 1,811,622 shares of the Company's Class A common stock from the selling stockholders at the public offering price less the underwriting discounts and commissions, within 30 days from October 20, 2021. If any shares are purchased pursuant to this option, the underwriters will severally purchase shares in approximately the same proportion as set forth in the prospectus for the secondary offering.</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prospectus dated October 20, 2021 (the “prospectus”), as filed with the Securities and Exchange Commission (the “SEC”) on October 22, 2021 and the information included under “Management’s Discussion and Analysis of Financial Condition and Results of Operations” in the prospectus.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“Risk Factors” in this Quarterly Report and the prospectus.</w:t>
      </w:r>
    </w:p>
    <w:p>
      <w:pPr>
        <w:spacing w:after="0" w:line="77" w:lineRule="exact"/>
        <w:rPr>
          <w:sz w:val="20"/>
          <w:szCs w:val="20"/>
          <w:color w:val="auto"/>
        </w:rPr>
      </w:pPr>
    </w:p>
    <w:p>
      <w:pPr>
        <w:jc w:val="both"/>
        <w:ind w:firstLine="627"/>
        <w:spacing w:after="0" w:line="358" w:lineRule="auto"/>
        <w:rPr>
          <w:sz w:val="20"/>
          <w:szCs w:val="20"/>
          <w:color w:val="auto"/>
        </w:rPr>
      </w:pPr>
      <w:r>
        <w:rPr>
          <w:rFonts w:ascii="Arial" w:cs="Arial" w:eastAsia="Arial" w:hAnsi="Arial"/>
          <w:sz w:val="15"/>
          <w:szCs w:val="15"/>
          <w:i w:val="1"/>
          <w:iCs w:val="1"/>
          <w:color w:val="auto"/>
        </w:rPr>
        <w:t>This Quarterly Report includes certain historical consolidated financial and other data for TaskUs, Inc. (“we, ” “us,” “our” or the “Company”). The following discussion provides a narrative of our results of operations and financial condition for the three and nine months ended September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are a digital outsourcer, focused on serving high-growth technology companies to represent, protect and grow their brands. We support some of the world’s most disruptive brands such as Zoom, Netflix, Uber, Coinbase and Oscar.</w:t>
      </w:r>
    </w:p>
    <w:p>
      <w:pPr>
        <w:spacing w:after="0" w:line="5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Our global, omni-channel delivery model is focused on providing our clients three key services – Digital Customer Experience, Content Security and artificial intelligence (“AI”) Operations.</w:t>
      </w:r>
    </w:p>
    <w:p>
      <w:pPr>
        <w:spacing w:after="0" w:line="5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have designed our platform to enable us to rapidly scale and benefit from our clients’ growth. We believe our ability to deliver “ridiculously good” outsourcing will enable us to continue to grow our client base.</w:t>
      </w:r>
    </w:p>
    <w:p>
      <w:pPr>
        <w:spacing w:after="0" w:line="5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Financial Highlights</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For the three months ended September 30, 2021, we recorded service revenue of $201.1 million, a 64.2% increase from $122.4 million for the three months ended September 30, 2020. For the nine months ended September 30, 2021, we recorded service revenue of $533.9 million, a 57.4% increase from $339.3 million for the nine months ended September 30,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Net income for the three months ended September 30, 2021 increased to $11.6 million from $11.5 million for the three months ended September 30, 2020. This increase included non-cash stock-based compensation expense which we began recognizing upon our initial public offering ("IPO"). Adjusted Net Income for the three months ended September 30, 2021 increased 47.5% to $32.8 million from $22.2 million for the three months ended September 30, 2020. Adjusted EBITDA for the three months ended September 30, 2021 increased 59.7% to $48.1 million from $30.1 million for the three months ended September 30, 2020.</w:t>
      </w:r>
    </w:p>
    <w:p>
      <w:pPr>
        <w:spacing w:after="0" w:line="75"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Net income (loss) for the nine months ended September 30, 2021 decreased to $(77.8) million from $21.0 million for the nine months ended September 30, 2020. This decrease included expenses related to the one-time phantom shares bonuses and non-recurring teammate bonuses associated with the IPO of $133.7 million and non-cash stock-based compensation expense which we began recognizing upon our IPO. Adjusted Net Income for the nine months ended September 30, 2021 increased 87.1% to $92.3 million from $49.3 million for the nine months ended September 30, 2020. Adjusted EBITDA for the nine months ended September 30, 2021 increased 78.2% to $131.8 million from $73.9 million for the nine months ended September 30, 2020.</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operating results in any period are not necessarily indicative of the results that may be expected for any future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Developments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Initial Public Offering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11, 2021, our Class A common stock began trading on the NASDAQ.</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Upon closing the IPO on June 15, 2021, the Company issued and sold 5,553,154 shares of Class A common stock (the “primary” offering) and certain selling stockholders sold 9,626,846 shares (the “secondary” offering), including shares sold by the selling stockholders pursuant to the underwriters’ full exercise of their option to purchase additional shares, at a public offering price of $23 per share. The Company received net proceeds of $120.7 million after deducting underwriting discounts and commissions, but before deducting offering expenses. The Company used the proceeds from the issuance, together with cash on hand, to satisfy payments of approximately $127.5 million in respect of vested phantom shares.</w:t>
      </w:r>
    </w:p>
    <w:p>
      <w:pPr>
        <w:spacing w:after="0" w:line="7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As a result of becoming a public company, we incur additional costs related to audit, legal, and tax-related services associated with maintaining compliance with exchange listing and SEC requirements, director and officer insurance premiums and investor relations costs associated with being a public company.</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Amendment and Restatement of Certificate of Incorporation</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Prior to the completion of the IPO, we amended and restated our certificate of incorporation to effect a ten-for-one forward stock split of our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then outstanding shares of common stock were reclassified into an equal number of shares of Class B common stock (the “Class B Reclassification”).</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Equity Incentive Plans</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At the IPO date, we concluded that our public offering represents a qualifying liquidity event that would cause the performance conditions of stock options issued under our 2019 Stock Incentive Plan to be probable of occurring. As such, we started to recognize stock-based compensation expense in relation to the stock options issued under the 2019 Stock Incentive Plan.</w:t>
      </w:r>
    </w:p>
    <w:p>
      <w:pPr>
        <w:spacing w:after="0" w:line="6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connection with the IPO, we adopted the 2021 Omnibus Incentive Plan, which became effective on the date our registration statement was declared effective. Under the 2021 Omnibus Incentive Plan, we granted time-based restricted stock units (“RSUs”), performance-based restricted stock units (“PSUs”), and time-based stock options, in each case relating to shares of our Class A common stock.</w:t>
      </w:r>
    </w:p>
    <w:p>
      <w:pPr>
        <w:spacing w:after="0" w:line="6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additional information, see Note 9, “Employee Compensation” in the Notes to Unaudited Condensed Consolidated Financial Statements of this Quarterly Report.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During the first quarter of 2020, there was a global outbreak of COVID-19, which has spread to over 200 countries and territories, including all states in the United States. The global impact of the outbreak has been rapidly evolving and many countries have reacted by instituting quarantines and restrictions on travel, closing financial markets and/or restricting trading, and limiting operations of non-essential businesses. Such actions created disruption in global supply chains, increased rates of unemployment and adversely impacted many industries.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The outbreak could have a continued adverse impact on economic and market conditions, and the full extent of the impact and effects of the COVID-19 pandemic will depend on future developments, including, among other factors, the duration and spread of the outbreak, including new strains and variants of the virus, and the success of vaccination programs,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 We continue to closely monitor the outbreak and the impact on our operations and liquidity. As events continue to evolve and additional information becomes available, our estimates may change materially in the future.</w:t>
      </w:r>
    </w:p>
    <w:p>
      <w:pPr>
        <w:spacing w:after="0" w:line="62"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As a result of the unpredictable and evolving impact of the pandemic and measures being taken around the world to combat its spread, the timing and trajectory of the recovery remain unclear at this time, and the adverse impact of the pandemic on our operations could be material. See “Risk Factors—Risks Related to Our Business and Industry—The ongoing COVID-19 pandemic, including the resulting global economic uncertainty and measures taken in response to the pandemic, has adversely impacted our business, financial condition and results of operations, especially in the first half of 2020, and may continue to do so” in our prospectus.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Operational Enablement</w:t>
      </w:r>
    </w:p>
    <w:p>
      <w:pPr>
        <w:spacing w:after="0" w:line="118"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In early March 2020, in response to the COVID-19 pandemic, we implemented a virtual operating model to protect the health and safety of our employees, and ensure continued service for our clients. As part of the transition to working virtually, we made additional investments in our employees in the form of internet and Wi-Fi connectivity to their homes as well as hotel and shuttle costs for employees who were displaced by the pandemic.</w:t>
      </w:r>
    </w:p>
    <w:p>
      <w:pPr>
        <w:spacing w:after="0" w:line="49"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In September 2021, we announced the continuation of our company-wide work from home policy through the first quarter of 2022. However, where there have been specific client requirements to return to our facilities and, where it has been safe to do so, we have begun transitioning some of our employees back to the office. We continued to incur operational enablement costs, however, during the three and nine months ended September 30, 2021.</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Revenue and Sales Generation</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While we initially saw a reduction in spend from some clients, including ride sharing, live event ticketing, movie ticketing, travel and retail companies, our business performance rebounded in the second half of 2020 despite the uncertainty and initial impact of the pandemic. Our strong market position within our industry verticals as well as our operational agility enabled us to act as a key partner to clients in industry segments such as social media, e-commerce, streaming media, gaming, food delivery and FinTech, which saw an increase in demand driven by a surge in online commerce and content consumption. This trend has continued through the first nine months of 2021.</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Cash and Cost Management</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Throughout 2020 and the first nine months of 2021 we were able to meet our liquidity needs with cash generated from operations and we do not have significant liquidity or operational concerns. We continue to closely monitor the outbreak and the impact on our operations and liquidity.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a description of subsequent events, see Note 14, “Subsequent Events” in the Notes to Unaudited Condensed Consolidated Financial Statements included in this Quarterly Report.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September 30, 2021 and 2020</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set forth certain historical consolidated financial information for the three months ended September 30, 2021 and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64.2 %</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72.0 %</w:t>
            </w: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28,152</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87.5 %</w:t>
            </w: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100.8 %</w:t>
            </w: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tcPr>
          <w:p>
            <w:pPr>
              <w:jc w:val="right"/>
              <w:ind w:right="126"/>
              <w:spacing w:after="0"/>
              <w:rPr>
                <w:sz w:val="20"/>
                <w:szCs w:val="20"/>
                <w:color w:val="auto"/>
              </w:rPr>
            </w:pPr>
            <w:r>
              <w:rPr>
                <w:rFonts w:ascii="Arial" w:cs="Arial" w:eastAsia="Arial" w:hAnsi="Arial"/>
                <w:sz w:val="16"/>
                <w:szCs w:val="16"/>
                <w:color w:val="auto"/>
              </w:rPr>
              <w:t>—</w:t>
            </w: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assets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199"/>
        </w:trPr>
        <w:tc>
          <w:tcPr>
            <w:tcW w:w="5200" w:type="dxa"/>
            <w:vAlign w:val="bottom"/>
          </w:tcPr>
          <w:p>
            <w:pPr>
              <w:ind w:left="4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184,924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106,130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78,794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74.2 %</w:t>
            </w:r>
          </w:p>
        </w:tc>
      </w:tr>
      <w:tr>
        <w:trPr>
          <w:trHeight w:val="212"/>
        </w:trPr>
        <w:tc>
          <w:tcPr>
            <w:tcW w:w="5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91.7 %</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199"/>
        </w:trPr>
        <w:tc>
          <w:tcPr>
            <w:tcW w:w="520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05"/>
        </w:trPr>
        <w:tc>
          <w:tcPr>
            <w:tcW w:w="52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8"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Service revenue for the three months ended September 30, 2021 and 2020 was $201.1 million and $122.4 million, respectively. Service revenue for the three months ended September 30, 2021 increased by $78.6 million or 64.2% when compared to the three months ended September 30, 2020.</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Customer Experience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64.3 %</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Content Security</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11,589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34.3 %</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 Operations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145.2 %</w:t>
            </w:r>
          </w:p>
        </w:tc>
      </w:tr>
      <w:tr>
        <w:trPr>
          <w:trHeight w:val="205"/>
        </w:trPr>
        <w:tc>
          <w:tcPr>
            <w:tcW w:w="520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78,628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64.2 %</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period over period growth in Digital Customer Experience, AI Operations and Content Security contributed 40.0%, 14.7% and 9.5%, respectively, of the total increase of 64.2% for the three months ended September 30, 2021. The 64.3% growth in Digital Customer Experience was primarily driven by an increase in volume of services to our existing customers and new customer wins. The 145.2% growth in AI Operations was driven by an increase in the volume of services to our existing customers and new customer wins. The 34.3% growth in Content Security was primarily driven by an increase in the volume of services to our existing customers.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the breakdown of our service revenue by geographical location, based on where the services are provided, for each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49.7 %</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65,866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23,105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54.0 %</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204.5 %</w:t>
            </w:r>
          </w:p>
        </w:tc>
      </w:tr>
      <w:tr>
        <w:trPr>
          <w:trHeight w:val="205"/>
        </w:trPr>
        <w:tc>
          <w:tcPr>
            <w:tcW w:w="520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201,053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78,628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64.2 %</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Revenue generated from services provided from our delivery sites in the Philippines grew from expansion in all three of our service offerings, Digital Customer Experience, Content Security and AI Operations, which contributed 27.0%, 13.7%, and 9.0% of the total increase of 49.7% in the Philippines, respectively.</w:t>
      </w:r>
    </w:p>
    <w:p>
      <w:pPr>
        <w:spacing w:after="0" w:line="6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Revenue generated from services provided from our delivery sites in the United States grew primarily from expansion in two of our service offerings, Digital Customer Experience and AI Operations, which contributed 42.9% and 17.7% of the total increase of 54.0% in the United States, respectively, partially offset by a 6.6% decrease contributed by Content Security due to the shift in revenues to the Philippines and Rest of World.</w:t>
      </w:r>
    </w:p>
    <w:p>
      <w:pPr>
        <w:spacing w:after="0" w:line="6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Revenue generated from services provided from our delivery sites in the Rest of World grew primarily from expansion in all three of our service offerings in India and Mexico.</w:t>
      </w:r>
    </w:p>
    <w:p>
      <w:pPr>
        <w:spacing w:after="0" w:line="54" w:lineRule="exact"/>
        <w:rPr>
          <w:sz w:val="20"/>
          <w:szCs w:val="20"/>
          <w:color w:val="auto"/>
        </w:rPr>
      </w:pPr>
    </w:p>
    <w:p>
      <w:pPr>
        <w:jc w:val="center"/>
        <w:ind w:right="98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53" w:lineRule="exact"/>
        <w:rPr>
          <w:sz w:val="20"/>
          <w:szCs w:val="20"/>
          <w:color w:val="auto"/>
        </w:rPr>
      </w:pPr>
    </w:p>
    <w:p>
      <w:pPr>
        <w:jc w:val="center"/>
        <w:ind w:right="9820"/>
        <w:spacing w:after="0"/>
        <w:rPr>
          <w:sz w:val="20"/>
          <w:szCs w:val="20"/>
          <w:color w:val="auto"/>
        </w:rPr>
      </w:pPr>
      <w:r>
        <w:rPr>
          <w:rFonts w:ascii="Arial" w:cs="Arial" w:eastAsia="Arial" w:hAnsi="Arial"/>
          <w:sz w:val="17"/>
          <w:szCs w:val="17"/>
          <w:i w:val="1"/>
          <w:iCs w:val="1"/>
          <w:color w:val="auto"/>
        </w:rPr>
        <w:t>Cost of services</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Cost of services for the three months ended September 30, 2021 and 2020 was $112.4 million and $65.4 million, respectively. Cost of services for the three months ended September 30, 2021 increased by $47.0 million, or 72.0%, when compared to the three months ended September 30, 2020. The increase was primarily driven by higher personnel costs of $40.8 million, related to an increase in headcount to meet the demand in services from our customers, as well as higher facilities costs associated with site expansions to support revenue growth.</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Selling, general, and administrative expense for the three months ended September 30, 2021 and 2020 was $60.3 million and $32.2 million, respectively. Selling, general, and administrative expense for the three months ended September 30, 2021 increased by $28.2 million, or 87.5%, when compared to the three months ended September 30, 2020. The increase was primarily driven by higher personnel costs of $28.1 million due primarily to stock-based compensation expense as well as increased costs across functions in support of our growth in revenue.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Depreciation</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Depreciation for the three months ended September 30, 2021 and 2020 was $7.4 million and $3.7 million, respectively. The increase in depreciation is a result of capital expenditures as well as the change in estimated useful lives of leasehold improvements in 2020.</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Amortization of intangible assets</w:t>
      </w:r>
    </w:p>
    <w:p>
      <w:pPr>
        <w:spacing w:after="0" w:line="118"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Amortization of intangible assets for the three months ended September 30, 2021 and 2020 was $4.7 million. Amortization can be attributed to the recognition of client relationship and trade name intangible assets recognized in connection with the October 2018 transaction in which we were formed by affiliates of Blackstone as a vehicle for the acquisition of TaskUs Holdings, Inc. (the “Blackstone Acquisition”) that are being amortized on a straight-line basis.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Other expense for the three months ended September 30, 2021 and 2020 was $1.2 million and $0.6 million, respectively. Changes are driven by our exposure to foreign currency exchange risk resulting from our operations in foreign geographies, primarily the Philippines, offset by economic hedges using foreign currency exchange rate forward contracts.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Financing expense for the three months ended September 30, 2021 and 2020 was $1.6 million and $1.6 million, respectively. Changes in financing expenses are primarily driven by the rate of LIBOR used to calculate the interest rate of the term loan. See “—Liquidity and Capital Resources—Indebtedness— 2019 Credit Agreement” for additional discussion on term loan.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Provision for income taxes for the three months ended September 30, 2021 and 2020 was $1.7 million and $2.6 million, respectively. The effective tax rate for the three months ended September 30, 2021 and 2020 was 12.5% and 18.3%, respectively. There are certain items included within the provision for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provision for income taxes calculation. If those costs directly related to the IPO and stock-based compensation are removed, the provision for income taxes would have been $6.3 million and the effective tax rate would have been 19.4% for the three months ended September 30, 2021.</w:t>
      </w:r>
    </w:p>
    <w:p>
      <w:pPr>
        <w:spacing w:after="0" w:line="8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effective tax rate in the future will depend upon the proportion of income before provision for income taxes earned in the United states and in jurisdictions with a tax rate lower than the U.S. statutory rate, as well as a number of other factors, including the impact of new legislation.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2021 and 2020</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set forth certain historical consolidated financial information for the nine months ended September 30, 2021 and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194,692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57.4 %</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59.0 %</w:t>
            </w: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269,650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83,630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186,020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222.4 %</w:t>
            </w: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43.1 %</w:t>
            </w: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tcPr>
          <w:p>
            <w:pPr>
              <w:jc w:val="right"/>
              <w:ind w:right="126"/>
              <w:spacing w:after="0"/>
              <w:rPr>
                <w:sz w:val="20"/>
                <w:szCs w:val="20"/>
                <w:color w:val="auto"/>
              </w:rPr>
            </w:pPr>
            <w:r>
              <w:rPr>
                <w:rFonts w:ascii="Arial" w:cs="Arial" w:eastAsia="Arial" w:hAnsi="Arial"/>
                <w:sz w:val="16"/>
                <w:szCs w:val="16"/>
                <w:color w:val="auto"/>
              </w:rPr>
              <w:t>—</w:t>
            </w:r>
          </w:p>
        </w:tc>
      </w:tr>
      <w:tr>
        <w:trPr>
          <w:trHeight w:val="212"/>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06"/>
        </w:trPr>
        <w:tc>
          <w:tcPr>
            <w:tcW w:w="5200" w:type="dxa"/>
            <w:vAlign w:val="bottom"/>
          </w:tcPr>
          <w:p>
            <w:pPr>
              <w:ind w:left="24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5"/>
        </w:trPr>
        <w:tc>
          <w:tcPr>
            <w:tcW w:w="52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608,444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307,006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301,438</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98.2 %</w:t>
            </w:r>
          </w:p>
        </w:tc>
      </w:tr>
      <w:tr>
        <w:trPr>
          <w:trHeight w:val="206"/>
        </w:trPr>
        <w:tc>
          <w:tcPr>
            <w:tcW w:w="5200" w:type="dxa"/>
            <w:vAlign w:val="bottom"/>
          </w:tcPr>
          <w:p>
            <w:pPr>
              <w:ind w:left="6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(74,498)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(106,746)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(331.0)%</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0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expenses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(17.8)%</w:t>
            </w:r>
          </w:p>
        </w:tc>
      </w:tr>
      <w:tr>
        <w:trPr>
          <w:trHeight w:val="205"/>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(105,116)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(412.0)%</w:t>
            </w:r>
          </w:p>
        </w:tc>
      </w:tr>
      <w:tr>
        <w:trPr>
          <w:trHeight w:val="20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(139.8)%</w:t>
            </w:r>
          </w:p>
        </w:tc>
      </w:tr>
      <w:tr>
        <w:trPr>
          <w:trHeight w:val="23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(98,779)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8"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Service revenue for the nine months ended September 30, 2021 and 2020 was $533.9 million and $339.3 million, respectively. Service revenue for the nine months ended September 30, 2021 increased by $194.7 million or 57.4% when compared to the nine months ended September 30, 2020.</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20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Customer Experience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125,770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59.1 %</w:t>
            </w:r>
          </w:p>
        </w:tc>
      </w:tr>
      <w:tr>
        <w:trPr>
          <w:trHeight w:val="206"/>
        </w:trPr>
        <w:tc>
          <w:tcPr>
            <w:tcW w:w="5260" w:type="dxa"/>
            <w:vAlign w:val="bottom"/>
          </w:tcPr>
          <w:p>
            <w:pPr>
              <w:ind w:left="20"/>
              <w:spacing w:after="0"/>
              <w:rPr>
                <w:sz w:val="20"/>
                <w:szCs w:val="20"/>
                <w:color w:val="auto"/>
              </w:rPr>
            </w:pPr>
            <w:r>
              <w:rPr>
                <w:rFonts w:ascii="Arial" w:cs="Arial" w:eastAsia="Arial" w:hAnsi="Arial"/>
                <w:sz w:val="16"/>
                <w:szCs w:val="16"/>
                <w:color w:val="auto"/>
              </w:rPr>
              <w:t>Content Security</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124,498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91,401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33,097</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36.2 %</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AI Operations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102.3 %</w:t>
            </w:r>
          </w:p>
        </w:tc>
      </w:tr>
      <w:tr>
        <w:trPr>
          <w:trHeight w:val="205"/>
        </w:trPr>
        <w:tc>
          <w:tcPr>
            <w:tcW w:w="526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194,692</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57.4 %</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year over year growth in Digital Customer Experience, AI Operations and Content Security contributed 37.0%, 10.6% and 9.8%, respectively, of the total increase of 57.4% for the nine months ended September 30, 2021. The 59.1% growth in Digital Customer Experience was primarily driven by an increase in volume of services to our existing customers and new customer wins. The 102.3% growth in AI Operations was driven by an increase in volume of services to our existing customers and new customer wins. The 36.2% growth in Content Security was primarily driven by an increase in volume of services to our existing customers.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the breakdown of our service revenue by geographical location, based on where the services are provided, for each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26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96,011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175,553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126,835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48,718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38.4 %</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205.3 %</w:t>
            </w:r>
          </w:p>
        </w:tc>
      </w:tr>
      <w:tr>
        <w:trPr>
          <w:trHeight w:val="205"/>
        </w:trPr>
        <w:tc>
          <w:tcPr>
            <w:tcW w:w="5200" w:type="dxa"/>
            <w:vAlign w:val="bottom"/>
          </w:tcPr>
          <w:p>
            <w:pPr>
              <w:ind w:left="240"/>
              <w:spacing w:after="0"/>
              <w:rPr>
                <w:sz w:val="20"/>
                <w:szCs w:val="20"/>
                <w:color w:val="auto"/>
              </w:rPr>
            </w:pPr>
            <w:r>
              <w:rPr>
                <w:rFonts w:ascii="Arial" w:cs="Arial" w:eastAsia="Arial" w:hAnsi="Arial"/>
                <w:sz w:val="16"/>
                <w:szCs w:val="16"/>
                <w:color w:val="auto"/>
              </w:rPr>
              <w:t>Service revenue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194,692</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57.4 %</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Revenue generated from services provided from our delivery sites in the Philippines grew from expansion in all three of our service offerings, Digital Customer Experience, Content Security and AI Operations, which contributed 29.0%, 14.7%, and 7.3% of the total increase of 51.0% in the Philippines, respectively.</w:t>
      </w:r>
    </w:p>
    <w:p>
      <w:pPr>
        <w:spacing w:after="0" w:line="6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Revenue generated from services provided from our delivery sites in the United States grew primarily from expansion in two of our service offerings, Digital Customer Experience and AI Operations, which contributed 31.7% and 12.1% of the total increase of 38.4% in the United States, respectively, partially offset by a 5.4% decrease contributed by Content Security due to the shift in revenues to the Philippines.</w:t>
      </w:r>
    </w:p>
    <w:p>
      <w:pPr>
        <w:spacing w:after="0" w:line="6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Revenue generated from services provided from our delivery sites in the Rest of World grew primarily from expansion in all three of our service offerings in India and Mexico.</w:t>
      </w:r>
    </w:p>
    <w:p>
      <w:pPr>
        <w:spacing w:after="0" w:line="54" w:lineRule="exact"/>
        <w:rPr>
          <w:sz w:val="20"/>
          <w:szCs w:val="20"/>
          <w:color w:val="auto"/>
        </w:rPr>
      </w:pPr>
    </w:p>
    <w:p>
      <w:pPr>
        <w:jc w:val="center"/>
        <w:ind w:right="98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53" w:lineRule="exact"/>
        <w:rPr>
          <w:sz w:val="20"/>
          <w:szCs w:val="20"/>
          <w:color w:val="auto"/>
        </w:rPr>
      </w:pPr>
    </w:p>
    <w:p>
      <w:pPr>
        <w:jc w:val="center"/>
        <w:ind w:right="9820"/>
        <w:spacing w:after="0"/>
        <w:rPr>
          <w:sz w:val="20"/>
          <w:szCs w:val="20"/>
          <w:color w:val="auto"/>
        </w:rPr>
      </w:pPr>
      <w:r>
        <w:rPr>
          <w:rFonts w:ascii="Arial" w:cs="Arial" w:eastAsia="Arial" w:hAnsi="Arial"/>
          <w:sz w:val="17"/>
          <w:szCs w:val="17"/>
          <w:i w:val="1"/>
          <w:iCs w:val="1"/>
          <w:color w:val="auto"/>
        </w:rPr>
        <w:t>Cost of services</w:t>
      </w:r>
    </w:p>
    <w:p>
      <w:pPr>
        <w:spacing w:after="0" w:line="118"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5"/>
          <w:szCs w:val="15"/>
          <w:color w:val="auto"/>
        </w:rPr>
        <w:t>Cost of services for the nine months ended September 30, 2021 and 2020 was $304.3 million and $191.3 million, respectively. Cost of services for the nine months ended September 30, 2021 increased by $113.0 million, or 59.0%, when compared to the nine months ended September 30, 2020. The increase was primarily driven by higher personnel costs of $101.3 million related to an increase in headcount to meet the demand in services from our customers. The remaining increase included site expansions to support revenue growth, as well as operational enablement costs incurred in response to the COVID pandemic.</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8"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Selling, general, and administrative expense for the nine months ended September 30, 2021 and 2020 was $269.7 million and $83.6 million, respectively. Selling, general, and administrative expense for the nine months ended September 30, 2021 increased by $186.0 million, or 222.4%, when compared to the nine months ended September 30, 2020. The increase was primarily driven by higher personnel costs of $177.0 million due primarily to expenses related to the one-time phantom shares bonuses and non-recurring teammate bonuses associated with the IPO of $133.7 million, as well as stock-based compensation expense for equity-classified awards of $24.5 million and increased costs across functions in support of our growth in revenue. The remaining increase included higher professional fees of $7.8 million, due primarily to third parties who were engaged to assist with public offerings, investment in digital initiatives and higher insurance expense, partially offset by lease termination charges and severance incurred during the nine months ended September 30, 2020. We expect our stock-based compensation expense for equity-classified awards to increase in future periods as we recognize expense for the full periods, as well as any future grants.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Depreciation</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Depreciation for the nine months ended September 30, 2021 and 2020 was $20.4 million and $14.2 million, respectively. The increase in depreciation is a result of capital expenditures for additional technology and computers in support of our company-wide work-from-home policy, as well as leasehold improvements associated with site expansions to support revenue growth.</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Amortization of intangible assets</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Amortization of intangible assets for the nine months ended September 30, 2021 and 2020 was $14.1 million. Amortization can be attributed to the recognition of client relationship and trade name intangible assets recognized in connection with the Blackstone Acquisition that are being amortized on a straight-line basis.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Contingent consideration</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nine months ended September 30, 2020. See Note 8(b), “Contingent Consideration” in the Notes to Unaudited Condensed Consolidated Financial Statements included in this Quarterly Report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Other expense for the nine months ended September 30, 2021 and 2020 was $0.3 million and $0.9 million, respectively. Changes are driven by our exposure to foreign currency exchange risk resulting from our operations in foreign geographies, primarily the Philippines, offset by economic hedges using foreign currency exchange rate forward contracts.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Financing expense for the nine months ended September 30, 2021 and 2020 was $4.8 million and $5.8 million, respectively. The decrease in financing expense is primarily driven by the decrease in the rate of LIBOR used to calculate the interest rate of the term loan. See “—Liquidity and Capital Resources— Indebtedness—2019 Credit Agreement” for additional discussion on term loan.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1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Provision for (benefit from) income taxes for the nine months ended September 30, 2021 and 2020 was $(1.8) million and $4.5 million, respectively. Our effective tax rate for the nine months ended September 30, 2021 and 2020 was 2.3% and 17.8%, respectively. There are certain items included within the provision for (benefit from)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provision for (benefit from) income taxes calculation. If those costs directly related to the IPO and stock-based compensation expense are removed, the provision for income taxes would have been $14.3 million and the effective tax rate would have been 19.0% for the nine months ended September 30, 2021.</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by Top Clients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sets forth the percentage of our total service revenue derived from our largest clients for the three and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Nine months ended September 30,</w:t>
            </w:r>
          </w:p>
        </w:tc>
      </w:tr>
      <w:tr>
        <w:trPr>
          <w:trHeight w:val="181"/>
        </w:trPr>
        <w:tc>
          <w:tcPr>
            <w:tcW w:w="50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2020</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Top ten clients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0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Top twenty clients</w:t>
            </w:r>
          </w:p>
        </w:tc>
        <w:tc>
          <w:tcPr>
            <w:tcW w:w="48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82 %</w:t>
            </w:r>
          </w:p>
        </w:tc>
      </w:tr>
    </w:tbl>
    <w:p>
      <w:pPr>
        <w:spacing w:after="0" w:line="19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5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For the three months ended September 30, 2021 and 2020, we generated 27% and 33%, respectively, of our service revenue from Facebook, our largest client, and we generated 11% and 11%, respectively, of our service revenue from our second largest client, DoorDash. For the nine months ended September 30, 2021 and 2020, we generated 27% and 33%, respectively, of our service revenue from Facebook, our largest client, and we generated 11% and 13%, respectively, of our service revenue from our second largest client, DoorDash.</w:t>
      </w:r>
    </w:p>
    <w:p>
      <w:pPr>
        <w:spacing w:after="0" w:line="71"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4"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“Quantitative and Qualitative Disclosures About Market Risk” for additional information on how foreign currency impacts our financial results.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use Adjusted Net Income, Adjusted Earnings Per Share (“EPS”), EBITDA and Adjusted EBITDA as key profitability measures to assess the performance of our business.</w:t>
      </w:r>
    </w:p>
    <w:p>
      <w:pPr>
        <w:spacing w:after="0" w:line="5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Each of the profitability measures described below are not recognized under GAAP and do not purport to be an alternative to net income as a measure of our performance. Such measures have limitations as analytical tools, and you should not consider any of such measures in isolation or as substitutes for our results as reported under GAAP.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w:t>
      </w:r>
    </w:p>
    <w:p>
      <w:pPr>
        <w:spacing w:after="0" w:line="118"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amortization of intangible assets, offering costs, the effect of foreign currency gains and losses, losses on disposals of assets, COVID-19 related expenses, severance costs, lease termination costs, natural disaster costs, contingent consideration, one-time payments associated with the IPO, stock-based compensation expense associated with equity-classified awards and the related effect on income taxes of certain pre-tax adjustments, which include costs that are required to be expensed in accordance with GAAP. Our management believes that the inclusion of supplementary adjustments to net income (loss) applied in presenting Adjusted Net Income are appropriate to provide additional information to investors about certain material non-cash items and about unusual items that we do not expect to continue at the same level in the future.</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three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0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11,636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11,456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4,711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Offering costs</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Foreign currency losses</w:t>
            </w:r>
            <w:r>
              <w:rPr>
                <w:rFonts w:ascii="Arial" w:cs="Arial" w:eastAsia="Arial" w:hAnsi="Arial"/>
                <w:sz w:val="20"/>
                <w:szCs w:val="20"/>
                <w:color w:val="auto"/>
                <w:vertAlign w:val="superscript"/>
              </w:rPr>
              <w:t>(2)</w:t>
            </w:r>
          </w:p>
        </w:tc>
        <w:tc>
          <w:tcPr>
            <w:tcW w:w="3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1,285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101.7 %</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COVID-19 related expenses</w:t>
            </w:r>
            <w:r>
              <w:rPr>
                <w:rFonts w:ascii="Arial" w:cs="Arial" w:eastAsia="Arial" w:hAnsi="Arial"/>
                <w:sz w:val="20"/>
                <w:szCs w:val="20"/>
                <w:color w:val="auto"/>
                <w:vertAlign w:val="superscript"/>
              </w:rPr>
              <w:t>(3)</w:t>
            </w: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Severance costs</w:t>
            </w:r>
            <w:r>
              <w:rPr>
                <w:rFonts w:ascii="Arial" w:cs="Arial" w:eastAsia="Arial" w:hAnsi="Arial"/>
                <w:sz w:val="20"/>
                <w:szCs w:val="20"/>
                <w:color w:val="auto"/>
                <w:vertAlign w:val="superscript"/>
              </w:rPr>
              <w:t>(4)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Lease termination costs</w:t>
            </w:r>
            <w:r>
              <w:rPr>
                <w:rFonts w:ascii="Arial" w:cs="Arial" w:eastAsia="Arial" w:hAnsi="Arial"/>
                <w:sz w:val="20"/>
                <w:szCs w:val="20"/>
                <w:color w:val="auto"/>
                <w:vertAlign w:val="superscript"/>
              </w:rPr>
              <w:t>(5)</w:t>
            </w: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0"/>
                <w:szCs w:val="20"/>
                <w:color w:val="auto"/>
                <w:vertAlign w:val="superscript"/>
              </w:rPr>
              <w:t>(6)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19,243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Tax impacts of adjustments</w:t>
            </w:r>
            <w:r>
              <w:rPr>
                <w:rFonts w:ascii="Arial" w:cs="Arial" w:eastAsia="Arial" w:hAnsi="Arial"/>
                <w:sz w:val="20"/>
                <w:szCs w:val="20"/>
                <w:color w:val="auto"/>
                <w:vertAlign w:val="superscript"/>
              </w:rPr>
              <w:t>(7)</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(4,632)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32,757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22,210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222" w:lineRule="exact"/>
              <w:rPr>
                <w:sz w:val="20"/>
                <w:szCs w:val="20"/>
                <w:color w:val="auto"/>
              </w:rPr>
            </w:pPr>
            <w:r>
              <w:rPr>
                <w:rFonts w:ascii="Arial" w:cs="Arial" w:eastAsia="Arial" w:hAnsi="Arial"/>
                <w:sz w:val="16"/>
                <w:szCs w:val="16"/>
                <w:color w:val="auto"/>
              </w:rPr>
              <w:t>Net Income Margin</w:t>
            </w:r>
            <w:r>
              <w:rPr>
                <w:rFonts w:ascii="Arial" w:cs="Arial" w:eastAsia="Arial" w:hAnsi="Arial"/>
                <w:sz w:val="20"/>
                <w:szCs w:val="20"/>
                <w:color w:val="auto"/>
                <w:vertAlign w:val="superscript"/>
              </w:rPr>
              <w:t>(8)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5.8 %</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Adjusted Net Income Margin</w:t>
            </w:r>
            <w:r>
              <w:rPr>
                <w:rFonts w:ascii="Arial" w:cs="Arial" w:eastAsia="Arial" w:hAnsi="Arial"/>
                <w:sz w:val="20"/>
                <w:szCs w:val="20"/>
                <w:color w:val="auto"/>
                <w:vertAlign w:val="superscript"/>
              </w:rPr>
              <w:t>(8)</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8"/>
        <w:spacing w:after="0"/>
        <w:tabs>
          <w:tab w:leader="none" w:pos="460" w:val="left"/>
        </w:tabs>
        <w:numPr>
          <w:ilvl w:val="0"/>
          <w:numId w:val="7"/>
        </w:numPr>
        <w:rPr>
          <w:rFonts w:ascii="Arial" w:cs="Arial" w:eastAsia="Arial" w:hAnsi="Arial"/>
          <w:sz w:val="28"/>
          <w:szCs w:val="28"/>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6" w:lineRule="exact"/>
        <w:rPr>
          <w:rFonts w:ascii="Arial" w:cs="Arial" w:eastAsia="Arial" w:hAnsi="Arial"/>
          <w:sz w:val="28"/>
          <w:szCs w:val="28"/>
          <w:color w:val="auto"/>
          <w:vertAlign w:val="superscript"/>
        </w:rPr>
      </w:pPr>
    </w:p>
    <w:p>
      <w:pPr>
        <w:ind w:left="460" w:right="20" w:hanging="438"/>
        <w:spacing w:after="0" w:line="22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Realized and unrealized foreign currency losses include the effect of fair market value changes of forward contracts and remeasurement of U.S. dollar-denominated accounts to foreign currency.</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tax impacts of adjustments to net income (loss) which resulted in a tax benefit during the period. These adjustments include stock-based compensation expense after the IPO.</w:t>
      </w:r>
    </w:p>
    <w:p>
      <w:pPr>
        <w:spacing w:after="0" w:line="33" w:lineRule="exact"/>
        <w:rPr>
          <w:rFonts w:ascii="Arial" w:cs="Arial" w:eastAsia="Arial" w:hAnsi="Arial"/>
          <w:sz w:val="13"/>
          <w:szCs w:val="13"/>
          <w:color w:val="auto"/>
        </w:rPr>
      </w:pPr>
    </w:p>
    <w:p>
      <w:pPr>
        <w:ind w:left="460" w:hanging="438"/>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Net Income Margin represents Adjusted Net Income divided by service revenue.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Nine months ended September 30,</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rPr>
              <w:t>Period over Period Change</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40" w:type="dxa"/>
            <w:vAlign w:val="bottom"/>
          </w:tcPr>
          <w:p>
            <w:pPr>
              <w:ind w:left="640"/>
              <w:spacing w:after="0" w:line="118" w:lineRule="exact"/>
              <w:rPr>
                <w:sz w:val="20"/>
                <w:szCs w:val="20"/>
                <w:color w:val="auto"/>
              </w:rPr>
            </w:pPr>
            <w:r>
              <w:rPr>
                <w:rFonts w:ascii="Arial" w:cs="Arial" w:eastAsia="Arial" w:hAnsi="Arial"/>
                <w:sz w:val="13"/>
                <w:szCs w:val="13"/>
                <w:i w:val="1"/>
                <w:iCs w:val="1"/>
                <w:color w:val="auto"/>
              </w:rPr>
              <w:t>(in thousands,</w:t>
            </w:r>
          </w:p>
        </w:tc>
        <w:tc>
          <w:tcPr>
            <w:tcW w:w="1040" w:type="dxa"/>
            <w:vAlign w:val="bottom"/>
          </w:tcPr>
          <w:p>
            <w:pPr>
              <w:spacing w:after="0"/>
              <w:rPr>
                <w:sz w:val="10"/>
                <w:szCs w:val="10"/>
                <w:color w:val="auto"/>
              </w:rPr>
            </w:pPr>
          </w:p>
        </w:tc>
        <w:tc>
          <w:tcPr>
            <w:tcW w:w="9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0"/>
                <w:szCs w:val="10"/>
                <w:color w:val="auto"/>
              </w:rPr>
            </w:pPr>
          </w:p>
        </w:tc>
        <w:tc>
          <w:tcPr>
            <w:tcW w:w="162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except %)</w:t>
            </w: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640"/>
              <w:spacing w:after="0" w:line="142" w:lineRule="exact"/>
              <w:rPr>
                <w:sz w:val="20"/>
                <w:szCs w:val="20"/>
                <w:color w:val="auto"/>
              </w:rPr>
            </w:pPr>
            <w:r>
              <w:rPr>
                <w:rFonts w:ascii="Arial" w:cs="Arial" w:eastAsia="Arial" w:hAnsi="Arial"/>
                <w:sz w:val="16"/>
                <w:szCs w:val="16"/>
                <w:color w:val="auto"/>
              </w:rPr>
              <w:t>Net income</w:t>
            </w:r>
          </w:p>
        </w:tc>
        <w:tc>
          <w:tcPr>
            <w:tcW w:w="104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(77,800)</w:t>
            </w:r>
          </w:p>
        </w:tc>
        <w:tc>
          <w:tcPr>
            <w:tcW w:w="214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w w:val="93"/>
              </w:rPr>
              <w:t>20,979</w:t>
            </w:r>
          </w:p>
        </w:tc>
        <w:tc>
          <w:tcPr>
            <w:tcW w:w="15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(98,779)</w:t>
            </w:r>
          </w:p>
        </w:tc>
        <w:tc>
          <w:tcPr>
            <w:tcW w:w="17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6"/>
                <w:szCs w:val="16"/>
                <w:color w:val="auto"/>
              </w:rPr>
              <w:t>(470.8)</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10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1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540" w:type="dxa"/>
            <w:vAlign w:val="bottom"/>
            <w:gridSpan w:val="3"/>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rPr>
              <w:t>Amortization of</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14,135</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w w:val="93"/>
              </w:rPr>
              <w:t>14,135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620" w:type="dxa"/>
            <w:vAlign w:val="bottom"/>
            <w:vMerge w:val="restart"/>
          </w:tcPr>
          <w:p>
            <w:pPr>
              <w:jc w:val="right"/>
              <w:ind w:right="406"/>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40" w:type="dxa"/>
            <w:vAlign w:val="bottom"/>
            <w:shd w:val="clear" w:color="auto" w:fill="CCEEFF"/>
          </w:tcPr>
          <w:p>
            <w:pPr>
              <w:ind w:left="640"/>
              <w:spacing w:after="0" w:line="212" w:lineRule="exact"/>
              <w:rPr>
                <w:sz w:val="20"/>
                <w:szCs w:val="20"/>
                <w:color w:val="auto"/>
              </w:rPr>
            </w:pPr>
            <w:r>
              <w:rPr>
                <w:rFonts w:ascii="Arial" w:cs="Arial" w:eastAsia="Arial" w:hAnsi="Arial"/>
                <w:sz w:val="16"/>
                <w:szCs w:val="16"/>
                <w:color w:val="auto"/>
                <w:w w:val="93"/>
              </w:rPr>
              <w:t>Offering costs</w:t>
            </w:r>
            <w:r>
              <w:rPr>
                <w:rFonts w:ascii="Arial" w:cs="Arial" w:eastAsia="Arial" w:hAnsi="Arial"/>
                <w:sz w:val="20"/>
                <w:szCs w:val="20"/>
                <w:color w:val="auto"/>
                <w:w w:val="93"/>
                <w:vertAlign w:val="superscript"/>
              </w:rPr>
              <w:t>(1)</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6,249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385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720" w:type="dxa"/>
            <w:vAlign w:val="bottom"/>
            <w:gridSpan w:val="2"/>
            <w:shd w:val="clear" w:color="auto" w:fill="CCEEFF"/>
          </w:tcPr>
          <w:p>
            <w:pPr>
              <w:jc w:val="right"/>
              <w:ind w:right="406"/>
              <w:spacing w:after="0"/>
              <w:rPr>
                <w:sz w:val="20"/>
                <w:szCs w:val="20"/>
                <w:color w:val="auto"/>
              </w:rPr>
            </w:pPr>
            <w:r>
              <w:rPr>
                <w:rFonts w:ascii="Arial" w:cs="Arial" w:eastAsia="Arial" w:hAnsi="Arial"/>
                <w:sz w:val="16"/>
                <w:szCs w:val="16"/>
                <w:color w:val="auto"/>
              </w:rPr>
              <w:t>1,523.1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w w:val="89"/>
              </w:rPr>
              <w:t>Foreign currency</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477</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927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(450)</w:t>
            </w:r>
          </w:p>
        </w:tc>
        <w:tc>
          <w:tcPr>
            <w:tcW w:w="1720" w:type="dxa"/>
            <w:vAlign w:val="bottom"/>
            <w:gridSpan w:val="2"/>
            <w:vMerge w:val="restart"/>
          </w:tcPr>
          <w:p>
            <w:pPr>
              <w:jc w:val="right"/>
              <w:ind w:right="366"/>
              <w:spacing w:after="0"/>
              <w:rPr>
                <w:sz w:val="20"/>
                <w:szCs w:val="20"/>
                <w:color w:val="auto"/>
              </w:rPr>
            </w:pPr>
            <w:r>
              <w:rPr>
                <w:rFonts w:ascii="Arial" w:cs="Arial" w:eastAsia="Arial" w:hAnsi="Arial"/>
                <w:sz w:val="16"/>
                <w:szCs w:val="16"/>
                <w:color w:val="auto"/>
              </w:rPr>
              <w:t>(48.5)</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line="206" w:lineRule="exact"/>
              <w:rPr>
                <w:sz w:val="20"/>
                <w:szCs w:val="20"/>
                <w:color w:val="auto"/>
              </w:rPr>
            </w:pPr>
            <w:r>
              <w:rPr>
                <w:rFonts w:ascii="Arial" w:cs="Arial" w:eastAsia="Arial" w:hAnsi="Arial"/>
                <w:sz w:val="16"/>
                <w:szCs w:val="16"/>
                <w:color w:val="auto"/>
              </w:rPr>
              <w:t>losses</w:t>
            </w:r>
            <w:r>
              <w:rPr>
                <w:rFonts w:ascii="Arial" w:cs="Arial" w:eastAsia="Arial" w:hAnsi="Arial"/>
                <w:sz w:val="20"/>
                <w:szCs w:val="20"/>
                <w:color w:val="auto"/>
                <w:vertAlign w:val="superscript"/>
              </w:rPr>
              <w:t>(2)</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CEEFF"/>
          </w:tcPr>
          <w:p>
            <w:pPr>
              <w:ind w:left="640"/>
              <w:spacing w:after="0" w:line="160" w:lineRule="exact"/>
              <w:rPr>
                <w:sz w:val="20"/>
                <w:szCs w:val="20"/>
                <w:color w:val="auto"/>
              </w:rPr>
            </w:pPr>
            <w:r>
              <w:rPr>
                <w:rFonts w:ascii="Arial" w:cs="Arial" w:eastAsia="Arial" w:hAnsi="Arial"/>
                <w:sz w:val="16"/>
                <w:szCs w:val="16"/>
                <w:color w:val="auto"/>
                <w:w w:val="90"/>
              </w:rPr>
              <w:t>Loss on disposal</w:t>
            </w:r>
          </w:p>
        </w:tc>
        <w:tc>
          <w:tcPr>
            <w:tcW w:w="10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150</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7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6"/>
                <w:szCs w:val="16"/>
                <w:color w:val="auto"/>
              </w:rPr>
              <w:t>(64.0)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assets</w:t>
            </w:r>
          </w:p>
        </w:tc>
        <w:tc>
          <w:tcPr>
            <w:tcW w:w="10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rPr>
              <w:t>COVID-19</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6,105</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5,068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1,037</w:t>
            </w:r>
          </w:p>
        </w:tc>
        <w:tc>
          <w:tcPr>
            <w:tcW w:w="1720" w:type="dxa"/>
            <w:vAlign w:val="bottom"/>
            <w:gridSpan w:val="2"/>
            <w:vMerge w:val="restart"/>
          </w:tcPr>
          <w:p>
            <w:pPr>
              <w:jc w:val="right"/>
              <w:ind w:right="406"/>
              <w:spacing w:after="0"/>
              <w:rPr>
                <w:sz w:val="20"/>
                <w:szCs w:val="20"/>
                <w:color w:val="auto"/>
              </w:rPr>
            </w:pPr>
            <w:r>
              <w:rPr>
                <w:rFonts w:ascii="Arial" w:cs="Arial" w:eastAsia="Arial" w:hAnsi="Arial"/>
                <w:sz w:val="16"/>
                <w:szCs w:val="16"/>
                <w:color w:val="auto"/>
              </w:rPr>
              <w:t>20.5</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line="206" w:lineRule="exact"/>
              <w:rPr>
                <w:sz w:val="20"/>
                <w:szCs w:val="20"/>
                <w:color w:val="auto"/>
              </w:rPr>
            </w:pPr>
            <w:r>
              <w:rPr>
                <w:rFonts w:ascii="Arial" w:cs="Arial" w:eastAsia="Arial" w:hAnsi="Arial"/>
                <w:sz w:val="16"/>
                <w:szCs w:val="16"/>
                <w:color w:val="auto"/>
              </w:rPr>
              <w:t>related expenses</w:t>
            </w:r>
            <w:r>
              <w:rPr>
                <w:rFonts w:ascii="Arial" w:cs="Arial" w:eastAsia="Arial" w:hAnsi="Arial"/>
                <w:sz w:val="20"/>
                <w:szCs w:val="20"/>
                <w:color w:val="auto"/>
                <w:vertAlign w:val="superscript"/>
              </w:rPr>
              <w:t>(3)</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CEEFF"/>
          </w:tcPr>
          <w:p>
            <w:pPr>
              <w:ind w:left="640"/>
              <w:spacing w:after="0" w:line="160" w:lineRule="exact"/>
              <w:rPr>
                <w:sz w:val="20"/>
                <w:szCs w:val="20"/>
                <w:color w:val="auto"/>
              </w:rPr>
            </w:pPr>
            <w:r>
              <w:rPr>
                <w:rFonts w:ascii="Arial" w:cs="Arial" w:eastAsia="Arial" w:hAnsi="Arial"/>
                <w:sz w:val="16"/>
                <w:szCs w:val="16"/>
                <w:color w:val="auto"/>
              </w:rPr>
              <w:t>Severance</w:t>
            </w:r>
          </w:p>
        </w:tc>
        <w:tc>
          <w:tcPr>
            <w:tcW w:w="10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2,627</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7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6"/>
                <w:szCs w:val="16"/>
                <w:color w:val="auto"/>
              </w:rPr>
              <w:t>(100.0)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costs</w:t>
            </w:r>
            <w:r>
              <w:rPr>
                <w:rFonts w:ascii="Arial" w:cs="Arial" w:eastAsia="Arial" w:hAnsi="Arial"/>
                <w:sz w:val="20"/>
                <w:szCs w:val="20"/>
                <w:color w:val="auto"/>
                <w:vertAlign w:val="superscript"/>
              </w:rPr>
              <w:t>(4)</w:t>
            </w:r>
          </w:p>
        </w:tc>
        <w:tc>
          <w:tcPr>
            <w:tcW w:w="10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rPr>
              <w:t>Lease</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1,500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(1,500)</w:t>
            </w:r>
          </w:p>
        </w:tc>
        <w:tc>
          <w:tcPr>
            <w:tcW w:w="1720" w:type="dxa"/>
            <w:vAlign w:val="bottom"/>
            <w:gridSpan w:val="2"/>
            <w:vMerge w:val="restart"/>
          </w:tcPr>
          <w:p>
            <w:pPr>
              <w:jc w:val="right"/>
              <w:ind w:right="366"/>
              <w:spacing w:after="0"/>
              <w:rPr>
                <w:sz w:val="20"/>
                <w:szCs w:val="20"/>
                <w:color w:val="auto"/>
              </w:rPr>
            </w:pPr>
            <w:r>
              <w:rPr>
                <w:rFonts w:ascii="Arial" w:cs="Arial" w:eastAsia="Arial" w:hAnsi="Arial"/>
                <w:sz w:val="16"/>
                <w:szCs w:val="16"/>
                <w:color w:val="auto"/>
              </w:rPr>
              <w:t>(100.0)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line="206" w:lineRule="exact"/>
              <w:rPr>
                <w:sz w:val="20"/>
                <w:szCs w:val="20"/>
                <w:color w:val="auto"/>
              </w:rPr>
            </w:pPr>
            <w:r>
              <w:rPr>
                <w:rFonts w:ascii="Arial" w:cs="Arial" w:eastAsia="Arial" w:hAnsi="Arial"/>
                <w:sz w:val="16"/>
                <w:szCs w:val="16"/>
                <w:color w:val="auto"/>
              </w:rPr>
              <w:t>termination costs</w:t>
            </w:r>
            <w:r>
              <w:rPr>
                <w:rFonts w:ascii="Arial" w:cs="Arial" w:eastAsia="Arial" w:hAnsi="Arial"/>
                <w:sz w:val="20"/>
                <w:szCs w:val="20"/>
                <w:color w:val="auto"/>
                <w:vertAlign w:val="superscript"/>
              </w:rPr>
              <w:t>(5)</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CEEFF"/>
          </w:tcPr>
          <w:p>
            <w:pPr>
              <w:ind w:left="640"/>
              <w:spacing w:after="0" w:line="160" w:lineRule="exact"/>
              <w:rPr>
                <w:sz w:val="20"/>
                <w:szCs w:val="20"/>
                <w:color w:val="auto"/>
              </w:rPr>
            </w:pPr>
            <w:r>
              <w:rPr>
                <w:rFonts w:ascii="Arial" w:cs="Arial" w:eastAsia="Arial" w:hAnsi="Arial"/>
                <w:sz w:val="16"/>
                <w:szCs w:val="16"/>
                <w:color w:val="auto"/>
                <w:w w:val="96"/>
              </w:rPr>
              <w:t>Natural disaster</w:t>
            </w:r>
          </w:p>
        </w:tc>
        <w:tc>
          <w:tcPr>
            <w:tcW w:w="10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442</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720" w:type="dxa"/>
            <w:vAlign w:val="bottom"/>
            <w:gridSpan w:val="2"/>
            <w:vMerge w:val="restart"/>
            <w:shd w:val="clear" w:color="auto" w:fill="CCEEFF"/>
          </w:tcPr>
          <w:p>
            <w:pPr>
              <w:jc w:val="right"/>
              <w:ind w:right="406"/>
              <w:spacing w:after="0"/>
              <w:rPr>
                <w:sz w:val="20"/>
                <w:szCs w:val="20"/>
                <w:color w:val="auto"/>
              </w:rPr>
            </w:pPr>
            <w:r>
              <w:rPr>
                <w:rFonts w:ascii="Arial" w:cs="Arial" w:eastAsia="Arial" w:hAnsi="Arial"/>
                <w:sz w:val="16"/>
                <w:szCs w:val="16"/>
                <w:color w:val="auto"/>
              </w:rPr>
              <w:t>100.0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costs</w:t>
            </w:r>
            <w:r>
              <w:rPr>
                <w:rFonts w:ascii="Arial" w:cs="Arial" w:eastAsia="Arial" w:hAnsi="Arial"/>
                <w:sz w:val="20"/>
                <w:szCs w:val="20"/>
                <w:color w:val="auto"/>
                <w:vertAlign w:val="superscript"/>
              </w:rPr>
              <w:t>(6)</w:t>
            </w:r>
          </w:p>
        </w:tc>
        <w:tc>
          <w:tcPr>
            <w:tcW w:w="10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rPr>
              <w:t>Contingent</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3,570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(3,570)</w:t>
            </w:r>
          </w:p>
        </w:tc>
        <w:tc>
          <w:tcPr>
            <w:tcW w:w="1720" w:type="dxa"/>
            <w:vAlign w:val="bottom"/>
            <w:gridSpan w:val="2"/>
            <w:vMerge w:val="restart"/>
          </w:tcPr>
          <w:p>
            <w:pPr>
              <w:jc w:val="right"/>
              <w:ind w:right="366"/>
              <w:spacing w:after="0"/>
              <w:rPr>
                <w:sz w:val="20"/>
                <w:szCs w:val="20"/>
                <w:color w:val="auto"/>
              </w:rPr>
            </w:pPr>
            <w:r>
              <w:rPr>
                <w:rFonts w:ascii="Arial" w:cs="Arial" w:eastAsia="Arial" w:hAnsi="Arial"/>
                <w:sz w:val="16"/>
                <w:szCs w:val="16"/>
                <w:color w:val="auto"/>
              </w:rPr>
              <w:t>(100.0)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6"/>
                <w:szCs w:val="16"/>
                <w:color w:val="auto"/>
              </w:rPr>
              <w:t>consideration</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CEEFF"/>
          </w:tcPr>
          <w:p>
            <w:pPr>
              <w:ind w:left="640"/>
              <w:spacing w:after="0" w:line="163" w:lineRule="exact"/>
              <w:rPr>
                <w:sz w:val="20"/>
                <w:szCs w:val="20"/>
                <w:color w:val="auto"/>
              </w:rPr>
            </w:pPr>
            <w:r>
              <w:rPr>
                <w:rFonts w:ascii="Arial" w:cs="Arial" w:eastAsia="Arial" w:hAnsi="Arial"/>
                <w:sz w:val="16"/>
                <w:szCs w:val="16"/>
                <w:color w:val="auto"/>
                <w:w w:val="92"/>
              </w:rPr>
              <w:t>Phantom shares</w:t>
            </w:r>
          </w:p>
        </w:tc>
        <w:tc>
          <w:tcPr>
            <w:tcW w:w="10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129,362</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720" w:type="dxa"/>
            <w:vAlign w:val="bottom"/>
            <w:gridSpan w:val="2"/>
            <w:vMerge w:val="restart"/>
            <w:shd w:val="clear" w:color="auto" w:fill="CCEEFF"/>
          </w:tcPr>
          <w:p>
            <w:pPr>
              <w:jc w:val="right"/>
              <w:ind w:right="406"/>
              <w:spacing w:after="0"/>
              <w:rPr>
                <w:sz w:val="20"/>
                <w:szCs w:val="20"/>
                <w:color w:val="auto"/>
              </w:rPr>
            </w:pPr>
            <w:r>
              <w:rPr>
                <w:rFonts w:ascii="Arial" w:cs="Arial" w:eastAsia="Arial" w:hAnsi="Arial"/>
                <w:sz w:val="16"/>
                <w:szCs w:val="16"/>
                <w:color w:val="auto"/>
              </w:rPr>
              <w:t>100.0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bonus</w:t>
            </w:r>
            <w:r>
              <w:rPr>
                <w:rFonts w:ascii="Arial" w:cs="Arial" w:eastAsia="Arial" w:hAnsi="Arial"/>
                <w:sz w:val="20"/>
                <w:szCs w:val="20"/>
                <w:color w:val="auto"/>
                <w:vertAlign w:val="superscript"/>
              </w:rPr>
              <w:t>(7)</w:t>
            </w:r>
          </w:p>
        </w:tc>
        <w:tc>
          <w:tcPr>
            <w:tcW w:w="10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w w:val="99"/>
              </w:rPr>
              <w:t>Teammate IPO</w:t>
            </w:r>
          </w:p>
        </w:tc>
        <w:tc>
          <w:tcPr>
            <w:tcW w:w="1040" w:type="dxa"/>
            <w:vAlign w:val="bottom"/>
          </w:tcPr>
          <w:p>
            <w:pPr>
              <w:spacing w:after="0"/>
              <w:rPr>
                <w:sz w:val="13"/>
                <w:szCs w:val="13"/>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4,361</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4,361</w:t>
            </w:r>
          </w:p>
        </w:tc>
        <w:tc>
          <w:tcPr>
            <w:tcW w:w="1720" w:type="dxa"/>
            <w:vAlign w:val="bottom"/>
            <w:gridSpan w:val="2"/>
            <w:vMerge w:val="restart"/>
          </w:tcPr>
          <w:p>
            <w:pPr>
              <w:jc w:val="right"/>
              <w:ind w:right="406"/>
              <w:spacing w:after="0"/>
              <w:rPr>
                <w:sz w:val="20"/>
                <w:szCs w:val="20"/>
                <w:color w:val="auto"/>
              </w:rPr>
            </w:pPr>
            <w:r>
              <w:rPr>
                <w:rFonts w:ascii="Arial" w:cs="Arial" w:eastAsia="Arial" w:hAnsi="Arial"/>
                <w:sz w:val="16"/>
                <w:szCs w:val="16"/>
                <w:color w:val="auto"/>
              </w:rPr>
              <w:t>100.0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line="206" w:lineRule="exact"/>
              <w:rPr>
                <w:sz w:val="20"/>
                <w:szCs w:val="20"/>
                <w:color w:val="auto"/>
              </w:rPr>
            </w:pPr>
            <w:r>
              <w:rPr>
                <w:rFonts w:ascii="Arial" w:cs="Arial" w:eastAsia="Arial" w:hAnsi="Arial"/>
                <w:sz w:val="16"/>
                <w:szCs w:val="16"/>
                <w:color w:val="auto"/>
              </w:rPr>
              <w:t>bonus</w:t>
            </w:r>
            <w:r>
              <w:rPr>
                <w:rFonts w:ascii="Arial" w:cs="Arial" w:eastAsia="Arial" w:hAnsi="Arial"/>
                <w:sz w:val="20"/>
                <w:szCs w:val="20"/>
                <w:color w:val="auto"/>
                <w:vertAlign w:val="superscript"/>
              </w:rPr>
              <w:t>(8)</w:t>
            </w:r>
          </w:p>
        </w:tc>
        <w:tc>
          <w:tcPr>
            <w:tcW w:w="10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CEEFF"/>
          </w:tcPr>
          <w:p>
            <w:pPr>
              <w:ind w:left="640"/>
              <w:spacing w:after="0" w:line="160" w:lineRule="exact"/>
              <w:rPr>
                <w:sz w:val="20"/>
                <w:szCs w:val="20"/>
                <w:color w:val="auto"/>
              </w:rPr>
            </w:pPr>
            <w:r>
              <w:rPr>
                <w:rFonts w:ascii="Arial" w:cs="Arial" w:eastAsia="Arial" w:hAnsi="Arial"/>
                <w:sz w:val="16"/>
                <w:szCs w:val="16"/>
                <w:color w:val="auto"/>
              </w:rPr>
              <w:t>Stock-based</w:t>
            </w:r>
          </w:p>
        </w:tc>
        <w:tc>
          <w:tcPr>
            <w:tcW w:w="10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25,014</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25,014</w:t>
            </w:r>
          </w:p>
        </w:tc>
        <w:tc>
          <w:tcPr>
            <w:tcW w:w="1720" w:type="dxa"/>
            <w:vAlign w:val="bottom"/>
            <w:gridSpan w:val="2"/>
            <w:vMerge w:val="restart"/>
            <w:shd w:val="clear" w:color="auto" w:fill="CCEEFF"/>
          </w:tcPr>
          <w:p>
            <w:pPr>
              <w:jc w:val="right"/>
              <w:ind w:right="406"/>
              <w:spacing w:after="0"/>
              <w:rPr>
                <w:sz w:val="20"/>
                <w:szCs w:val="20"/>
                <w:color w:val="auto"/>
              </w:rPr>
            </w:pPr>
            <w:r>
              <w:rPr>
                <w:rFonts w:ascii="Arial" w:cs="Arial" w:eastAsia="Arial" w:hAnsi="Arial"/>
                <w:sz w:val="16"/>
                <w:szCs w:val="16"/>
                <w:color w:val="auto"/>
              </w:rPr>
              <w:t>100.0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w w:val="93"/>
              </w:rPr>
              <w:t>compensation expense</w:t>
            </w:r>
            <w:r>
              <w:rPr>
                <w:rFonts w:ascii="Arial" w:cs="Arial" w:eastAsia="Arial" w:hAnsi="Arial"/>
                <w:sz w:val="20"/>
                <w:szCs w:val="20"/>
                <w:color w:val="auto"/>
                <w:w w:val="93"/>
                <w:vertAlign w:val="superscript"/>
              </w:rPr>
              <w:t>(9)</w:t>
            </w:r>
          </w:p>
        </w:tc>
        <w:tc>
          <w:tcPr>
            <w:tcW w:w="10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640"/>
              <w:spacing w:after="0" w:line="160" w:lineRule="exact"/>
              <w:rPr>
                <w:sz w:val="20"/>
                <w:szCs w:val="20"/>
                <w:color w:val="auto"/>
              </w:rPr>
            </w:pPr>
            <w:r>
              <w:rPr>
                <w:rFonts w:ascii="Arial" w:cs="Arial" w:eastAsia="Arial" w:hAnsi="Arial"/>
                <w:sz w:val="16"/>
                <w:szCs w:val="16"/>
                <w:color w:val="auto"/>
              </w:rPr>
              <w:t>Tax impacts of</w:t>
            </w:r>
          </w:p>
        </w:tc>
        <w:tc>
          <w:tcPr>
            <w:tcW w:w="10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(16,072)</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(16,072)</w:t>
            </w:r>
          </w:p>
        </w:tc>
        <w:tc>
          <w:tcPr>
            <w:tcW w:w="1720" w:type="dxa"/>
            <w:vAlign w:val="bottom"/>
            <w:gridSpan w:val="2"/>
            <w:vMerge w:val="restart"/>
          </w:tcPr>
          <w:p>
            <w:pPr>
              <w:jc w:val="right"/>
              <w:ind w:right="366"/>
              <w:spacing w:after="0"/>
              <w:rPr>
                <w:sz w:val="20"/>
                <w:szCs w:val="20"/>
                <w:color w:val="auto"/>
              </w:rPr>
            </w:pPr>
            <w:r>
              <w:rPr>
                <w:rFonts w:ascii="Arial" w:cs="Arial" w:eastAsia="Arial" w:hAnsi="Arial"/>
                <w:sz w:val="16"/>
                <w:szCs w:val="16"/>
                <w:color w:val="auto"/>
              </w:rPr>
              <w:t>(100.0)</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6"/>
                <w:szCs w:val="16"/>
                <w:color w:val="auto"/>
              </w:rPr>
              <w:t>adjustments</w:t>
            </w:r>
            <w:r>
              <w:rPr>
                <w:rFonts w:ascii="Arial" w:cs="Arial" w:eastAsia="Arial" w:hAnsi="Arial"/>
                <w:sz w:val="20"/>
                <w:szCs w:val="20"/>
                <w:color w:val="auto"/>
                <w:vertAlign w:val="superscript"/>
              </w:rPr>
              <w:t>(10)</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CCEEFF"/>
            </w:tcBorders>
            <w:gridSpan w:val="2"/>
            <w:vMerge w:val="continue"/>
          </w:tcPr>
          <w:p>
            <w:pPr>
              <w:spacing w:after="0"/>
              <w:rPr>
                <w:sz w:val="17"/>
                <w:szCs w:val="17"/>
                <w:color w:val="auto"/>
              </w:rPr>
            </w:pPr>
          </w:p>
        </w:tc>
        <w:tc>
          <w:tcPr>
            <w:tcW w:w="3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860"/>
              <w:spacing w:after="0" w:line="140" w:lineRule="exact"/>
              <w:rPr>
                <w:sz w:val="20"/>
                <w:szCs w:val="20"/>
                <w:color w:val="auto"/>
              </w:rPr>
            </w:pPr>
            <w:r>
              <w:rPr>
                <w:rFonts w:ascii="Arial" w:cs="Arial" w:eastAsia="Arial" w:hAnsi="Arial"/>
                <w:sz w:val="16"/>
                <w:szCs w:val="16"/>
                <w:color w:val="auto"/>
                <w:w w:val="93"/>
              </w:rPr>
              <w:t>Adjusted Net</w:t>
            </w:r>
          </w:p>
        </w:tc>
        <w:tc>
          <w:tcPr>
            <w:tcW w:w="104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92,327</w:t>
            </w:r>
          </w:p>
        </w:tc>
        <w:tc>
          <w:tcPr>
            <w:tcW w:w="214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w w:val="93"/>
              </w:rPr>
              <w:t>49,341</w:t>
            </w:r>
          </w:p>
        </w:tc>
        <w:tc>
          <w:tcPr>
            <w:tcW w:w="15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42,986</w:t>
            </w:r>
          </w:p>
        </w:tc>
        <w:tc>
          <w:tcPr>
            <w:tcW w:w="1720" w:type="dxa"/>
            <w:vAlign w:val="bottom"/>
            <w:gridSpan w:val="2"/>
            <w:vMerge w:val="restart"/>
            <w:shd w:val="clear" w:color="auto" w:fill="CCEEFF"/>
          </w:tcPr>
          <w:p>
            <w:pPr>
              <w:jc w:val="right"/>
              <w:ind w:right="406"/>
              <w:spacing w:after="0"/>
              <w:rPr>
                <w:sz w:val="20"/>
                <w:szCs w:val="20"/>
                <w:color w:val="auto"/>
              </w:rPr>
            </w:pPr>
            <w:r>
              <w:rPr>
                <w:rFonts w:ascii="Arial" w:cs="Arial" w:eastAsia="Arial" w:hAnsi="Arial"/>
                <w:sz w:val="16"/>
                <w:szCs w:val="16"/>
                <w:color w:val="auto"/>
              </w:rPr>
              <w:t>87.1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740" w:type="dxa"/>
            <w:vAlign w:val="bottom"/>
            <w:shd w:val="clear" w:color="auto" w:fill="CCEEFF"/>
          </w:tcPr>
          <w:p>
            <w:pPr>
              <w:ind w:left="240"/>
              <w:spacing w:after="0" w:line="180" w:lineRule="exact"/>
              <w:rPr>
                <w:sz w:val="20"/>
                <w:szCs w:val="20"/>
                <w:color w:val="auto"/>
              </w:rPr>
            </w:pPr>
            <w:r>
              <w:rPr>
                <w:rFonts w:ascii="Arial" w:cs="Arial" w:eastAsia="Arial" w:hAnsi="Arial"/>
                <w:sz w:val="16"/>
                <w:szCs w:val="16"/>
                <w:color w:val="auto"/>
              </w:rPr>
              <w:t>Income</w:t>
            </w:r>
          </w:p>
        </w:tc>
        <w:tc>
          <w:tcPr>
            <w:tcW w:w="10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1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540" w:type="dxa"/>
            <w:vAlign w:val="bottom"/>
            <w:gridSpan w:val="3"/>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7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640"/>
              <w:spacing w:after="0" w:line="146" w:lineRule="exact"/>
              <w:rPr>
                <w:sz w:val="20"/>
                <w:szCs w:val="20"/>
                <w:color w:val="auto"/>
              </w:rPr>
            </w:pPr>
            <w:r>
              <w:rPr>
                <w:rFonts w:ascii="Arial" w:cs="Arial" w:eastAsia="Arial" w:hAnsi="Arial"/>
                <w:sz w:val="16"/>
                <w:szCs w:val="16"/>
                <w:color w:val="auto"/>
              </w:rPr>
              <w:t>Net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vMerge w:val="restart"/>
          </w:tcPr>
          <w:p>
            <w:pPr>
              <w:jc w:val="right"/>
              <w:ind w:right="262"/>
              <w:spacing w:after="0"/>
              <w:rPr>
                <w:sz w:val="20"/>
                <w:szCs w:val="20"/>
                <w:color w:val="auto"/>
              </w:rPr>
            </w:pPr>
            <w:r>
              <w:rPr>
                <w:rFonts w:ascii="Arial" w:cs="Arial" w:eastAsia="Arial" w:hAnsi="Arial"/>
                <w:sz w:val="16"/>
                <w:szCs w:val="16"/>
                <w:color w:val="auto"/>
              </w:rPr>
              <w:t>6.2</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line="206" w:lineRule="exact"/>
              <w:rPr>
                <w:sz w:val="20"/>
                <w:szCs w:val="20"/>
                <w:color w:val="auto"/>
              </w:rPr>
            </w:pPr>
            <w:r>
              <w:rPr>
                <w:rFonts w:ascii="Arial" w:cs="Arial" w:eastAsia="Arial" w:hAnsi="Arial"/>
                <w:sz w:val="16"/>
                <w:szCs w:val="16"/>
                <w:color w:val="auto"/>
              </w:rPr>
              <w:t>(Loss) Margin</w:t>
            </w:r>
            <w:r>
              <w:rPr>
                <w:rFonts w:ascii="Arial" w:cs="Arial" w:eastAsia="Arial" w:hAnsi="Arial"/>
                <w:sz w:val="20"/>
                <w:szCs w:val="20"/>
                <w:color w:val="auto"/>
                <w:vertAlign w:val="superscript"/>
              </w:rPr>
              <w:t>(11)</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740" w:type="dxa"/>
            <w:vAlign w:val="bottom"/>
            <w:shd w:val="clear" w:color="auto" w:fill="CCEEFF"/>
          </w:tcPr>
          <w:p>
            <w:pPr>
              <w:ind w:left="640"/>
              <w:spacing w:after="0" w:line="140" w:lineRule="exact"/>
              <w:rPr>
                <w:sz w:val="20"/>
                <w:szCs w:val="20"/>
                <w:color w:val="auto"/>
              </w:rPr>
            </w:pPr>
            <w:r>
              <w:rPr>
                <w:rFonts w:ascii="Arial" w:cs="Arial" w:eastAsia="Arial" w:hAnsi="Arial"/>
                <w:sz w:val="16"/>
                <w:szCs w:val="16"/>
                <w:color w:val="auto"/>
              </w:rPr>
              <w:t>Adjusted Net</w:t>
            </w:r>
          </w:p>
        </w:tc>
        <w:tc>
          <w:tcPr>
            <w:tcW w:w="10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17.3</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color w:val="auto"/>
              </w:rPr>
              <w:t>14.5</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6" w:lineRule="exact"/>
              <w:rPr>
                <w:sz w:val="20"/>
                <w:szCs w:val="20"/>
                <w:color w:val="auto"/>
              </w:rPr>
            </w:pPr>
            <w:r>
              <w:rPr>
                <w:rFonts w:ascii="Arial" w:cs="Arial" w:eastAsia="Arial" w:hAnsi="Arial"/>
                <w:sz w:val="16"/>
                <w:szCs w:val="16"/>
                <w:color w:val="auto"/>
              </w:rPr>
              <w:t>Income Margin</w:t>
            </w:r>
            <w:r>
              <w:rPr>
                <w:rFonts w:ascii="Arial" w:cs="Arial" w:eastAsia="Arial" w:hAnsi="Arial"/>
                <w:sz w:val="20"/>
                <w:szCs w:val="20"/>
                <w:color w:val="auto"/>
                <w:vertAlign w:val="superscript"/>
              </w:rPr>
              <w:t>(11)</w:t>
            </w:r>
          </w:p>
        </w:tc>
        <w:tc>
          <w:tcPr>
            <w:tcW w:w="10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8"/>
        <w:spacing w:after="0"/>
        <w:tabs>
          <w:tab w:leader="none" w:pos="460" w:val="left"/>
        </w:tabs>
        <w:numPr>
          <w:ilvl w:val="0"/>
          <w:numId w:val="8"/>
        </w:numPr>
        <w:rPr>
          <w:rFonts w:ascii="Arial" w:cs="Arial" w:eastAsia="Arial" w:hAnsi="Arial"/>
          <w:sz w:val="28"/>
          <w:szCs w:val="28"/>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6" w:lineRule="exact"/>
        <w:rPr>
          <w:rFonts w:ascii="Arial" w:cs="Arial" w:eastAsia="Arial" w:hAnsi="Arial"/>
          <w:sz w:val="28"/>
          <w:szCs w:val="28"/>
          <w:color w:val="auto"/>
          <w:vertAlign w:val="superscript"/>
        </w:rPr>
      </w:pPr>
    </w:p>
    <w:p>
      <w:pPr>
        <w:ind w:left="460" w:right="20" w:hanging="438"/>
        <w:spacing w:after="0" w:line="22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Realized and unrealized foreign currency losses include the effect of fair market value changes of forward contracts and remeasurement of U.S. dollar-denominated accounts to foreign currency.</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21"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w:t>
      </w:r>
    </w:p>
    <w:p>
      <w:pPr>
        <w:spacing w:after="0" w:line="21"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tax impacts of adjustments to net income (loss) which resulted in a tax benefit during the period. These adjustments include phantom shares bonus related to the IPO and stock-based compensation expense after the IPO.</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Net Income (Loss) Margin represents net income (loss) divided by service revenue and Adjusted Net Income Margin represents Adjusted Net Income divided by service revenue.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EPS</w:t>
      </w:r>
    </w:p>
    <w:p>
      <w:pPr>
        <w:spacing w:after="0" w:line="118"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(loss)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reconciles GAAP diluted EPS, the most directly comparable GAAP measure, to Adjusted EPS for the three and nine months ended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1"/>
        </w:trPr>
        <w:tc>
          <w:tcPr>
            <w:tcW w:w="52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EPS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09"/>
        </w:trPr>
        <w:tc>
          <w:tcPr>
            <w:tcW w:w="5280" w:type="dxa"/>
            <w:vAlign w:val="bottom"/>
          </w:tcPr>
          <w:p>
            <w:pPr>
              <w:ind w:left="20"/>
              <w:spacing w:after="0" w:line="209" w:lineRule="exact"/>
              <w:rPr>
                <w:sz w:val="20"/>
                <w:szCs w:val="20"/>
                <w:color w:val="auto"/>
              </w:rPr>
            </w:pPr>
            <w:r>
              <w:rPr>
                <w:rFonts w:ascii="Arial" w:cs="Arial" w:eastAsia="Arial" w:hAnsi="Arial"/>
                <w:sz w:val="16"/>
                <w:szCs w:val="16"/>
                <w:color w:val="auto"/>
              </w:rPr>
              <w:t>Per share adjustments to net income (loss)</w:t>
            </w:r>
            <w:r>
              <w:rPr>
                <w:rFonts w:ascii="Arial" w:cs="Arial" w:eastAsia="Arial" w:hAnsi="Arial"/>
                <w:sz w:val="20"/>
                <w:szCs w:val="20"/>
                <w:color w:val="auto"/>
                <w:vertAlign w:val="superscript"/>
              </w:rPr>
              <w:t>(1)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09"/>
        </w:trPr>
        <w:tc>
          <w:tcPr>
            <w:tcW w:w="528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Per share adjustments for GAAP anti-dilutive shares</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280" w:type="dxa"/>
            <w:vAlign w:val="bottom"/>
          </w:tcPr>
          <w:p>
            <w:pPr>
              <w:ind w:left="240"/>
              <w:spacing w:after="0" w:line="183" w:lineRule="exact"/>
              <w:rPr>
                <w:sz w:val="20"/>
                <w:szCs w:val="20"/>
                <w:color w:val="auto"/>
              </w:rPr>
            </w:pPr>
            <w:r>
              <w:rPr>
                <w:rFonts w:ascii="Arial" w:cs="Arial" w:eastAsia="Arial" w:hAnsi="Arial"/>
                <w:sz w:val="16"/>
                <w:szCs w:val="16"/>
                <w:color w:val="auto"/>
              </w:rPr>
              <w:t>Adjusted EPS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5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109,426,011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93,994,896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91,737,020</w:t>
            </w:r>
          </w:p>
        </w:tc>
      </w:tr>
      <w:tr>
        <w:trPr>
          <w:trHeight w:val="212"/>
        </w:trPr>
        <w:tc>
          <w:tcPr>
            <w:tcW w:w="52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GAAP anti-dilutive shares</w:t>
            </w:r>
            <w:r>
              <w:rPr>
                <w:rFonts w:ascii="Arial" w:cs="Arial" w:eastAsia="Arial" w:hAnsi="Arial"/>
                <w:sz w:val="20"/>
                <w:szCs w:val="20"/>
                <w:color w:val="auto"/>
                <w:vertAlign w:val="superscript"/>
              </w:rPr>
              <w:t>(2)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5,578,525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280" w:type="dxa"/>
            <w:vAlign w:val="bottom"/>
          </w:tcPr>
          <w:p>
            <w:pPr>
              <w:ind w:left="240"/>
              <w:spacing w:after="0" w:line="183" w:lineRule="exact"/>
              <w:rPr>
                <w:sz w:val="20"/>
                <w:szCs w:val="20"/>
                <w:color w:val="auto"/>
              </w:rPr>
            </w:pPr>
            <w:r>
              <w:rPr>
                <w:rFonts w:ascii="Arial" w:cs="Arial" w:eastAsia="Arial" w:hAnsi="Arial"/>
                <w:sz w:val="16"/>
                <w:szCs w:val="16"/>
                <w:color w:val="auto"/>
              </w:rPr>
              <w:t>Adjusted weighted-average shares outstanding</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109,426,011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91,737,020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99,573,421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91,737,020</w:t>
            </w:r>
          </w:p>
        </w:tc>
      </w:tr>
      <w:tr>
        <w:trPr>
          <w:trHeight w:val="22"/>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60" w:right="20" w:hanging="438"/>
        <w:spacing w:after="0" w:line="184" w:lineRule="auto"/>
        <w:tabs>
          <w:tab w:leader="none" w:pos="460" w:val="left"/>
        </w:tabs>
        <w:numPr>
          <w:ilvl w:val="0"/>
          <w:numId w:val="9"/>
        </w:numPr>
        <w:rPr>
          <w:rFonts w:ascii="Arial" w:cs="Arial" w:eastAsia="Arial" w:hAnsi="Arial"/>
          <w:sz w:val="23"/>
          <w:szCs w:val="23"/>
          <w:color w:val="auto"/>
          <w:vertAlign w:val="superscript"/>
        </w:rPr>
      </w:pPr>
      <w:r>
        <w:rPr>
          <w:rFonts w:ascii="Arial" w:cs="Arial" w:eastAsia="Arial" w:hAnsi="Arial"/>
          <w:sz w:val="12"/>
          <w:szCs w:val="12"/>
          <w:color w:val="auto"/>
        </w:rPr>
        <w:t>Reflects the aggregate adjustments made to reconcile net income (loss) to Adjusted Net Income, as noted in the above table, divided by the GAAP diluted weighted-average number of shares outstanding for the relevant period.</w:t>
      </w:r>
    </w:p>
    <w:p>
      <w:pPr>
        <w:spacing w:after="0" w:line="5" w:lineRule="exact"/>
        <w:rPr>
          <w:rFonts w:ascii="Arial" w:cs="Arial" w:eastAsia="Arial" w:hAnsi="Arial"/>
          <w:sz w:val="23"/>
          <w:szCs w:val="23"/>
          <w:color w:val="auto"/>
          <w:vertAlign w:val="superscript"/>
        </w:rPr>
      </w:pPr>
    </w:p>
    <w:p>
      <w:pPr>
        <w:ind w:left="460" w:right="20" w:hanging="438"/>
        <w:spacing w:after="0" w:line="230"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75"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the effect of foreign currency gains and losses, losses on disposals of assets, COVID-19 related expenses, severance costs, lease termination costs, natural disaster costs, contingent consideration, one-time payments associated with the IPO and stock-based compensation expense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66"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following table reconciles net income, the most directly comparable GAAP measure, to EBITDA and Adjusted EBITDA for the three months ended September 30, 2021 and 2020: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06"/>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11,636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11,456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1,656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(35.4)%</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expenses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7,422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100.8 %</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4,711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9"/>
        </w:trPr>
        <w:tc>
          <w:tcPr>
            <w:tcW w:w="5040" w:type="dxa"/>
            <w:vAlign w:val="bottom"/>
          </w:tcPr>
          <w:p>
            <w:pPr>
              <w:ind w:left="240"/>
              <w:spacing w:after="0"/>
              <w:rPr>
                <w:sz w:val="20"/>
                <w:szCs w:val="20"/>
                <w:color w:val="auto"/>
              </w:rPr>
            </w:pPr>
            <w:r>
              <w:rPr>
                <w:rFonts w:ascii="Arial" w:cs="Arial" w:eastAsia="Arial" w:hAnsi="Arial"/>
                <w:sz w:val="16"/>
                <w:szCs w:val="16"/>
                <w:color w:val="auto"/>
              </w:rPr>
              <w:t>EBITDA</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27,058</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24,074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2,984</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12.4 %</w:t>
            </w:r>
          </w:p>
        </w:tc>
      </w:tr>
      <w:tr>
        <w:trPr>
          <w:trHeight w:val="212"/>
        </w:trPr>
        <w:tc>
          <w:tcPr>
            <w:tcW w:w="50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Offering costs</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26.8 %</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Foreign currency losses</w:t>
            </w:r>
            <w:r>
              <w:rPr>
                <w:rFonts w:ascii="Arial" w:cs="Arial" w:eastAsia="Arial" w:hAnsi="Arial"/>
                <w:sz w:val="20"/>
                <w:szCs w:val="20"/>
                <w:color w:val="auto"/>
                <w:vertAlign w:val="superscript"/>
              </w:rPr>
              <w:t>(2)</w:t>
            </w:r>
          </w:p>
        </w:tc>
        <w:tc>
          <w:tcPr>
            <w:tcW w:w="3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1,285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101.7 %</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COVID-19 related expenses</w:t>
            </w:r>
            <w:r>
              <w:rPr>
                <w:rFonts w:ascii="Arial" w:cs="Arial" w:eastAsia="Arial" w:hAnsi="Arial"/>
                <w:sz w:val="20"/>
                <w:szCs w:val="20"/>
                <w:color w:val="auto"/>
                <w:vertAlign w:val="superscript"/>
              </w:rPr>
              <w:t>(3)</w:t>
            </w: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(1,309)</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Severance costs</w:t>
            </w:r>
            <w:r>
              <w:rPr>
                <w:rFonts w:ascii="Arial" w:cs="Arial" w:eastAsia="Arial" w:hAnsi="Arial"/>
                <w:sz w:val="20"/>
                <w:szCs w:val="20"/>
                <w:color w:val="auto"/>
                <w:vertAlign w:val="superscript"/>
              </w:rPr>
              <w:t>(4)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Lease termination costs</w:t>
            </w:r>
            <w:r>
              <w:rPr>
                <w:rFonts w:ascii="Arial" w:cs="Arial" w:eastAsia="Arial" w:hAnsi="Arial"/>
                <w:sz w:val="20"/>
                <w:szCs w:val="20"/>
                <w:color w:val="auto"/>
                <w:vertAlign w:val="superscript"/>
              </w:rPr>
              <w:t>(5)</w:t>
            </w: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0"/>
                <w:szCs w:val="20"/>
                <w:color w:val="auto"/>
                <w:vertAlign w:val="superscript"/>
              </w:rPr>
              <w:t>(6)</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19,243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2"/>
        </w:trPr>
        <w:tc>
          <w:tcPr>
            <w:tcW w:w="504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48,100</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30,117</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17,983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59.7 %</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1"/>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Net Income Margin</w:t>
            </w:r>
            <w:r>
              <w:rPr>
                <w:rFonts w:ascii="Arial" w:cs="Arial" w:eastAsia="Arial" w:hAnsi="Arial"/>
                <w:sz w:val="20"/>
                <w:szCs w:val="20"/>
                <w:color w:val="auto"/>
                <w:vertAlign w:val="superscript"/>
              </w:rPr>
              <w:t>(7)</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2"/>
        </w:trPr>
        <w:tc>
          <w:tcPr>
            <w:tcW w:w="5040" w:type="dxa"/>
            <w:vAlign w:val="bottom"/>
          </w:tcPr>
          <w:p>
            <w:pPr>
              <w:ind w:left="20"/>
              <w:spacing w:after="0" w:line="202"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0"/>
                <w:szCs w:val="20"/>
                <w:color w:val="auto"/>
                <w:vertAlign w:val="superscript"/>
              </w:rPr>
              <w:t>(7)</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28"/>
          <w:szCs w:val="28"/>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6" w:lineRule="exact"/>
        <w:rPr>
          <w:rFonts w:ascii="Arial" w:cs="Arial" w:eastAsia="Arial" w:hAnsi="Arial"/>
          <w:sz w:val="28"/>
          <w:szCs w:val="28"/>
          <w:color w:val="auto"/>
          <w:vertAlign w:val="superscript"/>
        </w:rPr>
      </w:pPr>
    </w:p>
    <w:p>
      <w:pPr>
        <w:ind w:left="460" w:right="20" w:hanging="438"/>
        <w:spacing w:after="0" w:line="221"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Realized and unrealized foreign currency losses include the effect of fair market value changes of forward contracts and remeasurement of U.S. dollar-denominated accounts to foreign currency.</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Net Income Margin represents Adjusted Net Income divided by service revenue.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reconciles net income, the most directly comparable GAAP measure, to EBITDA and Adjusted EBITDA for the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06"/>
              <w:spacing w:after="0"/>
              <w:rPr>
                <w:sz w:val="20"/>
                <w:szCs w:val="20"/>
                <w:color w:val="auto"/>
              </w:rPr>
            </w:pPr>
            <w:r>
              <w:rPr>
                <w:rFonts w:ascii="Arial" w:cs="Arial" w:eastAsia="Arial" w:hAnsi="Arial"/>
                <w:sz w:val="14"/>
                <w:szCs w:val="14"/>
                <w:b w:val="1"/>
                <w:bCs w:val="1"/>
                <w:color w:val="auto"/>
              </w:rPr>
              <w:t>Period over Period Change</w:t>
            </w:r>
          </w:p>
        </w:tc>
      </w:tr>
      <w:tr>
        <w:trPr>
          <w:trHeight w:val="18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(77,800)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20,979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(98,779)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(470.8)%</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(1,805)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(6,337)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(139.8)%</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expenses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7"/>
                <w:szCs w:val="17"/>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20,354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14,225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6,129</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43.1 %</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14,135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14,135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9"/>
        </w:trPr>
        <w:tc>
          <w:tcPr>
            <w:tcW w:w="5040" w:type="dxa"/>
            <w:vAlign w:val="bottom"/>
          </w:tcPr>
          <w:p>
            <w:pPr>
              <w:ind w:left="240"/>
              <w:spacing w:after="0"/>
              <w:rPr>
                <w:sz w:val="20"/>
                <w:szCs w:val="20"/>
                <w:color w:val="auto"/>
              </w:rPr>
            </w:pPr>
            <w:r>
              <w:rPr>
                <w:rFonts w:ascii="Arial" w:cs="Arial" w:eastAsia="Arial" w:hAnsi="Arial"/>
                <w:sz w:val="16"/>
                <w:szCs w:val="16"/>
                <w:color w:val="auto"/>
              </w:rPr>
              <w:t>EBITDA</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(40,308)</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59,720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(100,028)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(167.5)%</w:t>
            </w:r>
          </w:p>
        </w:tc>
      </w:tr>
      <w:tr>
        <w:trPr>
          <w:trHeight w:val="212"/>
        </w:trPr>
        <w:tc>
          <w:tcPr>
            <w:tcW w:w="50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Offering costs</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6,249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1,523.1 %</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Foreign currency losses</w:t>
            </w:r>
            <w:r>
              <w:rPr>
                <w:rFonts w:ascii="Arial" w:cs="Arial" w:eastAsia="Arial" w:hAnsi="Arial"/>
                <w:sz w:val="20"/>
                <w:szCs w:val="20"/>
                <w:color w:val="auto"/>
                <w:vertAlign w:val="superscript"/>
              </w:rPr>
              <w:t>(2)</w:t>
            </w:r>
          </w:p>
        </w:tc>
        <w:tc>
          <w:tcPr>
            <w:tcW w:w="3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(48.5)%</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COVID-19 related expenses</w:t>
            </w:r>
            <w:r>
              <w:rPr>
                <w:rFonts w:ascii="Arial" w:cs="Arial" w:eastAsia="Arial" w:hAnsi="Arial"/>
                <w:sz w:val="20"/>
                <w:szCs w:val="20"/>
                <w:color w:val="auto"/>
                <w:vertAlign w:val="superscript"/>
              </w:rPr>
              <w:t>(3)</w:t>
            </w:r>
          </w:p>
        </w:tc>
        <w:tc>
          <w:tcPr>
            <w:tcW w:w="3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6,105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20.5 %</w:t>
            </w: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Severance costs</w:t>
            </w:r>
            <w:r>
              <w:rPr>
                <w:rFonts w:ascii="Arial" w:cs="Arial" w:eastAsia="Arial" w:hAnsi="Arial"/>
                <w:sz w:val="20"/>
                <w:szCs w:val="20"/>
                <w:color w:val="auto"/>
                <w:vertAlign w:val="superscript"/>
              </w:rPr>
              <w:t>(4)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Lease termination costs</w:t>
            </w:r>
            <w:r>
              <w:rPr>
                <w:rFonts w:ascii="Arial" w:cs="Arial" w:eastAsia="Arial" w:hAnsi="Arial"/>
                <w:sz w:val="20"/>
                <w:szCs w:val="20"/>
                <w:color w:val="auto"/>
                <w:vertAlign w:val="superscript"/>
              </w:rPr>
              <w:t>(5)</w:t>
            </w:r>
          </w:p>
        </w:tc>
        <w:tc>
          <w:tcPr>
            <w:tcW w:w="3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Natural disaster costs</w:t>
            </w:r>
            <w:r>
              <w:rPr>
                <w:rFonts w:ascii="Arial" w:cs="Arial" w:eastAsia="Arial" w:hAnsi="Arial"/>
                <w:sz w:val="20"/>
                <w:szCs w:val="20"/>
                <w:color w:val="auto"/>
                <w:vertAlign w:val="superscript"/>
              </w:rPr>
              <w:t>(6)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504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Phantom shares bonus</w:t>
            </w:r>
            <w:r>
              <w:rPr>
                <w:rFonts w:ascii="Arial" w:cs="Arial" w:eastAsia="Arial" w:hAnsi="Arial"/>
                <w:sz w:val="20"/>
                <w:szCs w:val="20"/>
                <w:color w:val="auto"/>
                <w:vertAlign w:val="superscript"/>
              </w:rPr>
              <w:t>(7)</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129,362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9"/>
        </w:trPr>
        <w:tc>
          <w:tcPr>
            <w:tcW w:w="5040" w:type="dxa"/>
            <w:vAlign w:val="bottom"/>
          </w:tcPr>
          <w:p>
            <w:pPr>
              <w:ind w:left="20"/>
              <w:spacing w:after="0" w:line="209" w:lineRule="exact"/>
              <w:rPr>
                <w:sz w:val="20"/>
                <w:szCs w:val="20"/>
                <w:color w:val="auto"/>
              </w:rPr>
            </w:pPr>
            <w:r>
              <w:rPr>
                <w:rFonts w:ascii="Arial" w:cs="Arial" w:eastAsia="Arial" w:hAnsi="Arial"/>
                <w:sz w:val="16"/>
                <w:szCs w:val="16"/>
                <w:color w:val="auto"/>
              </w:rPr>
              <w:t>Teammate IPO bonus</w:t>
            </w:r>
            <w:r>
              <w:rPr>
                <w:rFonts w:ascii="Arial" w:cs="Arial" w:eastAsia="Arial" w:hAnsi="Arial"/>
                <w:sz w:val="20"/>
                <w:szCs w:val="20"/>
                <w:color w:val="auto"/>
                <w:vertAlign w:val="superscript"/>
              </w:rPr>
              <w:t>(8)</w:t>
            </w:r>
          </w:p>
        </w:tc>
        <w:tc>
          <w:tcPr>
            <w:tcW w:w="32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4,361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09"/>
        </w:trPr>
        <w:tc>
          <w:tcPr>
            <w:tcW w:w="504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0"/>
                <w:szCs w:val="20"/>
                <w:color w:val="auto"/>
                <w:vertAlign w:val="superscript"/>
              </w:rPr>
              <w:t>(9)</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25,014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2"/>
        </w:trPr>
        <w:tc>
          <w:tcPr>
            <w:tcW w:w="504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131,756</w:t>
            </w:r>
          </w:p>
        </w:tc>
        <w:tc>
          <w:tcPr>
            <w:tcW w:w="8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73,947</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57,809</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78.2 %</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01"/>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Net Income (Loss) Margin</w:t>
            </w:r>
            <w:r>
              <w:rPr>
                <w:rFonts w:ascii="Arial" w:cs="Arial" w:eastAsia="Arial" w:hAnsi="Arial"/>
                <w:sz w:val="20"/>
                <w:szCs w:val="20"/>
                <w:color w:val="auto"/>
                <w:vertAlign w:val="superscript"/>
              </w:rPr>
              <w:t>(10)</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2"/>
        </w:trPr>
        <w:tc>
          <w:tcPr>
            <w:tcW w:w="5040" w:type="dxa"/>
            <w:vAlign w:val="bottom"/>
          </w:tcPr>
          <w:p>
            <w:pPr>
              <w:ind w:left="20"/>
              <w:spacing w:after="0" w:line="202"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0"/>
                <w:szCs w:val="20"/>
                <w:color w:val="auto"/>
                <w:vertAlign w:val="superscript"/>
              </w:rPr>
              <w:t>(10)</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8" w:lineRule="exact"/>
        <w:rPr>
          <w:sz w:val="20"/>
          <w:szCs w:val="20"/>
          <w:color w:val="auto"/>
        </w:rPr>
      </w:pPr>
    </w:p>
    <w:p>
      <w:pPr>
        <w:ind w:left="460" w:hanging="438"/>
        <w:spacing w:after="0"/>
        <w:tabs>
          <w:tab w:leader="none" w:pos="460" w:val="left"/>
        </w:tabs>
        <w:numPr>
          <w:ilvl w:val="0"/>
          <w:numId w:val="11"/>
        </w:numPr>
        <w:rPr>
          <w:rFonts w:ascii="Arial" w:cs="Arial" w:eastAsia="Arial" w:hAnsi="Arial"/>
          <w:sz w:val="28"/>
          <w:szCs w:val="28"/>
          <w:color w:val="auto"/>
          <w:vertAlign w:val="superscript"/>
        </w:rPr>
      </w:pPr>
      <w:r>
        <w:rPr>
          <w:rFonts w:ascii="Arial" w:cs="Arial" w:eastAsia="Arial" w:hAnsi="Arial"/>
          <w:sz w:val="14"/>
          <w:szCs w:val="14"/>
          <w:color w:val="auto"/>
        </w:rPr>
        <w:t>Represents non-recurring professional service fees related to the preparation for public offerings that have been expensed during the period.</w:t>
      </w:r>
    </w:p>
    <w:p>
      <w:pPr>
        <w:spacing w:after="0" w:line="16" w:lineRule="exact"/>
        <w:rPr>
          <w:rFonts w:ascii="Arial" w:cs="Arial" w:eastAsia="Arial" w:hAnsi="Arial"/>
          <w:sz w:val="28"/>
          <w:szCs w:val="28"/>
          <w:color w:val="auto"/>
          <w:vertAlign w:val="superscript"/>
        </w:rPr>
      </w:pPr>
    </w:p>
    <w:p>
      <w:pPr>
        <w:ind w:left="460" w:right="20" w:hanging="438"/>
        <w:spacing w:after="0" w:line="221"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Realized and unrealized foreign currency losses include the effect of fair market value changes of forward contracts and remeasurement of U.S. dollar-denominated accounts to foreign currency.</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one-time costs associated with the termination of lease agreements for certain U.S. facilities attributable to the COVID-19 pandemic.</w:t>
      </w:r>
    </w:p>
    <w:p>
      <w:pPr>
        <w:spacing w:after="0" w:line="21"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5" w:lineRule="exact"/>
        <w:rPr>
          <w:rFonts w:ascii="Arial" w:cs="Arial" w:eastAsia="Arial" w:hAnsi="Arial"/>
          <w:sz w:val="14"/>
          <w:szCs w:val="14"/>
          <w:color w:val="auto"/>
        </w:rPr>
      </w:pPr>
    </w:p>
    <w:p>
      <w:pPr>
        <w:ind w:left="460" w:right="20" w:hanging="438"/>
        <w:spacing w:after="0" w:line="230"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5" w:lineRule="exact"/>
        <w:rPr>
          <w:rFonts w:ascii="Arial" w:cs="Arial" w:eastAsia="Arial" w:hAnsi="Arial"/>
          <w:sz w:val="14"/>
          <w:szCs w:val="14"/>
          <w:color w:val="auto"/>
        </w:rPr>
      </w:pPr>
    </w:p>
    <w:p>
      <w:pPr>
        <w:ind w:left="460" w:hanging="438"/>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expense for non-recurring bonus payments to certain employees in connection with the completion of the IPO.</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w:t>
      </w:r>
    </w:p>
    <w:p>
      <w:pPr>
        <w:spacing w:after="0" w:line="21" w:lineRule="exact"/>
        <w:rPr>
          <w:rFonts w:ascii="Arial" w:cs="Arial" w:eastAsia="Arial" w:hAnsi="Arial"/>
          <w:sz w:val="14"/>
          <w:szCs w:val="14"/>
          <w:color w:val="auto"/>
        </w:rPr>
      </w:pPr>
    </w:p>
    <w:p>
      <w:pPr>
        <w:ind w:left="460" w:hanging="438"/>
        <w:spacing w:after="0"/>
        <w:tabs>
          <w:tab w:leader="none" w:pos="4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Net Income (Loss) Margin represents net income (loss) divided by service revenue and Adjusted Net Income Margin represents Adjusted Net Income divided by service revenue.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As of September 30, 2021, our principal sources of liquidity were cash and cash equivalents totaling $61.3 million, which were held for working capital purposes, as well as the available balance of our 2019 Credit Facilities, described further below. Historically, we have made investments in supporting the growth of our business, which were enabled in part by our positive cash flows from operations during these periods. We expect to continue to make similar investments in the future.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7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75"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71"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As market conditions warrant, we and certain of our equity holders, including Blackstone and their respective affiliates, may from time to time seek to purchase our outstanding debt securities or loans, including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September 30, 2021, our total indebtedness, net of debt financing fees was $240.9 million, including outstanding borrowings under our Revolving Credit Facility (as defined below) of $39.9 million.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2019 Credit Agreement</w:t>
      </w:r>
    </w:p>
    <w:p>
      <w:pPr>
        <w:spacing w:after="0" w:line="118"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facility.</w:t>
      </w:r>
    </w:p>
    <w:p>
      <w:pPr>
        <w:spacing w:after="0" w:line="61"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Term Loan Facility matures on September 25,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As of September 30, 2021, $202.7 million was outstanding under the Term Loan Facility. The interest rate in effect for the Term Loan Facility was 2.334% as of September 30, 2021.</w:t>
      </w:r>
    </w:p>
    <w:p>
      <w:pPr>
        <w:spacing w:after="0" w:line="7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Revolving Credit Facility matures on September 25, 2024 and requires a commitment fee of 0.4% on undrawn commitments paid quarterly in arrears. As of September 30, 2021, the interest rate in effect was 2.334% on $39.9 million of outstanding borrowings under the Revolving Credit Facility. As of September 30, 2021, we had $50.1 million of borrowing availability under the Revolving Credit Facility.</w:t>
      </w:r>
    </w:p>
    <w:p>
      <w:pPr>
        <w:spacing w:after="0" w:line="6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00"/>
        <w:spacing w:after="0" w:line="288" w:lineRule="auto"/>
        <w:rPr>
          <w:sz w:val="20"/>
          <w:szCs w:val="20"/>
          <w:color w:val="auto"/>
        </w:rPr>
      </w:pPr>
      <w:r>
        <w:rPr>
          <w:rFonts w:ascii="Arial" w:cs="Arial" w:eastAsia="Arial" w:hAnsi="Arial"/>
          <w:sz w:val="17"/>
          <w:szCs w:val="17"/>
          <w:color w:val="auto"/>
        </w:rPr>
        <w:t>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54" w:lineRule="exact"/>
        <w:rPr>
          <w:sz w:val="20"/>
          <w:szCs w:val="20"/>
          <w:color w:val="auto"/>
        </w:rPr>
      </w:pPr>
    </w:p>
    <w:p>
      <w:pPr>
        <w:jc w:val="both"/>
        <w:ind w:right="100" w:firstLine="627"/>
        <w:spacing w:after="0" w:line="288" w:lineRule="auto"/>
        <w:rPr>
          <w:sz w:val="20"/>
          <w:szCs w:val="20"/>
          <w:color w:val="auto"/>
        </w:rPr>
      </w:pPr>
      <w:r>
        <w:rPr>
          <w:rFonts w:ascii="Arial" w:cs="Arial" w:eastAsia="Arial" w:hAnsi="Arial"/>
          <w:sz w:val="17"/>
          <w:szCs w:val="17"/>
          <w:color w:val="auto"/>
        </w:rPr>
        <w:t>See Note 7, “Long-Term Debt” in the Notes to Unaudited Condensed Consolidated Financial Statements included in this Quarterly Report for additional information regarding our debt.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159"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r>
      <w:tr>
        <w:trPr>
          <w:trHeight w:val="203"/>
        </w:trPr>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405"/>
              <w:spacing w:after="0"/>
              <w:rPr>
                <w:sz w:val="20"/>
                <w:szCs w:val="20"/>
                <w:color w:val="auto"/>
              </w:rPr>
            </w:pPr>
            <w:r>
              <w:rPr>
                <w:rFonts w:ascii="Arial" w:cs="Arial" w:eastAsia="Arial" w:hAnsi="Arial"/>
                <w:sz w:val="16"/>
                <w:szCs w:val="16"/>
                <w:color w:val="auto"/>
                <w:w w:val="90"/>
              </w:rPr>
              <w:t>(63,426)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742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Pr>
          <w:p>
            <w:pPr>
              <w:spacing w:after="0"/>
              <w:rPr>
                <w:sz w:val="17"/>
                <w:szCs w:val="17"/>
                <w:color w:val="auto"/>
              </w:rPr>
            </w:pPr>
          </w:p>
        </w:tc>
        <w:tc>
          <w:tcPr>
            <w:tcW w:w="1060" w:type="dxa"/>
            <w:vAlign w:val="bottom"/>
          </w:tcPr>
          <w:p>
            <w:pPr>
              <w:jc w:val="center"/>
              <w:ind w:left="405"/>
              <w:spacing w:after="0"/>
              <w:rPr>
                <w:sz w:val="20"/>
                <w:szCs w:val="20"/>
                <w:color w:val="auto"/>
              </w:rPr>
            </w:pPr>
            <w:r>
              <w:rPr>
                <w:rFonts w:ascii="Arial" w:cs="Arial" w:eastAsia="Arial" w:hAnsi="Arial"/>
                <w:sz w:val="16"/>
                <w:szCs w:val="16"/>
                <w:color w:val="auto"/>
                <w:w w:val="90"/>
              </w:rPr>
              <w:t>(38,603)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45"/>
              <w:spacing w:after="0"/>
              <w:rPr>
                <w:sz w:val="20"/>
                <w:szCs w:val="20"/>
                <w:color w:val="auto"/>
              </w:rPr>
            </w:pPr>
            <w:r>
              <w:rPr>
                <w:rFonts w:ascii="Arial" w:cs="Arial" w:eastAsia="Arial" w:hAnsi="Arial"/>
                <w:sz w:val="16"/>
                <w:szCs w:val="16"/>
                <w:color w:val="auto"/>
                <w:w w:val="85"/>
              </w:rPr>
              <w:t>62,093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bl>
    <w:p>
      <w:pPr>
        <w:spacing w:after="0" w:line="18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Operating Activities</w:t>
      </w:r>
    </w:p>
    <w:p>
      <w:pPr>
        <w:spacing w:after="0" w:line="118" w:lineRule="exact"/>
        <w:rPr>
          <w:sz w:val="20"/>
          <w:szCs w:val="20"/>
          <w:color w:val="auto"/>
        </w:rPr>
      </w:pPr>
    </w:p>
    <w:p>
      <w:pPr>
        <w:jc w:val="both"/>
        <w:ind w:right="100" w:firstLine="627"/>
        <w:spacing w:after="0" w:line="263" w:lineRule="auto"/>
        <w:rPr>
          <w:sz w:val="20"/>
          <w:szCs w:val="20"/>
          <w:color w:val="auto"/>
        </w:rPr>
      </w:pPr>
      <w:r>
        <w:rPr>
          <w:rFonts w:ascii="Arial" w:cs="Arial" w:eastAsia="Arial" w:hAnsi="Arial"/>
          <w:sz w:val="17"/>
          <w:szCs w:val="17"/>
          <w:color w:val="auto"/>
        </w:rPr>
        <w:t>Net cash used in operating activities for the nine months ended September 30, 2021 was $(63.4) million compared to net cash provided by operating activities of $45.6 million for the nine months ended September 30, 2020. Net cash used in operating activities for the nine months ended September 30, 2021 reflects the net loss of $77.8 million, which includes the one-time phantom shares bonuses, as well as changes in operating assets and liabilities of $42.4 million. These changes were partially offset by the add back for non-cash charges totaling $56.8 million, primarily driven by $25.0 million in stock-based compensation expense, $20.4 million of depreciation and $14.1 million of amortization related to intangibles recognized as a result of the Blackstone Acquisition, partially offset by deferred taxes of $9.7 million.</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Investing Activities</w:t>
      </w:r>
    </w:p>
    <w:p>
      <w:pPr>
        <w:spacing w:after="0" w:line="118" w:lineRule="exact"/>
        <w:rPr>
          <w:sz w:val="20"/>
          <w:szCs w:val="20"/>
          <w:color w:val="auto"/>
        </w:rPr>
      </w:pPr>
    </w:p>
    <w:p>
      <w:pPr>
        <w:jc w:val="both"/>
        <w:ind w:right="100" w:firstLine="627"/>
        <w:spacing w:after="0" w:line="272" w:lineRule="auto"/>
        <w:rPr>
          <w:sz w:val="20"/>
          <w:szCs w:val="20"/>
          <w:color w:val="auto"/>
        </w:rPr>
      </w:pPr>
      <w:r>
        <w:rPr>
          <w:rFonts w:ascii="Arial" w:cs="Arial" w:eastAsia="Arial" w:hAnsi="Arial"/>
          <w:sz w:val="17"/>
          <w:szCs w:val="17"/>
          <w:color w:val="auto"/>
        </w:rPr>
        <w:t>Net cash used in investing activities for the nine months ended September 30, 2021 was $38.6 million compared to net cash used in investing activities of $21.9 million for the nine months ended September 30, 2020. Net cash used in investing activities primarily consisted of investments in technology and computers as well as build-out costs associated with site expansions to support revenue growth.</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Financing Activities</w:t>
      </w:r>
    </w:p>
    <w:p>
      <w:pPr>
        <w:spacing w:after="0" w:line="118" w:lineRule="exact"/>
        <w:rPr>
          <w:sz w:val="20"/>
          <w:szCs w:val="20"/>
          <w:color w:val="auto"/>
        </w:rPr>
      </w:pPr>
    </w:p>
    <w:p>
      <w:pPr>
        <w:jc w:val="both"/>
        <w:ind w:right="100" w:firstLine="627"/>
        <w:spacing w:after="0" w:line="264" w:lineRule="auto"/>
        <w:rPr>
          <w:sz w:val="20"/>
          <w:szCs w:val="20"/>
          <w:color w:val="auto"/>
        </w:rPr>
      </w:pPr>
      <w:r>
        <w:rPr>
          <w:rFonts w:ascii="Arial" w:cs="Arial" w:eastAsia="Arial" w:hAnsi="Arial"/>
          <w:sz w:val="17"/>
          <w:szCs w:val="17"/>
          <w:color w:val="auto"/>
        </w:rPr>
        <w:t>Net cash provided by financing activities for the nine months ended September 30, 2021 was $62.1 million compared to net cash provided by financing activities of $38.3 million for the nine months ended September 30, 2020. Net cash provided by financing activities for the nine months ended September 30, 2021 consisted of proceeds from the IPO, net of underwriters’ fees, partially offset by distribution of dividends, payments for offering costs and payments on long-term debt. Net cash provided by financing activities for the nine months ended September 30, 2020 consisted primarily of cash proceeds from our Revolving Credit Facility of $39.9 million.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24" w:lineRule="exact"/>
        <w:rPr>
          <w:sz w:val="20"/>
          <w:szCs w:val="20"/>
          <w:color w:val="auto"/>
        </w:rPr>
      </w:pPr>
    </w:p>
    <w:p>
      <w:pPr>
        <w:jc w:val="both"/>
        <w:ind w:right="100" w:firstLine="627"/>
        <w:spacing w:after="0" w:line="264" w:lineRule="auto"/>
        <w:rPr>
          <w:sz w:val="20"/>
          <w:szCs w:val="20"/>
          <w:color w:val="auto"/>
        </w:rPr>
      </w:pPr>
      <w:r>
        <w:rPr>
          <w:rFonts w:ascii="Arial" w:cs="Arial" w:eastAsia="Arial" w:hAnsi="Arial"/>
          <w:sz w:val="17"/>
          <w:szCs w:val="17"/>
          <w:color w:val="auto"/>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companies.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4" w:lineRule="exact"/>
        <w:rPr>
          <w:sz w:val="20"/>
          <w:szCs w:val="20"/>
          <w:color w:val="auto"/>
        </w:rPr>
      </w:pPr>
    </w:p>
    <w:p>
      <w:pPr>
        <w:jc w:val="both"/>
        <w:ind w:right="100" w:firstLine="627"/>
        <w:spacing w:after="0" w:line="272" w:lineRule="auto"/>
        <w:rPr>
          <w:sz w:val="20"/>
          <w:szCs w:val="20"/>
          <w:color w:val="auto"/>
        </w:rPr>
      </w:pPr>
      <w:r>
        <w:rPr>
          <w:rFonts w:ascii="Arial" w:cs="Arial" w:eastAsia="Arial" w:hAnsi="Arial"/>
          <w:sz w:val="17"/>
          <w:szCs w:val="17"/>
          <w:color w:val="auto"/>
        </w:rPr>
        <w:t>Except as described in Note 2, “Summary of Significant Accounting Policies” in the Notes to Unaudited Condensed Consolidated Financial Statements, and discussed below, there have been no material changes to our critical accounting policies or in the underlying accounting assumptions and estimates used in such policies as reported in the prospectus.</w:t>
      </w:r>
    </w:p>
    <w:p>
      <w:pPr>
        <w:spacing w:after="0" w:line="67" w:lineRule="exact"/>
        <w:rPr>
          <w:sz w:val="20"/>
          <w:szCs w:val="20"/>
          <w:color w:val="auto"/>
        </w:rPr>
      </w:pPr>
    </w:p>
    <w:p>
      <w:pPr>
        <w:jc w:val="both"/>
        <w:ind w:right="100" w:firstLine="627"/>
        <w:spacing w:after="0" w:line="272" w:lineRule="auto"/>
        <w:rPr>
          <w:sz w:val="20"/>
          <w:szCs w:val="20"/>
          <w:color w:val="auto"/>
        </w:rPr>
      </w:pPr>
      <w:r>
        <w:rPr>
          <w:rFonts w:ascii="Arial" w:cs="Arial" w:eastAsia="Arial" w:hAnsi="Arial"/>
          <w:sz w:val="17"/>
          <w:szCs w:val="17"/>
          <w:color w:val="auto"/>
        </w:rPr>
        <w:t>Upon completion of the IPO, a public trading market for our common stock was established, and as a result, it is no longer necessary for our board of directors or management to estimate the fair value of our common stock in connection with our accounting for granted stock options, as the fair value of our common stock will be determined based on its trading price on</w:t>
      </w: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Nasdaq. See Note 9, “Employee Compensation” in the Notes to Unaudited Condensed Consolidated Financial Statements, for additional information.</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additional information regarding recent accounting pronouncements adopted and under evaluation, refer to Note 2, “Summary of Significant Accounting Policies” in the Notes to Unaudited Condensed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activities expose us to a variety of financial risks: market risk (includes foreign currency), interest rate risk and credit risk.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1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exposure to market risk arises principally from exchange rate risk. Although substantially all of our revenues are denominated in U.S. dollars, a substantial portion of our expenses were incurred and paid in the Philippine peso in the nine months ended September 30, 2021 and 2020.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71"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The average exchange rate of the Philippine peso against the U.S. dollar decreased from 50.08 pesos during the nine months ended September 30, 2020 to 48.88 pesos during the nine months ended September 30, 2021, representing an appreciation of the Philippine peso of 2.4%. Based upon our level of operations during the nine months ended September 30, 2021 and excluding any forward contract arrangements that we had in place during that period, a 10% appreciation/depreciation in the Philippine Peso against the U.S. dollar would have increased or decreased our expenses incurred and paid in the Philippine Peso by approximately $23.9 million or $19.5 million, respectively, in the nine months ended September 30, 2021.</w:t>
      </w:r>
    </w:p>
    <w:p>
      <w:pPr>
        <w:spacing w:after="0" w:line="61"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These derivatives are not designated as fair value hedges under ASC No. Topic 815, Derivatives and Hedging (“ASC 815”). Changes in the fair value of these derivatives are recognized in the consolidated statements of operations and are included in other expense.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w:t>
      </w:r>
    </w:p>
    <w:p>
      <w:pPr>
        <w:spacing w:after="0" w:line="7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For the three and nine months ended September 30, 2021, we realized losses (gains) of $0.7 million and $(0.6) million, respectively, resulting from the settlement of forward contracts were included within other expense.</w:t>
      </w:r>
    </w:p>
    <w:p>
      <w:pPr>
        <w:spacing w:after="0" w:line="54"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For the three and nine months ended September 30, 2021, we had outstanding forward contracts. The forward contract receivable (payable) resulting from changes in fair value was recorded under prepaid expenses (accounts payable and accrued liabilities). For the three and nine months ended September 30, 2021, the unrealized losses on the forward contracts of $4.1 million and $5.8 million, respectively, were included within other expense.</w:t>
      </w:r>
    </w:p>
    <w:p>
      <w:pPr>
        <w:spacing w:after="0" w:line="49"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also enter into foreign currency exchange rate contracts to economically hedge our intercompany balances and other monetary assets and liabilities denominated in currencies other than functional currencies. These derivatives do not qualify as fair value hedges under ASC 815. Changes in the fair value of these derivatives are recognized in the consolidated statements of income and are included in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exposure to market risk is influenced by the changes in interest rates paid on any outstanding balance on our borrowings, mainly under our 2019 Credit Facilities. All of our borrowings outstanding under the 2019 Credit Facilities as of September 30, 2021 accrue interest at LIBOR plus 2.25%. We entered into our 2019 Credit Facilities on September 25, 2019 and our total principal balance outstanding as of September 30, 2021 was $242.5 million. Based on the outstanding balances and interest rates under the 2019 Credit Facilities as of September 30, 2021, a hypothetical 10% increase or decrease in LIBOR would cause an increase or decrease in interest expense of less than $0.1 million over the next 12 months.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1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As of September 30, 2021, we had accounts receivable, net of allowance for doubtful accounts, of $157.6 million, of which $63.0 million was owed by two of our clients. Collectively, these clients represented approximately 39% of our gross accounts receivable as of September 30, 2021, and nearly 38% of our service revenue for the nine months ended September 30, 2021.</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118"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8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design and operation of the Company’s disclosure controls and procedures as of September 30, 2021. Based upon that evaluation, the Company’s Chief Executive Officer and Chief Financial Officer concluded that, as of September 30, 2021, the design and operation of the Company’s disclosure controls and procedures were effective to accomplish their objectives at the reasonable assurance level.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8"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4"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prospectus. Additional risks and uncertainties not currently known to us or that we currently deem to be immaterial may also materially adversely affect our financial position, results of operations or cash flows. There have been no material changes to the risk factors included in the prospectus. You should carefully consider the risk factors set forth in the prospectus and the other information set forth elsewhere in this Quarterly Report on Form 10-Q.</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400" w:type="dxa"/>
            <w:vAlign w:val="bottom"/>
            <w:gridSpan w:val="7"/>
          </w:tcPr>
          <w:p>
            <w:pPr>
              <w:ind w:left="220"/>
              <w:spacing w:after="0"/>
              <w:rPr>
                <w:sz w:val="20"/>
                <w:szCs w:val="20"/>
                <w:color w:val="auto"/>
              </w:rPr>
            </w:pPr>
            <w:r>
              <w:rPr>
                <w:rFonts w:ascii="Arial" w:cs="Arial" w:eastAsia="Arial" w:hAnsi="Arial"/>
                <w:sz w:val="17"/>
                <w:szCs w:val="17"/>
                <w:b w:val="1"/>
                <w:bCs w:val="1"/>
                <w:color w:val="auto"/>
              </w:rPr>
              <w:t>Item 6. Exhibits</w:t>
            </w:r>
          </w:p>
        </w:tc>
        <w:tc>
          <w:tcPr>
            <w:tcW w:w="0" w:type="dxa"/>
            <w:vAlign w:val="bottom"/>
          </w:tcPr>
          <w:p>
            <w:pPr>
              <w:spacing w:after="0"/>
              <w:rPr>
                <w:sz w:val="1"/>
                <w:szCs w:val="1"/>
                <w:color w:val="auto"/>
              </w:rPr>
            </w:pPr>
          </w:p>
        </w:tc>
      </w:tr>
      <w:tr>
        <w:trPr>
          <w:trHeight w:val="262"/>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1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r>
              <w:rPr>
                <w:rFonts w:ascii="Arial" w:cs="Arial" w:eastAsia="Arial" w:hAnsi="Arial"/>
                <w:sz w:val="17"/>
                <w:szCs w:val="17"/>
                <w:color w:val="auto"/>
              </w:rPr>
              <w:t>3.1</w:t>
            </w:r>
          </w:p>
        </w:tc>
        <w:tc>
          <w:tcPr>
            <w:tcW w:w="10100" w:type="dxa"/>
            <w:vAlign w:val="bottom"/>
            <w:gridSpan w:val="11"/>
          </w:tcPr>
          <w:p>
            <w:pPr>
              <w:spacing w:after="0"/>
              <w:rPr>
                <w:rFonts w:ascii="Arial" w:cs="Arial" w:eastAsia="Arial" w:hAnsi="Arial"/>
                <w:sz w:val="17"/>
                <w:szCs w:val="17"/>
                <w:color w:val="0000FF"/>
                <w:w w:val="93"/>
              </w:rPr>
            </w:pPr>
            <w:hyperlink r:id="rId48">
              <w:r>
                <w:rPr>
                  <w:rFonts w:ascii="Arial" w:cs="Arial" w:eastAsia="Arial" w:hAnsi="Arial"/>
                  <w:sz w:val="17"/>
                  <w:szCs w:val="17"/>
                  <w:color w:val="0000FF"/>
                  <w:w w:val="93"/>
                </w:rPr>
                <w:t>Second Amended and Restated Certificate of Incorporation of TaskUs, Inc., dated as of June 10, 2021 (incorporated by reference to Exhibit 3.1</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w w:val="93"/>
              </w:rPr>
            </w:pPr>
            <w:hyperlink r:id="rId48">
              <w:r>
                <w:rPr>
                  <w:rFonts w:ascii="Arial" w:cs="Arial" w:eastAsia="Arial" w:hAnsi="Arial"/>
                  <w:sz w:val="17"/>
                  <w:szCs w:val="17"/>
                  <w:color w:val="0000FF"/>
                  <w:w w:val="93"/>
                </w:rPr>
                <w:t>to the Company’s Current Report on Form 8-K filed on June 15, 2021).</w:t>
              </w:r>
            </w:hyperlink>
          </w:p>
        </w:tc>
        <w:tc>
          <w:tcPr>
            <w:tcW w:w="50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17"/>
                <w:szCs w:val="17"/>
                <w:color w:val="auto"/>
              </w:rPr>
              <w:t>3.2</w:t>
            </w:r>
          </w:p>
        </w:tc>
        <w:tc>
          <w:tcPr>
            <w:tcW w:w="10100" w:type="dxa"/>
            <w:vAlign w:val="bottom"/>
            <w:gridSpan w:val="11"/>
          </w:tcPr>
          <w:p>
            <w:pPr>
              <w:spacing w:after="0"/>
              <w:rPr>
                <w:rFonts w:ascii="Arial" w:cs="Arial" w:eastAsia="Arial" w:hAnsi="Arial"/>
                <w:sz w:val="17"/>
                <w:szCs w:val="17"/>
                <w:color w:val="0000FF"/>
                <w:w w:val="94"/>
              </w:rPr>
            </w:pPr>
            <w:hyperlink r:id="rId49">
              <w:r>
                <w:rPr>
                  <w:rFonts w:ascii="Arial" w:cs="Arial" w:eastAsia="Arial" w:hAnsi="Arial"/>
                  <w:sz w:val="17"/>
                  <w:szCs w:val="17"/>
                  <w:color w:val="0000FF"/>
                  <w:w w:val="94"/>
                </w:rPr>
                <w:t>Second Amended and Restated Bylaws of TaskUs, Inc., dated as of June 10, 2021 (incorporated by reference to Exhibit 3.2 to the Company’s</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9860" w:type="dxa"/>
            <w:vAlign w:val="bottom"/>
            <w:tcBorders>
              <w:top w:val="single" w:sz="8" w:color="0000FF"/>
            </w:tcBorders>
            <w:gridSpan w:val="6"/>
          </w:tcPr>
          <w:p>
            <w:pPr>
              <w:spacing w:after="0" w:line="150" w:lineRule="exact"/>
              <w:rPr>
                <w:rFonts w:ascii="Arial" w:cs="Arial" w:eastAsia="Arial" w:hAnsi="Arial"/>
                <w:sz w:val="17"/>
                <w:szCs w:val="17"/>
                <w:color w:val="0000FF"/>
              </w:rPr>
            </w:pPr>
            <w:hyperlink r:id="rId49">
              <w:r>
                <w:rPr>
                  <w:rFonts w:ascii="Arial" w:cs="Arial" w:eastAsia="Arial" w:hAnsi="Arial"/>
                  <w:sz w:val="17"/>
                  <w:szCs w:val="17"/>
                  <w:color w:val="0000FF"/>
                </w:rPr>
                <w:t>Current Report on Form 8-K filed on June 15, 2021).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17"/>
                <w:szCs w:val="17"/>
                <w:color w:val="auto"/>
              </w:rPr>
              <w:t>31.1</w:t>
            </w:r>
          </w:p>
        </w:tc>
        <w:tc>
          <w:tcPr>
            <w:tcW w:w="10100" w:type="dxa"/>
            <w:vAlign w:val="bottom"/>
            <w:gridSpan w:val="11"/>
          </w:tcPr>
          <w:p>
            <w:pPr>
              <w:spacing w:after="0"/>
              <w:rPr>
                <w:rFonts w:ascii="Arial" w:cs="Arial" w:eastAsia="Arial" w:hAnsi="Arial"/>
                <w:sz w:val="17"/>
                <w:szCs w:val="17"/>
                <w:color w:val="0000FF"/>
                <w:w w:val="93"/>
              </w:rPr>
            </w:pPr>
            <w:hyperlink w:anchor="page39">
              <w:r>
                <w:rPr>
                  <w:rFonts w:ascii="Arial" w:cs="Arial" w:eastAsia="Arial" w:hAnsi="Arial"/>
                  <w:sz w:val="17"/>
                  <w:szCs w:val="17"/>
                  <w:color w:val="0000FF"/>
                  <w:w w:val="93"/>
                </w:rPr>
                <w:t>Certification of Principal Executive Officer pursuant to Exchange Act Rules 13a-14(a) and 15d-14(a), as adopted pursuant to Section 302 of the</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2"/>
              </w:rPr>
            </w:pPr>
            <w:hyperlink w:anchor="page39">
              <w:r>
                <w:rPr>
                  <w:rFonts w:ascii="Arial" w:cs="Arial" w:eastAsia="Arial" w:hAnsi="Arial"/>
                  <w:sz w:val="17"/>
                  <w:szCs w:val="17"/>
                  <w:color w:val="0000FF"/>
                  <w:w w:val="92"/>
                </w:rPr>
                <w:t>Sarbanes-Oxley Act of 2002.</w:t>
              </w:r>
            </w:hyperlink>
          </w:p>
        </w:tc>
        <w:tc>
          <w:tcPr>
            <w:tcW w:w="798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17"/>
                <w:szCs w:val="17"/>
                <w:color w:val="auto"/>
              </w:rPr>
              <w:t>31.2</w:t>
            </w:r>
          </w:p>
        </w:tc>
        <w:tc>
          <w:tcPr>
            <w:tcW w:w="10100" w:type="dxa"/>
            <w:vAlign w:val="bottom"/>
            <w:gridSpan w:val="11"/>
          </w:tcPr>
          <w:p>
            <w:pPr>
              <w:spacing w:after="0"/>
              <w:rPr>
                <w:rFonts w:ascii="Arial" w:cs="Arial" w:eastAsia="Arial" w:hAnsi="Arial"/>
                <w:sz w:val="17"/>
                <w:szCs w:val="17"/>
                <w:color w:val="0000FF"/>
                <w:w w:val="94"/>
              </w:rPr>
            </w:pPr>
            <w:hyperlink w:anchor="page40">
              <w:r>
                <w:rPr>
                  <w:rFonts w:ascii="Arial" w:cs="Arial" w:eastAsia="Arial" w:hAnsi="Arial"/>
                  <w:sz w:val="17"/>
                  <w:szCs w:val="17"/>
                  <w:color w:val="0000FF"/>
                  <w:w w:val="94"/>
                </w:rPr>
                <w:t>Certification of Principal Financial Officer pursuant to Exchange Act Rules 13a-14(a) and 15d-14(a), as adopted pursuant to Section 302 of the</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92"/>
              </w:rPr>
            </w:pPr>
            <w:hyperlink w:anchor="page40">
              <w:r>
                <w:rPr>
                  <w:rFonts w:ascii="Arial" w:cs="Arial" w:eastAsia="Arial" w:hAnsi="Arial"/>
                  <w:sz w:val="17"/>
                  <w:szCs w:val="17"/>
                  <w:color w:val="0000FF"/>
                  <w:w w:val="92"/>
                </w:rPr>
                <w:t>Sarbanes-Oxley Act of 2002.</w:t>
              </w:r>
            </w:hyperlink>
          </w:p>
        </w:tc>
        <w:tc>
          <w:tcPr>
            <w:tcW w:w="794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17"/>
                <w:szCs w:val="17"/>
                <w:color w:val="auto"/>
              </w:rPr>
              <w:t>32.1*</w:t>
            </w:r>
          </w:p>
        </w:tc>
        <w:tc>
          <w:tcPr>
            <w:tcW w:w="10100" w:type="dxa"/>
            <w:vAlign w:val="bottom"/>
            <w:gridSpan w:val="11"/>
          </w:tcPr>
          <w:p>
            <w:pPr>
              <w:spacing w:after="0"/>
              <w:rPr>
                <w:rFonts w:ascii="Arial" w:cs="Arial" w:eastAsia="Arial" w:hAnsi="Arial"/>
                <w:sz w:val="17"/>
                <w:szCs w:val="17"/>
                <w:color w:val="0000FF"/>
                <w:w w:val="94"/>
              </w:rPr>
            </w:pPr>
            <w:hyperlink w:anchor="page41">
              <w:r>
                <w:rPr>
                  <w:rFonts w:ascii="Arial" w:cs="Arial" w:eastAsia="Arial" w:hAnsi="Arial"/>
                  <w:sz w:val="17"/>
                  <w:szCs w:val="17"/>
                  <w:color w:val="0000FF"/>
                  <w:w w:val="94"/>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9960" w:type="dxa"/>
            <w:vAlign w:val="bottom"/>
            <w:tcBorders>
              <w:top w:val="single" w:sz="8" w:color="0000FF"/>
            </w:tcBorders>
            <w:gridSpan w:val="7"/>
          </w:tcPr>
          <w:p>
            <w:pPr>
              <w:spacing w:after="0" w:line="150" w:lineRule="exact"/>
              <w:rPr>
                <w:rFonts w:ascii="Arial" w:cs="Arial" w:eastAsia="Arial" w:hAnsi="Arial"/>
                <w:sz w:val="17"/>
                <w:szCs w:val="17"/>
                <w:color w:val="0000FF"/>
              </w:rPr>
            </w:pPr>
            <w:hyperlink w:anchor="page41">
              <w:r>
                <w:rPr>
                  <w:rFonts w:ascii="Arial" w:cs="Arial" w:eastAsia="Arial" w:hAnsi="Arial"/>
                  <w:sz w:val="17"/>
                  <w:szCs w:val="17"/>
                  <w:color w:val="0000FF"/>
                </w:rPr>
                <w:t>of 2002.</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5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17"/>
                <w:szCs w:val="17"/>
                <w:color w:val="auto"/>
              </w:rPr>
              <w:t>32.2*</w:t>
            </w:r>
          </w:p>
        </w:tc>
        <w:tc>
          <w:tcPr>
            <w:tcW w:w="10100" w:type="dxa"/>
            <w:vAlign w:val="bottom"/>
            <w:tcBorders>
              <w:bottom w:val="single" w:sz="8" w:color="0000FF"/>
            </w:tcBorders>
            <w:gridSpan w:val="11"/>
          </w:tcPr>
          <w:p>
            <w:pPr>
              <w:spacing w:after="0"/>
              <w:rPr>
                <w:rFonts w:ascii="Arial" w:cs="Arial" w:eastAsia="Arial" w:hAnsi="Arial"/>
                <w:sz w:val="17"/>
                <w:szCs w:val="17"/>
                <w:color w:val="0000FF"/>
                <w:w w:val="93"/>
              </w:rPr>
            </w:pPr>
            <w:hyperlink w:anchor="page42">
              <w:r>
                <w:rPr>
                  <w:rFonts w:ascii="Arial" w:cs="Arial" w:eastAsia="Arial" w:hAnsi="Arial"/>
                  <w:sz w:val="17"/>
                  <w:szCs w:val="17"/>
                  <w:color w:val="0000FF"/>
                  <w:w w:val="93"/>
                </w:rPr>
                <w:t>Certification of Principal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400" w:type="dxa"/>
            <w:vAlign w:val="bottom"/>
            <w:tcBorders>
              <w:bottom w:val="single" w:sz="8" w:color="0000FF"/>
            </w:tcBorders>
          </w:tcPr>
          <w:p>
            <w:pPr>
              <w:spacing w:after="0" w:line="150" w:lineRule="exact"/>
              <w:rPr>
                <w:rFonts w:ascii="Arial" w:cs="Arial" w:eastAsia="Arial" w:hAnsi="Arial"/>
                <w:sz w:val="17"/>
                <w:szCs w:val="17"/>
                <w:color w:val="0000FF"/>
                <w:w w:val="89"/>
              </w:rPr>
            </w:pPr>
            <w:hyperlink w:anchor="page42">
              <w:r>
                <w:rPr>
                  <w:rFonts w:ascii="Arial" w:cs="Arial" w:eastAsia="Arial" w:hAnsi="Arial"/>
                  <w:sz w:val="17"/>
                  <w:szCs w:val="17"/>
                  <w:color w:val="0000FF"/>
                  <w:w w:val="89"/>
                </w:rPr>
                <w:t>2002.</w:t>
              </w:r>
            </w:hyperlink>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0"/>
                <w:szCs w:val="20"/>
                <w:color w:val="auto"/>
              </w:rPr>
            </w:pPr>
            <w:r>
              <w:rPr>
                <w:rFonts w:ascii="Arial" w:cs="Arial" w:eastAsia="Arial" w:hAnsi="Arial"/>
                <w:sz w:val="17"/>
                <w:szCs w:val="17"/>
                <w:color w:val="auto"/>
              </w:rPr>
              <w:t>101.INS</w:t>
            </w:r>
          </w:p>
        </w:tc>
        <w:tc>
          <w:tcPr>
            <w:tcW w:w="10100" w:type="dxa"/>
            <w:vAlign w:val="bottom"/>
            <w:gridSpan w:val="11"/>
          </w:tcPr>
          <w:p>
            <w:pPr>
              <w:spacing w:after="0"/>
              <w:rPr>
                <w:sz w:val="20"/>
                <w:szCs w:val="20"/>
                <w:color w:val="auto"/>
              </w:rPr>
            </w:pPr>
            <w:r>
              <w:rPr>
                <w:rFonts w:ascii="Arial" w:cs="Arial" w:eastAsia="Arial" w:hAnsi="Arial"/>
                <w:sz w:val="17"/>
                <w:szCs w:val="17"/>
                <w:color w:val="auto"/>
                <w:w w:val="94"/>
              </w:rPr>
              <w:t>XBRL Instance Document–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document</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7"/>
                <w:szCs w:val="17"/>
                <w:color w:val="auto"/>
              </w:rPr>
              <w:t>101.SCH</w:t>
            </w: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7"/>
                <w:szCs w:val="17"/>
                <w:color w:val="auto"/>
              </w:rPr>
              <w:t>101.CAL</w:t>
            </w: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7"/>
                <w:szCs w:val="17"/>
                <w:color w:val="auto"/>
              </w:rPr>
              <w:t>101.LAB</w:t>
            </w: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7"/>
                <w:szCs w:val="17"/>
                <w:color w:val="auto"/>
              </w:rPr>
              <w:t>101.PRE</w:t>
            </w: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7"/>
                <w:szCs w:val="17"/>
                <w:color w:val="auto"/>
              </w:rPr>
              <w:t>101.DEF</w:t>
            </w:r>
          </w:p>
        </w:tc>
        <w:tc>
          <w:tcPr>
            <w:tcW w:w="1010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3800" w:firstLine="22"/>
        <w:spacing w:after="0" w:line="505" w:lineRule="auto"/>
        <w:tabs>
          <w:tab w:leader="none" w:pos="1115" w:val="left"/>
        </w:tabs>
        <w:numPr>
          <w:ilvl w:val="1"/>
          <w:numId w:val="1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Furnished herewith.</w:t>
      </w:r>
    </w:p>
    <w:p>
      <w:pPr>
        <w:spacing w:after="0" w:line="1"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1780"/>
              <w:spacing w:after="0"/>
              <w:rPr>
                <w:sz w:val="20"/>
                <w:szCs w:val="20"/>
                <w:color w:val="auto"/>
              </w:rPr>
            </w:pPr>
            <w:r>
              <w:rPr>
                <w:rFonts w:ascii="Arial" w:cs="Arial" w:eastAsia="Arial" w:hAnsi="Arial"/>
                <w:sz w:val="17"/>
                <w:szCs w:val="17"/>
                <w:b w:val="1"/>
                <w:bCs w:val="1"/>
                <w:color w:val="auto"/>
              </w:rPr>
              <w:t>TASKUS, INC.</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1940"/>
              <w:spacing w:after="0"/>
              <w:rPr>
                <w:sz w:val="20"/>
                <w:szCs w:val="20"/>
                <w:color w:val="auto"/>
              </w:rPr>
            </w:pPr>
            <w:r>
              <w:rPr>
                <w:rFonts w:ascii="Arial" w:cs="Arial" w:eastAsia="Arial" w:hAnsi="Arial"/>
                <w:sz w:val="17"/>
                <w:szCs w:val="17"/>
                <w:color w:val="auto"/>
              </w:rPr>
              <w:t>(Registrant)</w:t>
            </w:r>
          </w:p>
        </w:tc>
      </w:tr>
      <w:tr>
        <w:trPr>
          <w:trHeight w:val="627"/>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40"/>
              <w:spacing w:after="0"/>
              <w:rPr>
                <w:sz w:val="20"/>
                <w:szCs w:val="20"/>
                <w:color w:val="auto"/>
              </w:rPr>
            </w:pPr>
            <w:r>
              <w:rPr>
                <w:rFonts w:ascii="Arial" w:cs="Arial" w:eastAsia="Arial" w:hAnsi="Arial"/>
                <w:sz w:val="17"/>
                <w:szCs w:val="17"/>
                <w:color w:val="auto"/>
              </w:rPr>
              <w:t>November 12, 2021</w:t>
            </w:r>
          </w:p>
        </w:tc>
        <w:tc>
          <w:tcPr>
            <w:tcW w:w="2300" w:type="dxa"/>
            <w:vAlign w:val="bottom"/>
          </w:tcPr>
          <w:p>
            <w:pPr>
              <w:ind w:left="1860"/>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Balaji Sekar</w:t>
            </w:r>
          </w:p>
        </w:tc>
      </w:tr>
      <w:tr>
        <w:trPr>
          <w:trHeight w:val="215"/>
        </w:trPr>
        <w:tc>
          <w:tcPr>
            <w:tcW w:w="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Balaji Sekar</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(Authorized Signatory)</w:t>
            </w:r>
          </w:p>
        </w:tc>
      </w:tr>
      <w:tr>
        <w:trPr>
          <w:trHeight w:val="484"/>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40"/>
              <w:spacing w:after="0"/>
              <w:rPr>
                <w:sz w:val="20"/>
                <w:szCs w:val="20"/>
                <w:color w:val="auto"/>
              </w:rPr>
            </w:pPr>
            <w:r>
              <w:rPr>
                <w:rFonts w:ascii="Arial" w:cs="Arial" w:eastAsia="Arial" w:hAnsi="Arial"/>
                <w:sz w:val="17"/>
                <w:szCs w:val="17"/>
                <w:color w:val="auto"/>
              </w:rPr>
              <w:t>November 12, 2021</w:t>
            </w:r>
          </w:p>
        </w:tc>
        <w:tc>
          <w:tcPr>
            <w:tcW w:w="2300" w:type="dxa"/>
            <w:vAlign w:val="bottom"/>
          </w:tcPr>
          <w:p>
            <w:pPr>
              <w:ind w:left="1860"/>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Amaya</w:t>
            </w:r>
          </w:p>
        </w:tc>
      </w:tr>
      <w:tr>
        <w:trPr>
          <w:trHeight w:val="215"/>
        </w:trPr>
        <w:tc>
          <w:tcPr>
            <w:tcW w:w="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Steven Amaya</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Vice President—Finance</w:t>
            </w:r>
          </w:p>
        </w:tc>
      </w:tr>
      <w:tr>
        <w:trPr>
          <w:trHeight w:val="222"/>
        </w:trPr>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r>
        <w:trPr>
          <w:trHeight w:val="876"/>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00" w:type="dxa"/>
            <w:vAlign w:val="bottom"/>
          </w:tcPr>
          <w:p>
            <w:pPr>
              <w:jc w:val="right"/>
              <w:ind w:right="293"/>
              <w:spacing w:after="0"/>
              <w:rPr>
                <w:sz w:val="20"/>
                <w:szCs w:val="20"/>
                <w:color w:val="auto"/>
              </w:rPr>
            </w:pPr>
            <w:r>
              <w:rPr>
                <w:rFonts w:ascii="Arial" w:cs="Arial" w:eastAsia="Arial" w:hAnsi="Arial"/>
                <w:sz w:val="17"/>
                <w:szCs w:val="17"/>
                <w:color w:val="auto"/>
              </w:rPr>
              <w:t>35</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Bryce Maddock, certify that:</w:t>
      </w:r>
    </w:p>
    <w:p>
      <w:pPr>
        <w:spacing w:after="0" w:line="118" w:lineRule="exact"/>
        <w:rPr>
          <w:sz w:val="20"/>
          <w:szCs w:val="20"/>
          <w:color w:val="auto"/>
        </w:rPr>
      </w:pPr>
    </w:p>
    <w:p>
      <w:pPr>
        <w:ind w:left="940" w:hanging="465"/>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September 30, 2021 of TaskUs, Inc.;</w:t>
      </w:r>
    </w:p>
    <w:p>
      <w:pPr>
        <w:spacing w:after="0" w:line="118" w:lineRule="exact"/>
        <w:rPr>
          <w:rFonts w:ascii="Arial" w:cs="Arial" w:eastAsia="Arial" w:hAnsi="Arial"/>
          <w:sz w:val="17"/>
          <w:szCs w:val="17"/>
          <w:color w:val="auto"/>
        </w:rPr>
      </w:pPr>
    </w:p>
    <w:p>
      <w:pPr>
        <w:jc w:val="both"/>
        <w:ind w:left="940" w:right="160" w:hanging="465"/>
        <w:spacing w:after="0" w:line="272"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940" w:right="120" w:hanging="465"/>
        <w:spacing w:after="0" w:line="288"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940" w:right="340" w:hanging="465"/>
        <w:spacing w:after="0" w:line="288"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420" w:right="120" w:hanging="475"/>
        <w:spacing w:after="0" w:line="272" w:lineRule="auto"/>
        <w:tabs>
          <w:tab w:leader="none" w:pos="1417"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400" w:hanging="455"/>
        <w:spacing w:after="0"/>
        <w:tabs>
          <w:tab w:leader="none" w:pos="14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[Reserved];</w:t>
      </w:r>
    </w:p>
    <w:p>
      <w:pPr>
        <w:spacing w:after="0" w:line="118" w:lineRule="exact"/>
        <w:rPr>
          <w:rFonts w:ascii="Arial" w:cs="Arial" w:eastAsia="Arial" w:hAnsi="Arial"/>
          <w:sz w:val="17"/>
          <w:szCs w:val="17"/>
          <w:color w:val="auto"/>
        </w:rPr>
      </w:pPr>
    </w:p>
    <w:p>
      <w:pPr>
        <w:jc w:val="both"/>
        <w:ind w:left="1420" w:right="420" w:hanging="475"/>
        <w:spacing w:after="0" w:line="358" w:lineRule="auto"/>
        <w:tabs>
          <w:tab w:leader="none" w:pos="1417"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420" w:right="120" w:hanging="475"/>
        <w:spacing w:after="0" w:line="272" w:lineRule="auto"/>
        <w:tabs>
          <w:tab w:leader="none" w:pos="14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940" w:right="60" w:hanging="465"/>
        <w:spacing w:after="0" w:line="321"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420" w:right="640" w:hanging="475"/>
        <w:spacing w:after="0" w:line="321" w:lineRule="auto"/>
        <w:tabs>
          <w:tab w:leader="none" w:pos="141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420" w:right="340" w:hanging="475"/>
        <w:spacing w:after="0" w:line="288" w:lineRule="auto"/>
        <w:tabs>
          <w:tab w:leader="none" w:pos="14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12, 2021</w:t>
      </w:r>
    </w:p>
    <w:p>
      <w:pPr>
        <w:spacing w:after="0" w:line="27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16510</wp:posOffset>
            </wp:positionV>
            <wp:extent cx="25806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Bryce Maddock</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90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Balaji Sekar, certify that:</w:t>
      </w:r>
    </w:p>
    <w:p>
      <w:pPr>
        <w:spacing w:after="0" w:line="118" w:lineRule="exact"/>
        <w:rPr>
          <w:sz w:val="20"/>
          <w:szCs w:val="20"/>
          <w:color w:val="auto"/>
        </w:rPr>
      </w:pPr>
    </w:p>
    <w:p>
      <w:pPr>
        <w:ind w:left="940" w:hanging="465"/>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September 30, 2021 of TaskUs, Inc.;</w:t>
      </w:r>
    </w:p>
    <w:p>
      <w:pPr>
        <w:spacing w:after="0" w:line="118" w:lineRule="exact"/>
        <w:rPr>
          <w:rFonts w:ascii="Arial" w:cs="Arial" w:eastAsia="Arial" w:hAnsi="Arial"/>
          <w:sz w:val="17"/>
          <w:szCs w:val="17"/>
          <w:color w:val="auto"/>
        </w:rPr>
      </w:pPr>
    </w:p>
    <w:p>
      <w:pPr>
        <w:jc w:val="both"/>
        <w:ind w:left="940" w:right="160" w:hanging="465"/>
        <w:spacing w:after="0" w:line="272"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940" w:right="120" w:hanging="465"/>
        <w:spacing w:after="0" w:line="288"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940" w:right="340" w:hanging="465"/>
        <w:spacing w:after="0" w:line="288"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420" w:right="120" w:hanging="475"/>
        <w:spacing w:after="0" w:line="272" w:lineRule="auto"/>
        <w:tabs>
          <w:tab w:leader="none" w:pos="1417"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400" w:hanging="455"/>
        <w:spacing w:after="0"/>
        <w:tabs>
          <w:tab w:leader="none" w:pos="14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[Reserved];</w:t>
      </w:r>
    </w:p>
    <w:p>
      <w:pPr>
        <w:spacing w:after="0" w:line="118" w:lineRule="exact"/>
        <w:rPr>
          <w:rFonts w:ascii="Arial" w:cs="Arial" w:eastAsia="Arial" w:hAnsi="Arial"/>
          <w:sz w:val="17"/>
          <w:szCs w:val="17"/>
          <w:color w:val="auto"/>
        </w:rPr>
      </w:pPr>
    </w:p>
    <w:p>
      <w:pPr>
        <w:jc w:val="both"/>
        <w:ind w:left="1420" w:right="420" w:hanging="475"/>
        <w:spacing w:after="0" w:line="358" w:lineRule="auto"/>
        <w:tabs>
          <w:tab w:leader="none" w:pos="1417"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420" w:right="120" w:hanging="475"/>
        <w:spacing w:after="0" w:line="272" w:lineRule="auto"/>
        <w:tabs>
          <w:tab w:leader="none" w:pos="141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940" w:right="60" w:hanging="465"/>
        <w:spacing w:after="0" w:line="32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420" w:right="640" w:hanging="475"/>
        <w:spacing w:after="0" w:line="321" w:lineRule="auto"/>
        <w:tabs>
          <w:tab w:leader="none" w:pos="141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420" w:right="340" w:hanging="475"/>
        <w:spacing w:after="0" w:line="288" w:lineRule="auto"/>
        <w:tabs>
          <w:tab w:leader="none" w:pos="141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12, 2021</w:t>
      </w:r>
    </w:p>
    <w:p>
      <w:pPr>
        <w:spacing w:after="0" w:line="30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16510</wp:posOffset>
            </wp:positionV>
            <wp:extent cx="25806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Balaji Sekar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90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three months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Bryce Maddock,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940" w:hanging="465"/>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5806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Bryce Maddock</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p>
      <w:pPr>
        <w:spacing w:after="0" w:line="223"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i w:val="1"/>
          <w:iCs w:val="1"/>
          <w:color w:val="auto"/>
        </w:rPr>
        <w:t>A signed original of this certification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0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three months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Balaji Sekar,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940" w:hanging="465"/>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940" w:hanging="465"/>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580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Balaji Sekar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p>
      <w:pPr>
        <w:spacing w:after="0" w:line="223" w:lineRule="exact"/>
        <w:rPr>
          <w:sz w:val="20"/>
          <w:szCs w:val="20"/>
          <w:color w:val="auto"/>
        </w:rPr>
      </w:pPr>
    </w:p>
    <w:p>
      <w:pPr>
        <w:ind w:right="20" w:firstLine="470"/>
        <w:spacing w:after="0" w:line="288" w:lineRule="auto"/>
        <w:rPr>
          <w:sz w:val="20"/>
          <w:szCs w:val="20"/>
          <w:color w:val="auto"/>
        </w:rPr>
      </w:pPr>
      <w:r>
        <w:rPr>
          <w:rFonts w:ascii="Arial" w:cs="Arial" w:eastAsia="Arial" w:hAnsi="Arial"/>
          <w:sz w:val="16"/>
          <w:szCs w:val="16"/>
          <w:i w:val="1"/>
          <w:iCs w:val="1"/>
          <w:color w:val="auto"/>
        </w:rPr>
        <w:t>A signed original of this certification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9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8" Type="http://schemas.openxmlformats.org/officeDocument/2006/relationships/hyperlink" Target="https://www.sec.gov/Archives/edgar/data/1829864/000119312521191190/d191129dex31.htm" TargetMode="External"/><Relationship Id="rId49" Type="http://schemas.openxmlformats.org/officeDocument/2006/relationships/hyperlink" Target="https://www.sec.gov/Archives/edgar/data/1829864/000119312521191190/d19112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2021-11-12T15:01:16Z</dcterms:created>
  <dcterms:modified xsi:type="dcterms:W3CDTF">2021-11-12T15:01:16Z</dcterms:modified>
</cp:coreProperties>
</file>