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TaskUs,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Think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3,512,150.00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3,512,150.00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3,512,150.00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Think India Opportunities Master Fund LP</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3,512,150.00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3,512,150.00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3,512,150.00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TaskUs,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INDEPENDENCE DRIVE, 1650 INDEPENDENCE DRIVE, NEW BRAUNFELS, TEXAS, 78132.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Think Investments LP Think India Opportunities Master Fund LP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Letterman Drive Building C, Suite CM-420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Think Investments LP - Delaware Think India Opportunities Master Fund LP - Cayman Islands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responses to questions 5 through 9 and 11 on the cover page(s) are incorporated by reference into this item 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calculation of percentage of beneficial ownership was derived from the Issuer's Quarterly Statement on Schedule 10-Q filed with the Securities and Exchange Commission on May 7,2026, in which the Issuer stated that the number of Class A common stock outstanding as of May 1, 2026 was 36,545,511 shares.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3,512,150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3,512,150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Think Investments LP is filing this Schedule 13G because, as the investment adviser of one or more investment partnerships or pooled investment vehicles that beneficially hold the Securities, Think Investments LP has been granted the authority to dispose of and vote such Securities. The investment partnerships have the right to receive (or the power to direct the receipt of) dividends received in connection with ownership of the Securities, and the proceeds from the sale of the Securities.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10.</w:t>
            </w:r>
          </w:p>
        </w:tc>
        <w:tc>
          <w:tcPr>
            <w:tcW w:w="9043" w:type="dxa"/>
            <w:tcBorders/>
            <w:vAlign w:val="center"/>
          </w:tcPr>
          <w:p>
            <w:pPr>
              <w:pStyle w:val="TableContents"/>
              <w:bidi w:val="0"/>
              <w:spacing w:before="0" w:after="283"/>
              <w:jc w:val="left"/>
              <w:rPr/>
            </w:pPr>
            <w:r>
              <w:rPr/>
              <w:t>Certifications: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By signing below I certify that, to the best of my knowledge and belief, the foreign regulatory scheme applicable to PN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Think Investments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Marcus A. Werner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Chief Compliance Officer of Think Investments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Think India Opportunities Master Fund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Marcus A. Werner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Chief Compliance Officer of the Investment Advisor of Think India Opportunities Master Fund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center"/>
              <w:rPr>
                <w:b/>
              </w:rPr>
            </w:pPr>
            <w:r>
              <w:rPr>
                <w:b/>
              </w:rPr>
              <w:t xml:space="preserve">Exhibit Information </w:t>
            </w:r>
          </w:p>
        </w:tc>
      </w:tr>
      <w:tr>
        <w:trPr/>
        <w:tc>
          <w:tcPr>
            <w:tcW w:w="3241" w:type="dxa"/>
            <w:tcBorders/>
            <w:vAlign w:val="center"/>
          </w:tcPr>
          <w:p>
            <w:pPr>
              <w:pStyle w:val="TableContents"/>
              <w:bidi w:val="0"/>
              <w:spacing w:before="0" w:after="283"/>
              <w:jc w:val="left"/>
              <w:rPr/>
            </w:pPr>
            <w:r>
              <w:rPr/>
              <w:t>Exhibit I - JT Agreement TASK</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1178</Words>
  <Characters>6112</Characters>
  <CharactersWithSpaces>7260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