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from_____________to______________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May 2, 2025, the number of shares outstanding of the registrant’s common stock was as follows: Class A common stock, par value $0.01 per share: 18,837,801; Class B common stock, par value $0.01 per share: 70,032,694.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Quarterly Period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0">
              <w:r>
                <w:rPr>
                  <w:rStyle w:val="InternetLink"/>
                  <w:rFonts w:ascii="Times New Roman;sans-serif" w:hAnsi="Times New Roman;sans-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
              <w:r>
                <w:rPr>
                  <w:rStyle w:val="InternetLink"/>
                  <w:rFonts w:ascii="Times New Roman;sans-serif" w:hAnsi="Times New Roman;sans-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6">
              <w:r>
                <w:rPr>
                  <w:rStyle w:val="InternetLink"/>
                  <w:rFonts w:ascii="Times New Roman;sans-serif" w:hAnsi="Times New Roman;sans-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6">
              <w:r>
                <w:rPr>
                  <w:rStyle w:val="InternetLink"/>
                  <w:rFonts w:ascii="Times New Roman;sans-serif" w:hAnsi="Times New Roman;sans-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9">
              <w:r>
                <w:rPr>
                  <w:rStyle w:val="InternetLink"/>
                  <w:rFonts w:ascii="Times New Roman;sans-serif" w:hAnsi="Times New Roman;sans-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22">
              <w:r>
                <w:rPr>
                  <w:rStyle w:val="InternetLink"/>
                  <w:rFonts w:ascii="Times New Roman;sans-serif" w:hAnsi="Times New Roman;sans-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25">
              <w:r>
                <w:rPr>
                  <w:rStyle w:val="InternetLink"/>
                  <w:rFonts w:ascii="Times New Roman;sans-serif" w:hAnsi="Times New Roman;sans-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28">
              <w:r>
                <w:rPr>
                  <w:rStyle w:val="InternetLink"/>
                  <w:rFonts w:ascii="Times New Roman;sans-serif" w:hAnsi="Times New Roman;sans-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31">
              <w:r>
                <w:rPr>
                  <w:rStyle w:val="InternetLink"/>
                  <w:rFonts w:ascii="Times New Roman;sans-serif" w:hAnsi="Times New Roman;sans-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34">
              <w:r>
                <w:rPr>
                  <w:rStyle w:val="InternetLink"/>
                  <w:rFonts w:ascii="Times New Roman;sans-serif" w:hAnsi="Times New Roman;sans-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34">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37">
              <w:r>
                <w:rPr>
                  <w:rStyle w:val="InternetLink"/>
                  <w:rFonts w:ascii="Times New Roman;sans-serif" w:hAnsi="Times New Roman;sans-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37">
              <w:r>
                <w:rPr>
                  <w:rStyle w:val="InternetLink"/>
                  <w:rFonts w:ascii="Times New Roman;sans-serif" w:hAnsi="Times New Roman;sans-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88">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88">
              <w:r>
                <w:rPr>
                  <w:rStyle w:val="InternetLink"/>
                  <w:rFonts w:ascii="Times New Roman;sans-serif" w:hAnsi="Times New Roman;sans-serif"/>
                  <w:b w:val="false"/>
                  <w:strike w:val="false"/>
                  <w:dstrike w:val="false"/>
                  <w:color w:val="000000"/>
                  <w:sz w:val="20"/>
                  <w:u w:val="none"/>
                  <w:effect w:val="none"/>
                </w:rPr>
                <w:t>20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15">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15">
              <w:r>
                <w:rPr>
                  <w:rStyle w:val="InternetLink"/>
                  <w:rFonts w:ascii="Times New Roman;sans-serif" w:hAnsi="Times New Roman;sans-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15">
              <w:r>
                <w:rPr>
                  <w:rStyle w:val="InternetLink"/>
                  <w:rFonts w:ascii="Times New Roman;sans-serif" w:hAnsi="Times New Roman;sans-serif"/>
                  <w:b w:val="false"/>
                  <w:strike w:val="false"/>
                  <w:dstrike w:val="false"/>
                  <w:color w:val="000000"/>
                  <w:sz w:val="20"/>
                  <w:u w:val="none"/>
                  <w:effect w:val="none"/>
                </w:rPr>
                <w:t>27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18">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18">
              <w:r>
                <w:rPr>
                  <w:rStyle w:val="InternetLink"/>
                  <w:rFonts w:ascii="Times New Roman;sans-serif" w:hAnsi="Times New Roman;sans-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18">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1">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1">
              <w:r>
                <w:rPr>
                  <w:rStyle w:val="InternetLink"/>
                  <w:rFonts w:ascii="Times New Roman;sans-serif" w:hAnsi="Times New Roman;sans-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21">
              <w:r>
                <w:rPr>
                  <w:rStyle w:val="InternetLink"/>
                  <w:rFonts w:ascii="Times New Roman;sans-serif" w:hAnsi="Times New Roman;sans-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4">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4">
              <w:r>
                <w:rPr>
                  <w:rStyle w:val="InternetLink"/>
                  <w:rFonts w:ascii="Times New Roman;sans-serif" w:hAnsi="Times New Roman;sans-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24">
              <w:r>
                <w:rPr>
                  <w:rStyle w:val="InternetLink"/>
                  <w:rFonts w:ascii="Times New Roman;sans-serif" w:hAnsi="Times New Roman;sans-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7">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27">
              <w:r>
                <w:rPr>
                  <w:rStyle w:val="InternetLink"/>
                  <w:rFonts w:ascii="Times New Roman;sans-serif" w:hAnsi="Times New Roman;sans-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27">
              <w:r>
                <w:rPr>
                  <w:rStyle w:val="InternetLink"/>
                  <w:rFonts w:ascii="Times New Roman;sans-serif" w:hAnsi="Times New Roman;sans-serif"/>
                  <w:b w:val="false"/>
                  <w:strike w:val="false"/>
                  <w:dstrike w:val="false"/>
                  <w:color w:val="000000"/>
                  <w:sz w:val="20"/>
                  <w:u w:val="none"/>
                  <w:effect w:val="non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0">
              <w:r>
                <w:rPr>
                  <w:rStyle w:val="InternetLink"/>
                  <w:rFonts w:ascii="Times New Roman;sans-serif" w:hAnsi="Times New Roman;sans-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30">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3">
              <w:r>
                <w:rPr>
                  <w:rStyle w:val="InternetLink"/>
                  <w:rFonts w:ascii="Times New Roman;sans-serif" w:hAnsi="Times New Roman;sans-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33">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6">
              <w:r>
                <w:rPr>
                  <w:rStyle w:val="InternetLink"/>
                  <w:rFonts w:ascii="Times New Roman;sans-serif" w:hAnsi="Times New Roman;sans-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36">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9">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39">
              <w:r>
                <w:rPr>
                  <w:rStyle w:val="InternetLink"/>
                  <w:rFonts w:ascii="Times New Roman;sans-serif" w:hAnsi="Times New Roman;sans-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45">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45">
              <w:r>
                <w:rPr>
                  <w:rStyle w:val="InternetLink"/>
                  <w:rFonts w:ascii="Times New Roman;sans-serif" w:hAnsi="Times New Roman;sans-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45">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80f58f17864f0ba29eb4cf6c246f67_148">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080f58f17864f0ba29eb4cf6c246f67_148">
              <w:r>
                <w:rPr>
                  <w:rStyle w:val="InternetLink"/>
                  <w:rFonts w:ascii="Times New Roman;sans-serif" w:hAnsi="Times New Roman;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2024 (our "Annual Report") as filed with the SEC, as such risk factors may be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clients may terminate contracts before completion or choose not to renew contracts and a loss of business or non-payment from clients could materially affect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Trust + Safety, including content moderation and monitoring services, is a large and growing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Fluctuations against the U.S. dollar in the local currencies in the countries in which we operate could have a material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Pricing pressure may reduce our revenue or gross profits and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Certain investment funds associated with Blackstone Inc.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(www.taskus.com) and our social media outlets, such as Facebook, Instagram, LinkedIn, YouTube and X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X account at x.com/taskus.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35"/>
        <w:gridCol w:w="2394"/>
        <w:gridCol w:w="2391"/>
        <w:gridCol w:w="196"/>
        <w:gridCol w:w="736"/>
        <w:gridCol w:w="109"/>
        <w:gridCol w:w="109"/>
        <w:gridCol w:w="109"/>
        <w:gridCol w:w="109"/>
        <w:gridCol w:w="201"/>
        <w:gridCol w:w="756"/>
        <w:gridCol w:w="160"/>
      </w:tblGrid>
      <w:tr>
        <w:trPr/>
        <w:tc>
          <w:tcPr>
            <w:tcW w:w="2935"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$1,582 and $1,299,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435,352 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517,946 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953,298 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456,379 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34,076,321 issued and 20,001,653 outstanding and 33,215,441 issued and 19,891,464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726,917 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14,074,668 and 13,323,977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953,298 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8256" w:type="dxa"/>
        <w:jc w:val="left"/>
        <w:tblInd w:w="0" w:type="dxa"/>
        <w:tblLayout w:type="fixed"/>
        <w:tblCellMar>
          <w:top w:w="28" w:type="dxa"/>
          <w:left w:w="28" w:type="dxa"/>
          <w:bottom w:w="28" w:type="dxa"/>
          <w:right w:w="28" w:type="dxa"/>
        </w:tblCellMar>
      </w:tblPr>
      <w:tblGrid>
        <w:gridCol w:w="1537"/>
        <w:gridCol w:w="1350"/>
        <w:gridCol w:w="1358"/>
        <w:gridCol w:w="109"/>
        <w:gridCol w:w="109"/>
        <w:gridCol w:w="173"/>
        <w:gridCol w:w="173"/>
        <w:gridCol w:w="173"/>
        <w:gridCol w:w="173"/>
        <w:gridCol w:w="312"/>
        <w:gridCol w:w="1174"/>
        <w:gridCol w:w="173"/>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42" w:type="dxa"/>
            <w:gridSpan w:val="6"/>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90,040,348 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88,795,211 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93,655,539 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91,849,886 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059" w:type="dxa"/>
        <w:jc w:val="left"/>
        <w:tblInd w:w="0" w:type="dxa"/>
        <w:tblLayout w:type="fixed"/>
        <w:tblCellMar>
          <w:top w:w="28" w:type="dxa"/>
          <w:left w:w="28" w:type="dxa"/>
          <w:bottom w:w="28" w:type="dxa"/>
          <w:right w:w="28" w:type="dxa"/>
        </w:tblCellMar>
      </w:tblPr>
      <w:tblGrid>
        <w:gridCol w:w="1143"/>
        <w:gridCol w:w="1007"/>
        <w:gridCol w:w="1014"/>
        <w:gridCol w:w="109"/>
        <w:gridCol w:w="109"/>
        <w:gridCol w:w="185"/>
        <w:gridCol w:w="185"/>
        <w:gridCol w:w="185"/>
        <w:gridCol w:w="185"/>
        <w:gridCol w:w="332"/>
        <w:gridCol w:w="1097"/>
        <w:gridCol w:w="185"/>
        <w:gridCol w:w="109"/>
        <w:gridCol w:w="109"/>
        <w:gridCol w:w="109"/>
        <w:gridCol w:w="196"/>
        <w:gridCol w:w="646"/>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30,522,570 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31,020,925 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12,082,234 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454,594 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34,076,321 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14,074,668 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520,311 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243" w:type="dxa"/>
        <w:jc w:val="center"/>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on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TaskUs, Inc.</w:t>
      </w:r>
      <w:r>
        <w:rPr>
          <w:color w:val="000000"/>
        </w:rPr>
        <w:t xml:space="preserve"> </w:t>
      </w:r>
      <w:r>
        <w:rPr>
          <w:rFonts w:ascii="Times New Roman;sans-serif" w:hAnsi="Times New Roman;sans-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 Safety and Artificial Intelligence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AI</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rPr>
        <w:t>Trust + Safety</w:t>
      </w:r>
      <w:r>
        <w:rPr>
          <w:rFonts w:ascii="Times New Roman;sans-serif" w:hAnsi="Times New Roman;sans-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2024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2024 included in the Annual Report. In the opinion of the Company, the accompanying unaudited condensed consolidated financial statements contain all adjustments, consisting of only normal recurring adjustments, necessary for a fair statement of its financial position as of March 31, 2025 and its statements of income, comprehensive income, shareholders’ equity and cash flows for the three months ended March 31, 2025 and 2024. The condensed consolidated balance sheet as of December 31, 2024,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ans-serif" w:hAnsi="Times New Roman;sans-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 Concentration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following client represented greater than 10% of the Company’s service revenue:</w:t>
      </w:r>
    </w:p>
    <w:tbl>
      <w:tblPr>
        <w:tblW w:w="371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01"/>
        <w:gridCol w:w="201"/>
        <w:gridCol w:w="473"/>
        <w:gridCol w:w="201"/>
        <w:gridCol w:w="201"/>
        <w:gridCol w:w="201"/>
        <w:gridCol w:w="201"/>
        <w:gridCol w:w="201"/>
        <w:gridCol w:w="473"/>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c>
          <w:tcPr>
            <w:tcW w:w="481" w:type="dxa"/>
            <w:gridSpan w:val="4"/>
            <w:tcBorders/>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following clients represented greater than 10% of the Company’s accounts receivable: </w:t>
      </w:r>
    </w:p>
    <w:tbl>
      <w:tblPr>
        <w:tblW w:w="428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89"/>
        <w:gridCol w:w="289"/>
        <w:gridCol w:w="681"/>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reviewing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6142" w:type="dxa"/>
        <w:jc w:val="left"/>
        <w:tblInd w:w="0" w:type="dxa"/>
        <w:tblLayout w:type="fixed"/>
        <w:tblCellMar>
          <w:top w:w="28" w:type="dxa"/>
          <w:left w:w="28" w:type="dxa"/>
          <w:bottom w:w="28" w:type="dxa"/>
          <w:right w:w="28" w:type="dxa"/>
        </w:tblCellMar>
      </w:tblPr>
      <w:tblGrid>
        <w:gridCol w:w="782"/>
        <w:gridCol w:w="688"/>
        <w:gridCol w:w="690"/>
        <w:gridCol w:w="109"/>
        <w:gridCol w:w="109"/>
        <w:gridCol w:w="173"/>
        <w:gridCol w:w="173"/>
        <w:gridCol w:w="173"/>
        <w:gridCol w:w="173"/>
        <w:gridCol w:w="312"/>
        <w:gridCol w:w="1174"/>
        <w:gridCol w:w="173"/>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 Safety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5226" w:type="dxa"/>
        <w:jc w:val="left"/>
        <w:tblInd w:w="0" w:type="dxa"/>
        <w:tblLayout w:type="fixed"/>
        <w:tblCellMar>
          <w:top w:w="28" w:type="dxa"/>
          <w:left w:w="28" w:type="dxa"/>
          <w:bottom w:w="28" w:type="dxa"/>
          <w:right w:w="28" w:type="dxa"/>
        </w:tblCellMar>
      </w:tblPr>
      <w:tblGrid>
        <w:gridCol w:w="451"/>
        <w:gridCol w:w="396"/>
        <w:gridCol w:w="397"/>
        <w:gridCol w:w="109"/>
        <w:gridCol w:w="109"/>
        <w:gridCol w:w="173"/>
        <w:gridCol w:w="173"/>
        <w:gridCol w:w="173"/>
        <w:gridCol w:w="173"/>
        <w:gridCol w:w="312"/>
        <w:gridCol w:w="1174"/>
        <w:gridCol w:w="173"/>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151,717 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includes $107.2 million and $92.7 million of unbilled revenue as of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4. Forward Contracts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2025 and 2024, the Company entered into foreign currency exchange rate forward contracts, with five commercial banks as the counterparties, with maturities of generally 12 months or less, to reduce the volatility of cash flows, primarily related to forecasted costs denominated in Philippine pesos, Indian rupees, Mexican pesos and Colombian pesos. </w:t>
      </w:r>
      <w:r>
        <w:rPr>
          <w:rFonts w:ascii="Times New Roman;sans-serif" w:hAnsi="Times New Roman;sans-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realized losses associated with our cash flow hedges reclassified from accumulated other comprehensive loss ("AOCL") to earnings:</w:t>
      </w:r>
    </w:p>
    <w:tbl>
      <w:tblPr>
        <w:tblW w:w="6929"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21"/>
        <w:gridCol w:w="221"/>
        <w:gridCol w:w="221"/>
        <w:gridCol w:w="221"/>
        <w:gridCol w:w="397"/>
        <w:gridCol w:w="853"/>
        <w:gridCol w:w="221"/>
        <w:gridCol w:w="109"/>
        <w:gridCol w:w="109"/>
        <w:gridCol w:w="109"/>
        <w:gridCol w:w="196"/>
        <w:gridCol w:w="40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amount reclassified from AOCL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designated as cash flow hedges:</w:t>
      </w:r>
    </w:p>
    <w:tbl>
      <w:tblPr>
        <w:tblW w:w="8306" w:type="dxa"/>
        <w:jc w:val="left"/>
        <w:tblInd w:w="0" w:type="dxa"/>
        <w:tblLayout w:type="fixed"/>
        <w:tblCellMar>
          <w:top w:w="28" w:type="dxa"/>
          <w:left w:w="28" w:type="dxa"/>
          <w:bottom w:w="28" w:type="dxa"/>
          <w:right w:w="28" w:type="dxa"/>
        </w:tblCellMar>
      </w:tblPr>
      <w:tblGrid>
        <w:gridCol w:w="2140"/>
        <w:gridCol w:w="1882"/>
        <w:gridCol w:w="1888"/>
        <w:gridCol w:w="231"/>
        <w:gridCol w:w="762"/>
        <w:gridCol w:w="128"/>
        <w:gridCol w:w="128"/>
        <w:gridCol w:w="128"/>
        <w:gridCol w:w="128"/>
        <w:gridCol w:w="231"/>
        <w:gridCol w:w="479"/>
        <w:gridCol w:w="181"/>
      </w:tblGrid>
      <w:tr>
        <w:trPr/>
        <w:tc>
          <w:tcPr>
            <w:tcW w:w="214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Mexican pesos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Colombian pesos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 designated as cash flow hedges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 designated as cash flow hedges:</w:t>
      </w:r>
    </w:p>
    <w:tbl>
      <w:tblPr>
        <w:tblW w:w="9011" w:type="dxa"/>
        <w:jc w:val="left"/>
        <w:tblInd w:w="0" w:type="dxa"/>
        <w:tblLayout w:type="fixed"/>
        <w:tblCellMar>
          <w:top w:w="28" w:type="dxa"/>
          <w:left w:w="28" w:type="dxa"/>
          <w:bottom w:w="28" w:type="dxa"/>
          <w:right w:w="28" w:type="dxa"/>
        </w:tblCellMar>
      </w:tblPr>
      <w:tblGrid>
        <w:gridCol w:w="2276"/>
        <w:gridCol w:w="2002"/>
        <w:gridCol w:w="2007"/>
        <w:gridCol w:w="237"/>
        <w:gridCol w:w="891"/>
        <w:gridCol w:w="132"/>
        <w:gridCol w:w="109"/>
        <w:gridCol w:w="109"/>
        <w:gridCol w:w="109"/>
        <w:gridCol w:w="205"/>
        <w:gridCol w:w="773"/>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Mexican pesos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Colombian pesos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 designated as cash flow hedges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203,953 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All cash flow hedges were determined to be highly effective, with no component of any gain or loss excluded from the assessment of hedge effectiveness, for the periods presented. Net unrealized gains on cash flow hedges for the three months ended March 31, 2025 were $6.1 million. As of March 31, 2025, the net accumulated gain on our foreign currency cash flow hedges expected to be reclassed from AOCL into earnings within the next 12 months was $2.4 million. See Note 13, “Accumulated Other Comprehensive Loss” for </w:t>
      </w:r>
      <w:r>
        <w:rPr>
          <w:rFonts w:ascii="Times New Roman;sans-serif" w:hAnsi="Times New Roman;sans-serif"/>
          <w:b w:val="false"/>
          <w:color w:val="000000"/>
          <w:sz w:val="20"/>
          <w:shd w:fill="FFFFFF" w:val="clear"/>
        </w:rPr>
        <w:t>additional information regarding changes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and realized and unrealized losses (gains) associated with derivative contracts not designated as hedging instruments:</w:t>
      </w:r>
    </w:p>
    <w:tbl>
      <w:tblPr>
        <w:tblW w:w="8679" w:type="dxa"/>
        <w:jc w:val="left"/>
        <w:tblInd w:w="0" w:type="dxa"/>
        <w:tblLayout w:type="fixed"/>
        <w:tblCellMar>
          <w:top w:w="28" w:type="dxa"/>
          <w:left w:w="28" w:type="dxa"/>
          <w:bottom w:w="28" w:type="dxa"/>
          <w:right w:w="28" w:type="dxa"/>
        </w:tblCellMar>
      </w:tblPr>
      <w:tblGrid>
        <w:gridCol w:w="1694"/>
        <w:gridCol w:w="1490"/>
        <w:gridCol w:w="1495"/>
        <w:gridCol w:w="109"/>
        <w:gridCol w:w="109"/>
        <w:gridCol w:w="109"/>
        <w:gridCol w:w="223"/>
        <w:gridCol w:w="223"/>
        <w:gridCol w:w="223"/>
        <w:gridCol w:w="223"/>
        <w:gridCol w:w="402"/>
        <w:gridCol w:w="833"/>
        <w:gridCol w:w="223"/>
        <w:gridCol w:w="109"/>
        <w:gridCol w:w="109"/>
        <w:gridCol w:w="109"/>
        <w:gridCol w:w="196"/>
        <w:gridCol w:w="64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from settlement of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outstanding forward contracts not designated as hedging instruments as of March 31, 2025 and December 31, 2024.</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March 31, 2025 and December 31, 2024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634"/>
        <w:gridCol w:w="479"/>
        <w:gridCol w:w="480"/>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40"/>
        <w:gridCol w:w="792"/>
        <w:gridCol w:w="133"/>
        <w:gridCol w:w="109"/>
        <w:gridCol w:w="109"/>
        <w:gridCol w:w="109"/>
        <w:gridCol w:w="109"/>
        <w:gridCol w:w="109"/>
        <w:gridCol w:w="109"/>
        <w:gridCol w:w="109"/>
        <w:gridCol w:w="109"/>
        <w:gridCol w:w="109"/>
        <w:gridCol w:w="424"/>
        <w:gridCol w:w="947"/>
        <w:gridCol w:w="238"/>
        <w:gridCol w:w="109"/>
        <w:gridCol w:w="109"/>
        <w:gridCol w:w="109"/>
        <w:gridCol w:w="200"/>
        <w:gridCol w:w="662"/>
        <w:gridCol w:w="164"/>
      </w:tblGrid>
      <w:tr>
        <w:trPr/>
        <w:tc>
          <w:tcPr>
            <w:tcW w:w="6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89" w:type="dxa"/>
            <w:gridSpan w:val="12"/>
            <w:tcBorders/>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5"/>
        <w:gridCol w:w="540"/>
        <w:gridCol w:w="542"/>
        <w:gridCol w:w="206"/>
        <w:gridCol w:w="681"/>
        <w:gridCol w:w="114"/>
        <w:gridCol w:w="109"/>
        <w:gridCol w:w="109"/>
        <w:gridCol w:w="109"/>
        <w:gridCol w:w="214"/>
        <w:gridCol w:w="609"/>
        <w:gridCol w:w="119"/>
        <w:gridCol w:w="109"/>
        <w:gridCol w:w="109"/>
        <w:gridCol w:w="109"/>
        <w:gridCol w:w="232"/>
        <w:gridCol w:w="481"/>
        <w:gridCol w:w="129"/>
        <w:gridCol w:w="109"/>
        <w:gridCol w:w="109"/>
        <w:gridCol w:w="109"/>
        <w:gridCol w:w="253"/>
        <w:gridCol w:w="834"/>
        <w:gridCol w:w="140"/>
        <w:gridCol w:w="109"/>
        <w:gridCol w:w="109"/>
        <w:gridCol w:w="109"/>
        <w:gridCol w:w="479"/>
        <w:gridCol w:w="995"/>
        <w:gridCol w:w="268"/>
        <w:gridCol w:w="109"/>
        <w:gridCol w:w="109"/>
        <w:gridCol w:w="109"/>
        <w:gridCol w:w="202"/>
        <w:gridCol w:w="667"/>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net as of March 31, 2025 and December 31, 2024, were as follows:</w:t>
      </w:r>
    </w:p>
    <w:tbl>
      <w:tblPr>
        <w:tblW w:w="4712" w:type="dxa"/>
        <w:jc w:val="left"/>
        <w:tblInd w:w="0" w:type="dxa"/>
        <w:tblLayout w:type="fixed"/>
        <w:tblCellMar>
          <w:top w:w="28" w:type="dxa"/>
          <w:left w:w="28" w:type="dxa"/>
          <w:bottom w:w="28" w:type="dxa"/>
          <w:right w:w="28" w:type="dxa"/>
        </w:tblCellMar>
      </w:tblPr>
      <w:tblGrid>
        <w:gridCol w:w="829"/>
        <w:gridCol w:w="730"/>
        <w:gridCol w:w="735"/>
        <w:gridCol w:w="196"/>
        <w:gridCol w:w="646"/>
        <w:gridCol w:w="109"/>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March 31, 2025 and December 31, 2024:</w:t>
      </w:r>
    </w:p>
    <w:tbl>
      <w:tblPr>
        <w:tblW w:w="4532" w:type="dxa"/>
        <w:jc w:val="left"/>
        <w:tblInd w:w="0" w:type="dxa"/>
        <w:tblLayout w:type="fixed"/>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Colombia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Goodwill and Intangibles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March 31, 2025 and December 31, 2024:</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of current and noncurrent portions of debt consisted of the following as of March 31, 2025 and December 31, 2024:</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Term Loan Facility matures on September 7, 2027. We have elected to pay interest on borrowings under the 2022 Term Loan Facility based on the SOFR rate. The interest rate in effect for the 2022 Term Loan Facility as of March 31, 2025 was 6.649% per annum. Due to its variable interest rates, the carrying amount of debt approximates fair value based on the present value of future cash flows using Level 2 inputs.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terminates on September 7, 2027. As of March 31, 2025, the Company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debt covenants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lease costs recorded to cost of services:</w:t>
      </w:r>
    </w:p>
    <w:tbl>
      <w:tblPr>
        <w:tblW w:w="6820"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197"/>
        <w:gridCol w:w="197"/>
        <w:gridCol w:w="197"/>
        <w:gridCol w:w="197"/>
        <w:gridCol w:w="356"/>
        <w:gridCol w:w="1009"/>
        <w:gridCol w:w="197"/>
        <w:gridCol w:w="109"/>
        <w:gridCol w:w="109"/>
        <w:gridCol w:w="109"/>
        <w:gridCol w:w="196"/>
        <w:gridCol w:w="55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 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weighted average discount rate for the Company's operating leases as of March 31, 2025 and December 31, 2024:</w:t>
      </w:r>
    </w:p>
    <w:tbl>
      <w:tblPr>
        <w:tblW w:w="6338"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88"/>
        <w:gridCol w:w="288"/>
        <w:gridCol w:w="684"/>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the Company's operating leases:</w:t>
      </w:r>
    </w:p>
    <w:tbl>
      <w:tblPr>
        <w:tblW w:w="8466"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224"/>
        <w:gridCol w:w="637"/>
        <w:gridCol w:w="124"/>
        <w:gridCol w:w="124"/>
        <w:gridCol w:w="124"/>
        <w:gridCol w:w="124"/>
        <w:gridCol w:w="224"/>
        <w:gridCol w:w="637"/>
        <w:gridCol w:w="176"/>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lease payments on the Company's operating lease liabilities as of March 31, 2025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w:t>
      </w:r>
      <w:r>
        <w:rPr>
          <w:rFonts w:ascii="Times New Roman;sans-serif" w:hAnsi="Times New Roman;sans-serif"/>
          <w:b w:val="false"/>
          <w:color w:val="000000"/>
          <w:sz w:val="20"/>
        </w:rPr>
        <w:t>.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February 23, 2022, </w:t>
      </w:r>
      <w:r>
        <w:rPr>
          <w:rFonts w:ascii="Times New Roman;sans-serif" w:hAnsi="Times New Roman;sans-serif"/>
          <w:b w:val="false"/>
          <w:color w:val="000000"/>
          <w:sz w:val="20"/>
        </w:rPr>
        <w:t xml:space="preserve">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initial public offering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On February 17, 2023, TaskUs and the other named defendants filed a motion to dismiss. On October 16, 2023, the plaintiffs voluntarily dismissed with prejudice certain claims based on certain theories of liability. </w:t>
      </w:r>
      <w:r>
        <w:rPr>
          <w:rFonts w:ascii="Times New Roman;sans-serif" w:hAnsi="Times New Roman;sans-serif"/>
          <w:b w:val="false"/>
          <w:color w:val="000000"/>
          <w:sz w:val="20"/>
          <w:shd w:fill="FFFFFF" w:val="clear"/>
        </w:rPr>
        <w:t>On February 24, 2025, the Company entered into a Stipulation and Agreement of Settlement (the “Settlement Agreement”), which is subject to approval by the court</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The Settlement Agreement contemplates a combined payment by defendants of $17.5 million, inclusive of plaintiffs’ attorneys’ fees and expenses, and a full and complete release of all claims. The Company expects its insurance retention and policies to fund the settlement amount. The defendants have entered into the Settlement Agreement solely to eliminate the burden, expense, uncertainty, and risk of further litigation and have denied, and continue to deny, any and all allegations of liability or wrongdoing.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Eaton previously delivered a demand pursuant to 8 Del. C. §220 on TaskUs on July 3, 2024, which the Company responded to on September 16, 2024. The Eaton complaint includes allegations similar to those in the Lozada case and asserts a claim for breach of fiduciary duty. In particular, the complaint alleges that TaskUs’s public filings included misstatements regarding its low employee attrition rate and high Glassdoor rating in the lead-up periods to the Company’s IPO and secondary public offering in October 2021 (“SPO”). The complaint includes one count for breach of fiduciary duty and alleges that because of TaskUs’s breach, the Company has suffered damages in the form of: (1) legal fees associated with the Lozada litigation; (2) loss of reputation and goodwill; (3) costs associated with investigations into the misstatement allegations; (4) money used to facilitate the IPO and SPO; (5) insider profits derived from the IPO and SPO; and (6) loss of Company revenue and profits. The Company is unable to predict, with a reasonable degree of certainty, the likely outcome of this litigation.</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The Tucker complaint includes allegations that are substantially similar to those in the Eaton case and asserts claims for contribution, breach of fiduciary duty, aiding and abetting breaches of fiduciary duty, unjust enrichment, and waste. The Company is unable to predict, with a reasonable degree of certainty, the likely outcome of this litigation.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currently defending three lawsuits that present in large degree the same legal or factual issues, with allegations that are similar in nature. We believe that these three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the Company filed a motion to dismiss, which is currently pending. On April 24, 2025, the parties reached an agreement in principle to settle all of the plaintiffs' individual claims for an immaterial amount and requested an additional thirty-day stay to finalize the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February 5, 2024, TaskUs filed a motion to dismiss. On July 16, 2024, the Court granted in part and denied in part the motion to dismiss. On August 23, 2024, the plaintiffs filed an amended complaint. On September 19, 2024, TaskUs filed a motion to dismiss, which the court granted on February 6, 2025.</w:t>
      </w:r>
    </w:p>
    <w:p>
      <w:pPr>
        <w:pStyle w:val="TextBody"/>
        <w:bidi w:val="0"/>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following table summarizes the stock option, restricted stock unit ("RSU") and performance stock unit ("PSU") activity for the </w:t>
      </w:r>
      <w:r>
        <w:rPr>
          <w:rFonts w:ascii="Times New Roman;sans-serif" w:hAnsi="Times New Roman;sans-serif"/>
          <w:b w:val="false"/>
          <w:color w:val="000000"/>
          <w:sz w:val="20"/>
        </w:rPr>
        <w:t>three months ended March 31, 2025</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84"/>
        <w:gridCol w:w="453"/>
        <w:gridCol w:w="455"/>
        <w:gridCol w:w="435"/>
        <w:gridCol w:w="436"/>
        <w:gridCol w:w="296"/>
        <w:gridCol w:w="109"/>
        <w:gridCol w:w="109"/>
        <w:gridCol w:w="109"/>
        <w:gridCol w:w="246"/>
        <w:gridCol w:w="698"/>
        <w:gridCol w:w="137"/>
        <w:gridCol w:w="109"/>
        <w:gridCol w:w="109"/>
        <w:gridCol w:w="109"/>
        <w:gridCol w:w="454"/>
        <w:gridCol w:w="456"/>
        <w:gridCol w:w="296"/>
        <w:gridCol w:w="109"/>
        <w:gridCol w:w="109"/>
        <w:gridCol w:w="109"/>
        <w:gridCol w:w="273"/>
        <w:gridCol w:w="777"/>
        <w:gridCol w:w="153"/>
        <w:gridCol w:w="109"/>
        <w:gridCol w:w="109"/>
        <w:gridCol w:w="109"/>
        <w:gridCol w:w="435"/>
        <w:gridCol w:w="436"/>
        <w:gridCol w:w="296"/>
        <w:gridCol w:w="109"/>
        <w:gridCol w:w="109"/>
        <w:gridCol w:w="109"/>
        <w:gridCol w:w="269"/>
        <w:gridCol w:w="766"/>
        <w:gridCol w:w="219"/>
      </w:tblGrid>
      <w:tr>
        <w:trPr/>
        <w:tc>
          <w:tcPr>
            <w:tcW w:w="58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4,846,497 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4,309,358 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1,675,686 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(1,157,260)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(140,635)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4,792,794 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4,687,149 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4,062,948 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PSUs granted during the three months ended March 31, 2025 vest contingently over three years subject to continued service and the achievement of certain Revenue and Adjusted EBITDA targets (performance conditions).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for the periods presented:</w:t>
      </w:r>
    </w:p>
    <w:tbl>
      <w:tblPr>
        <w:tblW w:w="7055" w:type="dxa"/>
        <w:jc w:val="left"/>
        <w:tblInd w:w="0" w:type="dxa"/>
        <w:tblLayout w:type="fixed"/>
        <w:tblCellMar>
          <w:top w:w="28" w:type="dxa"/>
          <w:left w:w="28" w:type="dxa"/>
          <w:bottom w:w="28" w:type="dxa"/>
          <w:right w:w="28" w:type="dxa"/>
        </w:tblCellMar>
      </w:tblPr>
      <w:tblGrid>
        <w:gridCol w:w="1146"/>
        <w:gridCol w:w="1008"/>
        <w:gridCol w:w="1010"/>
        <w:gridCol w:w="109"/>
        <w:gridCol w:w="109"/>
        <w:gridCol w:w="197"/>
        <w:gridCol w:w="197"/>
        <w:gridCol w:w="197"/>
        <w:gridCol w:w="197"/>
        <w:gridCol w:w="356"/>
        <w:gridCol w:w="1009"/>
        <w:gridCol w:w="197"/>
        <w:gridCol w:w="109"/>
        <w:gridCol w:w="109"/>
        <w:gridCol w:w="109"/>
        <w:gridCol w:w="196"/>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$1.4 million, $38.4 million and $3.9 million of unrecognized compensation expense related to the Company’s unvested stock options, RSUs and PSUs, respectively, that is expected to be recognized over a weighted-average period of 0.8 years, 1.7 years and 1.6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provision for income taxes of $8.6 million and $6.5 million in the three months ended March 31, 2025 and 2024, respectively. The effective tax rate was 28.9% and 35.7% for the three months ended March 31, 2025 and 2024, respectively. The difference between the effective tax rate and the 21% federal statutory rate in the three months ended March 31, 2025 was primarily due to nondeductible compensation of officers, Global Intangible Low-Taxed Income ("GILTI") inclusion, and tax benefits of income tax holidays in foreign jurisdiction. The difference between the effective tax rate and the 21% federal statutory rate in the three months ended March 31, 2024 was primarily due to nondeductible compensation of officers and GILTI inclusion.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earnings per share for the three months ended March 31, 2025 and 2024:</w:t>
      </w:r>
    </w:p>
    <w:tbl>
      <w:tblPr>
        <w:tblW w:w="8094" w:type="dxa"/>
        <w:jc w:val="left"/>
        <w:tblInd w:w="0" w:type="dxa"/>
        <w:tblLayout w:type="fixed"/>
        <w:tblCellMar>
          <w:top w:w="28" w:type="dxa"/>
          <w:left w:w="28" w:type="dxa"/>
          <w:bottom w:w="28" w:type="dxa"/>
          <w:right w:w="28" w:type="dxa"/>
        </w:tblCellMar>
      </w:tblPr>
      <w:tblGrid>
        <w:gridCol w:w="1476"/>
        <w:gridCol w:w="1297"/>
        <w:gridCol w:w="1307"/>
        <w:gridCol w:w="109"/>
        <w:gridCol w:w="109"/>
        <w:gridCol w:w="185"/>
        <w:gridCol w:w="185"/>
        <w:gridCol w:w="185"/>
        <w:gridCol w:w="185"/>
        <w:gridCol w:w="332"/>
        <w:gridCol w:w="1097"/>
        <w:gridCol w:w="185"/>
        <w:gridCol w:w="109"/>
        <w:gridCol w:w="109"/>
        <w:gridCol w:w="109"/>
        <w:gridCol w:w="223"/>
        <w:gridCol w:w="738"/>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42"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90,040,348 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88,795,211 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3,615,191 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3,054,675 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93,655,539 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91,849,886 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3,191,688 potential common stock equivalents from the computation of diluted EPS for the three months ended March 31, 2025, and 3,414,870 potential common stock equivalents from the computation of diluted EPS for the three months ended March 31, 2024, because the effect would have been anti-dilutive. There were 4,062,948 and 4,672,564 potential common stock equivalents outstanding as of March 31, 2025 and 2024,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13. Accumulated Other Comprehensive Loss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consisted of the following:</w:t>
      </w:r>
    </w:p>
    <w:tbl>
      <w:tblPr>
        <w:tblW w:w="10205" w:type="dxa"/>
        <w:jc w:val="left"/>
        <w:tblInd w:w="0" w:type="dxa"/>
        <w:tblLayout w:type="fixed"/>
        <w:tblCellMar>
          <w:top w:w="28" w:type="dxa"/>
          <w:left w:w="28" w:type="dxa"/>
          <w:bottom w:w="28" w:type="dxa"/>
          <w:right w:w="28" w:type="dxa"/>
        </w:tblCellMar>
      </w:tblPr>
      <w:tblGrid>
        <w:gridCol w:w="1016"/>
        <w:gridCol w:w="655"/>
        <w:gridCol w:w="657"/>
        <w:gridCol w:w="345"/>
        <w:gridCol w:w="1259"/>
        <w:gridCol w:w="192"/>
        <w:gridCol w:w="109"/>
        <w:gridCol w:w="109"/>
        <w:gridCol w:w="109"/>
        <w:gridCol w:w="364"/>
        <w:gridCol w:w="783"/>
        <w:gridCol w:w="203"/>
        <w:gridCol w:w="109"/>
        <w:gridCol w:w="109"/>
        <w:gridCol w:w="109"/>
        <w:gridCol w:w="505"/>
        <w:gridCol w:w="1046"/>
        <w:gridCol w:w="284"/>
        <w:gridCol w:w="109"/>
        <w:gridCol w:w="109"/>
        <w:gridCol w:w="109"/>
        <w:gridCol w:w="369"/>
        <w:gridCol w:w="1247"/>
        <w:gridCol w:w="299"/>
      </w:tblGrid>
      <w:tr>
        <w:trPr/>
        <w:tc>
          <w:tcPr>
            <w:tcW w:w="10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(13,018)</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(12,859)</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379"/>
        <w:gridCol w:w="1189"/>
        <w:gridCol w:w="211"/>
        <w:gridCol w:w="109"/>
        <w:gridCol w:w="109"/>
        <w:gridCol w:w="109"/>
        <w:gridCol w:w="283"/>
        <w:gridCol w:w="1006"/>
        <w:gridCol w:w="588"/>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(18,422)</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(16,891)</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14. Segment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significant expenses for the Company’s single segment:</w:t>
      </w:r>
    </w:p>
    <w:tbl>
      <w:tblPr>
        <w:tblW w:w="7419" w:type="dxa"/>
        <w:jc w:val="left"/>
        <w:tblInd w:w="0" w:type="dxa"/>
        <w:tblLayout w:type="fixed"/>
        <w:tblCellMar>
          <w:top w:w="28" w:type="dxa"/>
          <w:left w:w="28" w:type="dxa"/>
          <w:bottom w:w="28" w:type="dxa"/>
          <w:right w:w="28" w:type="dxa"/>
        </w:tblCellMar>
      </w:tblPr>
      <w:tblGrid>
        <w:gridCol w:w="1798"/>
        <w:gridCol w:w="1581"/>
        <w:gridCol w:w="1586"/>
        <w:gridCol w:w="196"/>
        <w:gridCol w:w="736"/>
        <w:gridCol w:w="109"/>
        <w:gridCol w:w="109"/>
        <w:gridCol w:w="109"/>
        <w:gridCol w:w="109"/>
        <w:gridCol w:w="196"/>
        <w:gridCol w:w="73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Personnel costs (Cost of services)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costs (Selling, general, and administrative expense)</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Non-operating costs (Selling, general, and administrative expense)</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(Cost of services)</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operating costs related to sales and marketing and other administrative departments, including personnel costs,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Includes operational efficiency costs in 2025 and certain litigation costs that are considered non-recurring and outside of the ordinary course of business in 2024.</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shd w:fill="FFFFFF" w:val="clear"/>
        </w:rPr>
        <w:t>On May 8, 2025, the Company entered into a definitive agreement (the “Merger Agreement”) to be acquired by</w:t>
      </w:r>
      <w:r>
        <w:rPr>
          <w:color w:val="000000"/>
        </w:rPr>
        <w:t xml:space="preserve"> </w:t>
      </w:r>
      <w:r>
        <w:rPr>
          <w:rFonts w:ascii="Times New Roman;sans-serif" w:hAnsi="Times New Roman;sans-serif"/>
          <w:b w:val="false"/>
          <w:color w:val="000000"/>
          <w:sz w:val="20"/>
        </w:rPr>
        <w:t>an affiliate of Blackstone, the Company’s Co-Founder and Chief Executive Officer Bryce Maddock, and the Company’s Co-Founder and President Jaspar Weir</w:t>
      </w:r>
      <w:r>
        <w:rPr>
          <w:color w:val="000000"/>
          <w:shd w:fill="FFFFFF" w:val="clear"/>
        </w:rPr>
        <w:t xml:space="preserve"> </w:t>
      </w:r>
      <w:r>
        <w:rPr>
          <w:rFonts w:ascii="Times New Roman;sans-serif" w:hAnsi="Times New Roman;sans-serif"/>
          <w:b w:val="false"/>
          <w:color w:val="000000"/>
          <w:sz w:val="20"/>
          <w:shd w:fill="FFFFFF" w:val="clear"/>
        </w:rPr>
        <w:t>(the “Buyer Group”), pursuant to which the Buyer Group agreed to acquire 100% of the outstanding shares of the Company’s Class A common stock that it does not already own (the “Merger”). Pursuant to the Merger Agreement and subject to the satisfaction or waiver of certain closing conditions and on the terms set forth therein, Company stockholders are to recei</w:t>
      </w:r>
      <w:r>
        <w:rPr>
          <w:rFonts w:ascii="Times New Roman;sans-serif" w:hAnsi="Times New Roman;sans-serif"/>
          <w:b w:val="false"/>
          <w:color w:val="000000"/>
          <w:sz w:val="20"/>
        </w:rPr>
        <w:t>ve $16.50, in</w:t>
      </w:r>
      <w:r>
        <w:rPr>
          <w:color w:val="000000"/>
          <w:shd w:fill="FFFFFF" w:val="clear"/>
        </w:rPr>
        <w:t xml:space="preserve"> </w:t>
      </w:r>
      <w:r>
        <w:rPr>
          <w:rFonts w:ascii="Times New Roman;sans-serif" w:hAnsi="Times New Roman;sans-serif"/>
          <w:b w:val="false"/>
          <w:color w:val="000000"/>
          <w:sz w:val="20"/>
          <w:shd w:fill="FFFFFF" w:val="clear"/>
        </w:rPr>
        <w:t xml:space="preserve">cash, per share. Completion of the Merger is subject to certain closing conditions and approvals, including the receipt of required regulatory and stockholder approvals (including the approval of the holders of common stock of the Company not owned by the Buyer Group).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Merger Agreement also includes certain covenants of the Company, including with respect to the non-solicitation of alternative acquisition proposals, as well as other customary representations, warranties and covenants by the Company and Breeze Merger Corporation, a Delaware corporation (the “Merger Corporation”). Completion of the Merger is not subject to a financing condition. The Merger is expected to close in the second half of 2025. Upon completion, the Company’s common stock will no longer be listed on any public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2024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provider of outsourced digital services and next-generation customer experience to the world's most innovative companies, helping our clients represent, protect and grow their brands. </w:t>
      </w:r>
      <w:r>
        <w:rPr>
          <w:rFonts w:ascii="Times New Roman;sans-serif" w:hAnsi="Times New Roman;sans-serif"/>
          <w:b w:val="false"/>
          <w:color w:val="000000"/>
          <w:sz w:val="20"/>
          <w:shd w:fill="FFFFFF" w:val="clear"/>
        </w:rPr>
        <w:t>We serve our clients by supporting their end customers’ urgent needs, helping them navigate an increasingly-complex compliance landscape, handling sensitive tasks, including online content moderation, and enabling artificial intelligence technology and automation.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omnichannel delivery model is focused on providing our clients with three key services – Digital Customer Experience ("Digital CX"), Trust + Safety, and Artificial Intelligence ("AI")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Financial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recorded service revenue of $277.8 million, a 22.1% increase from $227.5 million for the three months ended March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2025 increased to $21.1 million from $11.7 million for the three months ended March 31, 2024. This increase is due primarily to revenue growth, partially offset by higher cost of services and selling, general and administrative expense. Adjusted Net Income for the three months ended March 31, 2025 increased 31.8% to $35.9 million from $27.3 million for the three months ended March 31, 2024. Adjusted EBITDA for the three months ended March 31, 2025 increased 17.1% to $59.3 million from $50.6 million for the three months ended March 31, 2024.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three months ended March 31, 2025 and 2024:</w:t>
      </w:r>
    </w:p>
    <w:tbl>
      <w:tblPr>
        <w:tblW w:w="8310"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231"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 xml:space="preserve">was primarily driven by an increase from existing clients, including Technology, Financial Services, and Professional Services + Industry, partially offset by a decrease in On Demand Travel + Transportation. The remaining increase was primarily driven by new clients in Technology and Healthcare.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 Safety</w:t>
      </w:r>
      <w:r>
        <w:rPr>
          <w:color w:val="000000"/>
        </w:rPr>
        <w:t xml:space="preserve"> </w:t>
      </w:r>
      <w:r>
        <w:rPr>
          <w:rFonts w:ascii="Times New Roman;sans-serif" w:hAnsi="Times New Roman;sans-serif"/>
          <w:b w:val="false"/>
          <w:color w:val="000000"/>
          <w:sz w:val="20"/>
        </w:rPr>
        <w:t>was primarily driven by an increase from existing clients, primarily Social Media, partially offset by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was primarily driven by an increase from existing clients in Social Media, as well as new clients in Social Media.</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6902"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Philippines:</w:t>
      </w:r>
      <w:r>
        <w:rPr>
          <w:color w:val="000000"/>
        </w:rPr>
        <w:t xml:space="preserve"> </w:t>
      </w:r>
      <w:r>
        <w:rPr>
          <w:rFonts w:ascii="Times New Roman;sans-serif" w:hAnsi="Times New Roman;sans-serif"/>
          <w:b w:val="false"/>
          <w:color w:val="000000"/>
          <w:sz w:val="20"/>
        </w:rPr>
        <w:t xml:space="preserve">Digital Customer Experience contributed 7.3% of the total increase primarily driven by clients in Financial Services, Technology, and Healthcare, partially offset by clients in Retail + E-Commerce. AI Services contributed 4.3% of the total increase primarily driven by clients in Social Media. Trust + Safety contributed 4.0% of the total increase primarily driven by clients in Social Media.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 xml:space="preserve">AI Services contributed 25.3% of the total increase driven by clients in Social Media. Trust + Safety contributed 6.1% of the total increase driven by clients in Social Media. The increase was partially offset by a 1.6% decrease contributed by Digital Customer Experience, primarily driven by clients in Technology.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AI Services contributed 12.0% of the total increase primarily driven by clients in Social Media. Digital Customer Experience contributed 11.5% of the total increase primarily driven by clients in Retail + E-Commerce, partially offset by clients in Financial Services. The increase was partially offset by a 0.9% decrease contributed by Trust + Safety, primarily driven by clients in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Rest of World:</w:t>
      </w:r>
      <w:r>
        <w:rPr>
          <w:color w:val="000000"/>
        </w:rPr>
        <w:t xml:space="preserve"> </w:t>
      </w:r>
      <w:r>
        <w:rPr>
          <w:rFonts w:ascii="Times New Roman;sans-serif" w:hAnsi="Times New Roman;sans-serif"/>
          <w:b w:val="false"/>
          <w:color w:val="000000"/>
          <w:sz w:val="20"/>
        </w:rPr>
        <w:t>Trust + Safety contributed 25.4% of the total increase, primarily driven by clients in Social Media. Digital Customer Experience contributed 9.2% of the total increase primarily driven by clients in Technology and Professional Services + Industry, partially offset by clients in On Demand Travel + Transportation. AI Services contributed 2.9% of the total increase, primarily driven by clients in Social Media. Growth in the Rest of World was led by Latin America and Europe.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$27.8 million associated with increased headcount. The remaining increase included facilities and recruiting costs associated with site expansion and increasing headcount associated with accelerating growth.</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$3.1 million associated with increased headcount and bonus expense, associated with higher company performance, partially offset by a $1.0 million reduction in stock-based compensation expense. The remaining increase included employee engagement expenses.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as well as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financing expense are primarily driven by payments on long-term debt and the rate of SOFR used to calculate the interest rate of our debt.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March 31, 2025 and 2024 was 28.9% and 35.7%, respectively. Costs related to the issuance of stock-based compensation, operational efficiency costs, litigation costs and severance within the provision for income taxes calculation are adjusted for Non-GAAP purposes. If those costs are removed, the provision for income taxes would have been $10.3 million and $8.1 million and the effective tax rate would have been 25.7% and 27.5%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Revenue by Top Clients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percentage of our total service revenue derived from our largest clients for the three months ended March 31, 2025 and 2024:</w:t>
      </w:r>
    </w:p>
    <w:tbl>
      <w:tblPr>
        <w:tblW w:w="4955" w:type="dxa"/>
        <w:jc w:val="left"/>
        <w:tblInd w:w="0" w:type="dxa"/>
        <w:tblLayout w:type="fixed"/>
        <w:tblCellMar>
          <w:top w:w="28" w:type="dxa"/>
          <w:left w:w="28" w:type="dxa"/>
          <w:bottom w:w="28" w:type="dxa"/>
          <w:right w:w="28" w:type="dxa"/>
        </w:tblCellMar>
      </w:tblPr>
      <w:tblGrid>
        <w:gridCol w:w="517"/>
        <w:gridCol w:w="451"/>
        <w:gridCol w:w="456"/>
        <w:gridCol w:w="109"/>
        <w:gridCol w:w="109"/>
        <w:gridCol w:w="282"/>
        <w:gridCol w:w="282"/>
        <w:gridCol w:w="282"/>
        <w:gridCol w:w="282"/>
        <w:gridCol w:w="282"/>
        <w:gridCol w:w="282"/>
        <w:gridCol w:w="662"/>
        <w:gridCol w:w="109"/>
        <w:gridCol w:w="109"/>
        <w:gridCol w:w="109"/>
        <w:gridCol w:w="165"/>
        <w:gridCol w:w="166"/>
        <w:gridCol w:w="301"/>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959" w:type="dxa"/>
            <w:gridSpan w:val="6"/>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we generated 26% and 19%, respectively, of our service revenue from our largest client.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ans-serif" w:hAnsi="Times New Roman;sans-serif"/>
          <w:b w:val="false"/>
          <w:color w:val="000000"/>
          <w:sz w:val="20"/>
          <w:shd w:fill="FFFFFF" w:val="clear"/>
        </w:rPr>
        <w:t>, operational efficiency costs</w:t>
      </w:r>
      <w:r>
        <w:rPr>
          <w:rFonts w:ascii="Times New Roman;sans-serif" w:hAnsi="Times New Roman;sans-serif"/>
          <w:b w:val="false"/>
          <w:color w:val="000000"/>
          <w:sz w:val="20"/>
        </w:rPr>
        <w:t>, the effect of foreign currency gains and losses, gains and losses on disposals of assets, certain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three months ended March 31, 2025 and 2024:</w:t>
      </w:r>
    </w:p>
    <w:tbl>
      <w:tblPr>
        <w:tblW w:w="8112"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44"/>
        <w:gridCol w:w="694"/>
        <w:gridCol w:w="136"/>
        <w:gridCol w:w="136"/>
        <w:gridCol w:w="136"/>
        <w:gridCol w:w="136"/>
        <w:gridCol w:w="314"/>
        <w:gridCol w:w="316"/>
        <w:gridCol w:w="375"/>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Operational efficiency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tax impacts of adjustments to net income which resulted in a tax benefit during the period, including stock-based compensation expense and litigation costs. After these adjustments, we applied a non-GAAP effective tax rate of 25.7% and 27.5% for the three months ended March 31, 2025 and 2024, respectively, to non-GAAP income before income taxes.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Net Income Margin represents Adjusted Net Income divided by service revenue.</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diluted EPS, the most directly comparable GAAP measure, to Adjusted EPS for the three months ended March 31, 2025 and 2024:</w:t>
      </w:r>
    </w:p>
    <w:tbl>
      <w:tblPr>
        <w:tblW w:w="8090" w:type="dxa"/>
        <w:jc w:val="left"/>
        <w:tblInd w:w="0" w:type="dxa"/>
        <w:tblLayout w:type="fixed"/>
        <w:tblCellMar>
          <w:top w:w="28" w:type="dxa"/>
          <w:left w:w="28" w:type="dxa"/>
          <w:bottom w:w="28" w:type="dxa"/>
          <w:right w:w="28" w:type="dxa"/>
        </w:tblCellMar>
      </w:tblPr>
      <w:tblGrid>
        <w:gridCol w:w="1474"/>
        <w:gridCol w:w="1299"/>
        <w:gridCol w:w="1306"/>
        <w:gridCol w:w="109"/>
        <w:gridCol w:w="109"/>
        <w:gridCol w:w="212"/>
        <w:gridCol w:w="212"/>
        <w:gridCol w:w="212"/>
        <w:gridCol w:w="212"/>
        <w:gridCol w:w="382"/>
        <w:gridCol w:w="909"/>
        <w:gridCol w:w="212"/>
        <w:gridCol w:w="109"/>
        <w:gridCol w:w="109"/>
        <w:gridCol w:w="109"/>
        <w:gridCol w:w="284"/>
        <w:gridCol w:w="677"/>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42"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93,655,539 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91,849,886 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operational efficiency costs, the effect of foreign currency gains and losses, gains and losses on disposals of assets, certain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three months ended March 31, 2025 and 2024:</w:t>
      </w:r>
    </w:p>
    <w:tbl>
      <w:tblPr>
        <w:tblW w:w="8112" w:type="dxa"/>
        <w:jc w:val="left"/>
        <w:tblInd w:w="0" w:type="dxa"/>
        <w:tblLayout w:type="fixed"/>
        <w:tblCellMar>
          <w:top w:w="28" w:type="dxa"/>
          <w:left w:w="28" w:type="dxa"/>
          <w:bottom w:w="28" w:type="dxa"/>
          <w:right w:w="28" w:type="dxa"/>
        </w:tblCellMar>
      </w:tblPr>
      <w:tblGrid>
        <w:gridCol w:w="1003"/>
        <w:gridCol w:w="883"/>
        <w:gridCol w:w="889"/>
        <w:gridCol w:w="196"/>
        <w:gridCol w:w="646"/>
        <w:gridCol w:w="256"/>
        <w:gridCol w:w="109"/>
        <w:gridCol w:w="109"/>
        <w:gridCol w:w="109"/>
        <w:gridCol w:w="196"/>
        <w:gridCol w:w="646"/>
        <w:gridCol w:w="256"/>
        <w:gridCol w:w="109"/>
        <w:gridCol w:w="109"/>
        <w:gridCol w:w="109"/>
        <w:gridCol w:w="244"/>
        <w:gridCol w:w="694"/>
        <w:gridCol w:w="136"/>
        <w:gridCol w:w="136"/>
        <w:gridCol w:w="136"/>
        <w:gridCol w:w="136"/>
        <w:gridCol w:w="313"/>
        <w:gridCol w:w="317"/>
        <w:gridCol w:w="375"/>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Operational efficiency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the most directly comparable GAAP measure, to Free Cash Flow for the three months ended March 31, 2025 and 2024:</w:t>
      </w:r>
    </w:p>
    <w:tbl>
      <w:tblPr>
        <w:tblW w:w="6617" w:type="dxa"/>
        <w:jc w:val="center"/>
        <w:tblInd w:w="0" w:type="dxa"/>
        <w:tblLayout w:type="fixed"/>
        <w:tblCellMar>
          <w:top w:w="28" w:type="dxa"/>
          <w:left w:w="28" w:type="dxa"/>
          <w:bottom w:w="28" w:type="dxa"/>
          <w:right w:w="28" w:type="dxa"/>
        </w:tblCellMar>
      </w:tblPr>
      <w:tblGrid>
        <w:gridCol w:w="1468"/>
        <w:gridCol w:w="1285"/>
        <w:gridCol w:w="1296"/>
        <w:gridCol w:w="196"/>
        <w:gridCol w:w="646"/>
        <w:gridCol w:w="256"/>
        <w:gridCol w:w="109"/>
        <w:gridCol w:w="109"/>
        <w:gridCol w:w="109"/>
        <w:gridCol w:w="196"/>
        <w:gridCol w:w="64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 to Free Cash Flow</w:t>
            </w:r>
            <w:r>
              <w:rPr>
                <w:rFonts w:ascii="Times New Roman;sans-serif" w:hAnsi="Times New Roman;sans-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our principal sources of liquidity were cash and cash equivalents totaling $196.9 million, which were held for working capital purposes, as well as the borrowing availability under the 2022 Revolving Credit Facility of $190.0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total indebtedness, net of debt financing fees was $252.9 million. The interest rate in effect for the 2022 Term Loan Facility as of March 31, 2025 was 6.649% per annum. We were in compliance with all debt covenants as of March 31, 2025.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repurchased 750,691 shares of our Class A common stock under the share repurchase program for $10.1 million, which we funded principally with available cash. As of March 31, 2025, $29.5 million remained available for share repurchases under our share repurchase program. For additional information about our share repurchase program, see Part II, Item 2., "Unregistered Sales of Equity Securities and Use of Proceeds—Issuer Purchases of Equity Securities" in this Quarterly Report.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from operating, investing and financing activities for the periods indicated:</w:t>
      </w:r>
    </w:p>
    <w:tbl>
      <w:tblPr>
        <w:tblW w:w="5397" w:type="dxa"/>
        <w:jc w:val="center"/>
        <w:tblInd w:w="0" w:type="dxa"/>
        <w:tblLayout w:type="fixed"/>
        <w:tblCellMar>
          <w:top w:w="28" w:type="dxa"/>
          <w:left w:w="28" w:type="dxa"/>
          <w:bottom w:w="28" w:type="dxa"/>
          <w:right w:w="28" w:type="dxa"/>
        </w:tblCellMar>
      </w:tblPr>
      <w:tblGrid>
        <w:gridCol w:w="1086"/>
        <w:gridCol w:w="955"/>
        <w:gridCol w:w="958"/>
        <w:gridCol w:w="206"/>
        <w:gridCol w:w="682"/>
        <w:gridCol w:w="115"/>
        <w:gridCol w:w="115"/>
        <w:gridCol w:w="115"/>
        <w:gridCol w:w="115"/>
        <w:gridCol w:w="206"/>
        <w:gridCol w:w="682"/>
        <w:gridCol w:w="162"/>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three months ended March 31, 2025 was $36.3 million compared to net cash provided by operating activities of $51.2 million for the three months ended March 31, 2024. Net cash provided by operating activities for the three months ended March 31, 2025 reflects net income of $21.1 million and the add back for non-cash charges totaling $24.2 million, partially offset by changes in operating assets and liabilities of $9.1 million. Non-cash charges primarily consisted of $10.0 million of depreciation, $8.7 million in stock-based compensation expense and $5.0 million of amortization related to intangibles. Net cash provided by operating activities for the three months ended March 31, 2024 reflects net income of $11.7 million, the add back for non-cash charges totaling $26.1 million, as well as changes in operating assets and liabilities of $13.3 million. Non-cash charges primarily consisted of $10.8 million of depreciation, $10.2 million in stock-based compensation expense and $5.0 million of amortization related to intangibles.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2025 was $14.5 million compared to net cash used in investing activities of $3.6 million for the three months ended March 31, 2024. Purchase of property and equipment increased primarily due to higher site build-out costs and technology and computer purchases.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2025 was $18.0 million compared to net cash used by financing activities of $5.7 million for the three months ended March 31, 2024. The increase was due primarily to the additional shares acquired under our share repurchase program and payments for taxes related to net share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and the Colombian peso, in the three months ended March 31, 2025 and 2024. We also incur expenses in U.S. dollars, and currencies of the other countries in which we have operations. The exchange rates among the Philippine peso, Indian rupee, Mexican peso, Colombian peso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foreign currency exchange rates and changes for the periods indicated:</w:t>
      </w:r>
    </w:p>
    <w:tbl>
      <w:tblPr>
        <w:tblW w:w="9364" w:type="dxa"/>
        <w:jc w:val="left"/>
        <w:tblInd w:w="0" w:type="dxa"/>
        <w:tblLayout w:type="fixed"/>
        <w:tblCellMar>
          <w:top w:w="28" w:type="dxa"/>
          <w:left w:w="28" w:type="dxa"/>
          <w:bottom w:w="28" w:type="dxa"/>
          <w:right w:w="28" w:type="dxa"/>
        </w:tblCellMar>
      </w:tblPr>
      <w:tblGrid>
        <w:gridCol w:w="1212"/>
        <w:gridCol w:w="1062"/>
        <w:gridCol w:w="1071"/>
        <w:gridCol w:w="278"/>
        <w:gridCol w:w="278"/>
        <w:gridCol w:w="651"/>
        <w:gridCol w:w="109"/>
        <w:gridCol w:w="109"/>
        <w:gridCol w:w="109"/>
        <w:gridCol w:w="278"/>
        <w:gridCol w:w="278"/>
        <w:gridCol w:w="576"/>
        <w:gridCol w:w="109"/>
        <w:gridCol w:w="109"/>
        <w:gridCol w:w="109"/>
        <w:gridCol w:w="278"/>
        <w:gridCol w:w="278"/>
        <w:gridCol w:w="594"/>
        <w:gridCol w:w="109"/>
        <w:gridCol w:w="109"/>
        <w:gridCol w:w="109"/>
        <w:gridCol w:w="390"/>
        <w:gridCol w:w="391"/>
        <w:gridCol w:w="768"/>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Colombian Peso</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exchange rate against the U.S. dollar</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Three months ended March 31, 2025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4,189.99 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Three months ended March 31,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3,915.72 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level of operations during the three months ended March 31, 2025,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7008" w:type="dxa"/>
        <w:jc w:val="left"/>
        <w:tblInd w:w="0" w:type="dxa"/>
        <w:tblLayout w:type="fixed"/>
        <w:tblCellMar>
          <w:top w:w="28" w:type="dxa"/>
          <w:left w:w="28" w:type="dxa"/>
          <w:bottom w:w="28" w:type="dxa"/>
          <w:right w:w="28" w:type="dxa"/>
        </w:tblCellMar>
      </w:tblPr>
      <w:tblGrid>
        <w:gridCol w:w="489"/>
        <w:gridCol w:w="430"/>
        <w:gridCol w:w="431"/>
        <w:gridCol w:w="247"/>
        <w:gridCol w:w="815"/>
        <w:gridCol w:w="137"/>
        <w:gridCol w:w="109"/>
        <w:gridCol w:w="109"/>
        <w:gridCol w:w="109"/>
        <w:gridCol w:w="223"/>
        <w:gridCol w:w="718"/>
        <w:gridCol w:w="124"/>
        <w:gridCol w:w="109"/>
        <w:gridCol w:w="109"/>
        <w:gridCol w:w="109"/>
        <w:gridCol w:w="249"/>
        <w:gridCol w:w="707"/>
        <w:gridCol w:w="138"/>
        <w:gridCol w:w="109"/>
        <w:gridCol w:w="109"/>
        <w:gridCol w:w="109"/>
        <w:gridCol w:w="263"/>
        <w:gridCol w:w="849"/>
        <w:gridCol w:w="20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Colombian Peso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 appreciation</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 depreciation</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March 31, 2025 accrue interest at SOFR plus 2.25%. As of March 31, 2025 our total principal balance outstanding was $253.8 million and the interest rate in effect was 6.649% per annum. Based on the outstanding balances and interest rates under the 2022 Credit Facilities as of March 31, 2025, a hypothetical 10% increase or decrease in SOFR would cause an increase or decrease in interest expense of approximately $1.1 million over the next 12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accounts receivable, net of allowance for credit losses, of $206.0 million, of which $44.4 million was owed by one of our clients. Collectively, this client represented approximately 21% of our gross accounts receivable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the effectiveness of the design and operation of the Company's disclosure controls and procedures as of March 31, 2025. Based upon that evaluation, the Company's Chief Executive Officer and Chief Financial Officer concluded that, as of March 31, 2025,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Proposed Merger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Merger may not be completed on the terms or timeline currently contemplated or at all, which could adversely affect our stock price,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May 8, 2025, the Company entered into the Merger Agreement, providing for our acquisition by an affiliate of Blackstone and our Co-Founders. The completion of the Merger is subject to the satisfaction of various conditions, including, among other things: (i)(w) the approval of the majority of outstanding voting power of our common stock, (x) the approval of the majority of outstanding voting power of our Class A common stock, voting as a separate class, (y) the approval of the majority of outstanding voting power of our Class B common stock, voting as a separate class, and (z) the approval by a majority of the votes cast by stockholders other than Blackstone or the Co-Founders and their affiliates (collectively, the “Company Stockholder Approvals”); (ii) the absence of any law that enjoins, restrains or otherwise prohibits or makes illegal the consummation of the Merger; (iii) the termination or expiration of any required waiting periods under the Hart-Scott-Rodino Antitrust Improvements Act of 1976, as amended; (iv) the accuracy of the other party’s representations and warranties (subject to certain materiality qualifiers); (v) the other party’s compliance in all material respects with its pre-closing covenants; and (vi) for the benefit of the Merger Corporation, no material adverse effect having occurred since the date of the Merger Agreement and being continuing as of the closing of the Merger (subject to certain exceptions). While it is currently anticipated that the Merger will be consummated in the second half of 2025, there can be no assurance that the foregoing conditions will be satisfied in a timely manner or at all, or that an effect, event, development or change will not transpire that could delay or prevent these conditions from being satisfied.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 Merger is not consummated for any reason, the trading price of our common stock may decline to the extent that the market price of the common stock reflects positive market assumptions that the Merger will be consummated and the related benefits will be realized. We may also be subject to additional risks if the Merger is not completed,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in the Merger Agreement that, under certain circumstances, we pay the Merger Corporation a termination fee of $39.0 million in cash;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incurring substantial costs related to the Merger, such as legal, accounting, financial advisory, integration costs and other professional services fees that have already been incurred or will continue to be incurred until closing;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limitations on our ability to retain and hire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reputational harm including relationships with investors, customers and business partners due to the adverse perception of any failure to successfully complete the Merger;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disruption to our business and distraction of our workforce and management team to pursue other opportunities that could be beneficial to us, in each case without realizing any of the benefits of having the Merger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or the Merger Corporation may terminate the Merger Agreement if the Merger has not been consummated by December 8, 2025 (the “Outside Date”). We or the Merger Corporation also may terminate the Merger Agreement (i) by mutual written consent; (ii) if any governmental authority of competent jurisdiction has enacted, issued, promulgated, enforced or entered any law permanently restraining, enjoining, prohibiting or making illegal the consummation of the Merger and such law shall have become final and nonappealable; (iii) if the Company Stockholder Approvals have not been obtained at our stockholder’s meeting (including any adjournments or postponements thereof), at which a vote on the approval of the Merger Agreement was taken; or (iv) if the other party has breached its representations or warranties or failed to perform any of its covenants or agreements in a way that would prevent satisfaction of a closing condition by the Outside Date and such breach or failure to perform cannot be cured within the earlier of (x) 30 days following the receipt of written notice of such breach or failure to perform and (y) one business day prior to the Outside Date. The Merger Corporation also may terminate the Merger Agreement if our Board (acting upon the recommendation of the Special Committee of the Board (the “Special Committee”)) or the Special Committee withdraws or modifies in a manner adverse to the Merger Corporation its recommendation to our stockholders in favor of the adoption of the Merger Agreement, authorizes or recommends any acquisition proposal or takes certain actions in connection with or recommends any acquisition proposal that is a tender offer or exchange offer. We also may terminate the Merger Agreement if, prior to the receipt of the Company Stockholder Approvals, our Board (acting upon the recommendation of the Special Committee) or the Special Committee determines to enter into an acquisition agreement with respect to a superior proposal, subject to certain conditions. The occurrence of the aforementioned could adversely affect our stock price,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announcement of the Merger Agreement and pendency of the Merger could negatively impact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announcement or pendency of the Merger could adversely affect our business, financial condition and results of operations and may result in our inability to hire or the departure of key personnel. In connection with the Merger, some of our customers and business partners may delay or defer decisions or may end their relationships with us, which could negatively affect our revenues, earnings and cash flows, regardless of whether the Merger is completed. In addition, we have undertaken certain covenants in the Merger Agreement restricting the conduct of our business during the pendency of the Merger, including restrictions on undertaking certain significant financing transactions and certain other actions, even if such actions would prove beneficial to us. Similarly, our current and prospective employees may experience uncertainty about their future roles with us following the Merger, which may materially adversely affect our ability to attract and retain key personnel during the pendency of the Merger.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Merger Agreement requires us to escrow excess cash at the request of the Merger Corporation, subject to the Company maintaining certain minimum cash amounts specified therein, which could impact the Company's liquidity and ability to fund its operations prior to the consummation of the Merger.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Merger Agreement contains provisions that could discourage a potential competing acquirer of the Company or could result in a competing acquisition proposal being at a lower price than it might otherwise be.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contains provisions that, subject to limited exceptions, restrict the Company’s ability to solicit or negotiate any alternative acquisition proposal. With respect to any written, bona fide acquisition proposal that the Company receives, the Merger Corporation generally has an opportunity to offer to modify the terms of the Merger Agreement in response to such proposal before our Board may withdraw or modify its recommendation to stockholders in response to such acquisition proposal or terminate the Merger Agreement to enter into a definitive agreement with respect to such acquisition proposal. Under the terms of the Merger Agreement, we may be required to pay a termination fee of $39.0 million to Merger Corporation (i) in the event we or Merger Corporation terminate the Merger Agreement before receipt of the Company Stockholder Approvals due to a change in recommendation by our Board or (ii) in the event we terminate the Merger Agreement to enter into a definitive agreement with respect to a superior proposal.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could discourage a potential competing acquirer that might have an interest in acquiring all or a significant part of the Company’s business from considering or making a competing acquisition proposal, even if the potential competing acquirer was prepared to pay consideration with a higher per share cash value than the per share value proposed to be received or realized in the Merger, or might cause a potential competing acquirer to propose to pay a lower price than it might otherwise have proposed to pay because of the added expense of the termination fee and expense reimbursement that may become payable in certain circumstances under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direct and indirect costs as a result of the Merger.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even if the Merger is not completed and may relate to activities that we would not have undertaken other than to complete the Merger.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directors and executive officers have interests in the Merger that may be different from, or in addition to, the interests of our other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have financial interests in the Merger that may be different from, or in addition to, the interests of our other stockholders. These interests may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treatment of Company equity awards under the Company’s equity plans and award agreements provided for under the Merger Agreement;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severance and other benefits in the case of certain qualifying terminations under the terms of an individual employment arrangements or the Company’s severance plans;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indemnification and insurance coverage under the Merger Agreement, the Company’s organizational documents and indemnification agreements the Company has entered into with each of its directors and executive officers.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Litigation challenging the Merger Agreement may prevent the Merger from being consummated within the expected timeframe or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Lawsuits may be filed against us, our Board, the Special Committee or other parties to the Merger Agreement, challenging our acquisition by the Merger Corporation, adequacy of the proxy and Schedule 13E-3 disclosures or making other claims in connection therewith. Such lawsuits may be brought by our purported stockholders or other interested parties and may seek, among other things, to enjoin consummation of the Merger. One of the conditions to the consummation of the Merger is that the consummation of the Merger is not restrained, made illegal, enjoined or prohibited by any law, whether temporary, preliminary or permanent that is in effect. As such, if the plaintiffs in such potential lawsuits are successful in obtaining an injunction prohibiting the defendants from completing the Merger on the agreed upon terms, then such injunction may prevent the Merger from becoming effective within the expected timeframe or at all.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the Merger is completed, our stockholders will forgo the opportunity to benefit from potential future appreciation in the value of the Company.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provides for the stockholders of record who are not a part of the Buyer Group to receive consideration of $16.50, in cash, per share of Class A common stock, without interest, upon the closing of the transactions contemplated by the Merger Agreement. If the transactions are consummated, our stockholders will no longer hold interests in the Company and, therefore, will not be entitled to benefit from any potential future appreciation in the value of the Company. In the absence of the transactions contemplated by the Merger Agreement, we could have various opportunities to enhance the Company’s value, including, but not limited to, entering into a transaction that values the shares of our Class A common stock higher than the value provided for in the Merger Agreement. Therefore, if the Merger is completed, stockholders will forgo future appreciation, if any, in the value of the Company and the opportunity to participate in any other potential transactions that may have resulted in a higher price per share than the price to be paid in the transactions contemplated by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548"/>
        <w:gridCol w:w="423"/>
        <w:gridCol w:w="427"/>
        <w:gridCol w:w="558"/>
        <w:gridCol w:w="486"/>
        <w:gridCol w:w="487"/>
        <w:gridCol w:w="109"/>
        <w:gridCol w:w="109"/>
        <w:gridCol w:w="109"/>
        <w:gridCol w:w="288"/>
        <w:gridCol w:w="817"/>
        <w:gridCol w:w="160"/>
        <w:gridCol w:w="109"/>
        <w:gridCol w:w="109"/>
        <w:gridCol w:w="109"/>
        <w:gridCol w:w="854"/>
        <w:gridCol w:w="804"/>
        <w:gridCol w:w="807"/>
        <w:gridCol w:w="109"/>
        <w:gridCol w:w="109"/>
        <w:gridCol w:w="109"/>
        <w:gridCol w:w="662"/>
        <w:gridCol w:w="1371"/>
        <w:gridCol w:w="532"/>
      </w:tblGrid>
      <w:tr>
        <w:trPr/>
        <w:tc>
          <w:tcPr>
            <w:tcW w:w="5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thousands)</w:t>
            </w:r>
          </w:p>
        </w:tc>
      </w:tr>
      <w:tr>
        <w:trPr/>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2025 through January 31, 2025</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2025 through February 28, 2025</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2025 through March 31, 2025</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750,691 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750,691 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29,547 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750,691 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750,691 </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On December 6, 2024, the Company announced a one-year extension of its share repurchase authorization, extending the previously authorized $200.0 million authorization through December 31, 2025. The share repurchase program was initially announced in September 2022 for up to $100.0 million of shares of our Class A common stock and capacity was increased to a total authorization of $200.0 million of shares of our Class A common stock (exclusive of any commissions, fees or excise taxes) in May 2023.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may be modified, suspended or discontinued at any time at the Company’s discretion and does not obligate the Company to acquire any amount of Class A common stock.</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excludes commissions and other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2025, Jarrod Johnson, our Chief Customer Officer, adopted a Rule 10b5-1 trading arrangement (the “Johnson 10b5-1 Plan”), which provides for the potential sale of up to 145,986 shares of the Company’s Class A Common Stock obtained from the vesting of restricted stock units and performance stock units, subject to reduction, such that the covered amount will be a maximum of 50% of the shares obtained upon satisfaction of vesting criteria, after taking into account shares withheld to satisfy tax withholding obligations. The Johnson 10b5-1 Plan is intended to satisfy the affirmative defense of Rule 10b5-1(c) under the Exchange Act and unless otherwise terminated pursuant to its terms, provides for sales from August 8, 2025 to December 31, 2025 or an earlier date on which all shares thereunder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8"/>
        <w:gridCol w:w="226"/>
        <w:gridCol w:w="229"/>
        <w:gridCol w:w="2853"/>
        <w:gridCol w:w="2728"/>
        <w:gridCol w:w="3911"/>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Agreement and Plan of Merger, dated as May 8, 2025, by and between TaskUs, Inc. and Breeze Merger Corporation (incorporated by reference to Exhibit 2.1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Voting and Support Agreement, dated as of May 8, 2025, by and between TaskUs, Inc. and BCP FC Aggregator L.P. (incorporated by reference to Exhibit 10.1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Voting and Support Agreement, dated as of May 8, 2025, by and among TaskUs, Inc., Bryce Maddock, The Maddock 2015 Irrevocable Trust, The Bryce Maddock Family Trust and The Maddock 2015 Exempt Irrevocable Trust (incorporated by reference to Exhibit 10.2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Voting and Support Agreement, dated as of May 8, 2025, by and among TaskUs, Inc., Jaspar Weir, The Weir 2015 Irrevocable Trust, The Jaspar Weir Family Trust and The Weir 2015 Exempt Irrevocable Trust (incorporated by reference to Exhibit 10.3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12025.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12025.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12025.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12025.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080f58f17864f0ba29eb4cf6c246f6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592"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16"/>
        <w:gridCol w:w="216"/>
        <w:gridCol w:w="216"/>
        <w:gridCol w:w="1490"/>
        <w:gridCol w:w="1490"/>
        <w:gridCol w:w="21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14" w:type="dxa"/>
        <w:jc w:val="left"/>
        <w:tblInd w:w="0" w:type="dxa"/>
        <w:tblLayout w:type="fixed"/>
        <w:tblCellMar>
          <w:top w:w="28" w:type="dxa"/>
          <w:left w:w="28" w:type="dxa"/>
          <w:bottom w:w="28" w:type="dxa"/>
          <w:right w:w="28" w:type="dxa"/>
        </w:tblCellMar>
      </w:tblPr>
      <w:tblGrid>
        <w:gridCol w:w="629"/>
        <w:gridCol w:w="554"/>
        <w:gridCol w:w="557"/>
        <w:gridCol w:w="723"/>
        <w:gridCol w:w="723"/>
        <w:gridCol w:w="102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55" w:type="dxa"/>
        <w:jc w:val="right"/>
        <w:tblInd w:w="0" w:type="dxa"/>
        <w:tblLayout w:type="fixed"/>
        <w:tblCellMar>
          <w:top w:w="28" w:type="dxa"/>
          <w:left w:w="28" w:type="dxa"/>
          <w:bottom w:w="28" w:type="dxa"/>
          <w:right w:w="28" w:type="dxa"/>
        </w:tblCellMar>
      </w:tblPr>
      <w:tblGrid>
        <w:gridCol w:w="629"/>
        <w:gridCol w:w="554"/>
        <w:gridCol w:w="557"/>
        <w:gridCol w:w="707"/>
        <w:gridCol w:w="707"/>
        <w:gridCol w:w="100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March 31, 2025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March 31, 2025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095015725000390/ex2-1.htm" TargetMode="External"/><Relationship Id="rId3" Type="http://schemas.openxmlformats.org/officeDocument/2006/relationships/hyperlink" Target="https://www.sec.gov/Archives/edgar/data/1829864/000119312521191190/d191129dex31.htm" TargetMode="External"/><Relationship Id="rId4" Type="http://schemas.openxmlformats.org/officeDocument/2006/relationships/hyperlink" Target="https://www.sec.gov/Archives/edgar/data/1829864/000182986424000011/exhibit322023.htm" TargetMode="External"/><Relationship Id="rId5" Type="http://schemas.openxmlformats.org/officeDocument/2006/relationships/hyperlink" Target="https://www.sec.gov/Archives/edgar/data/1829864/000182986423000026/exhibit31thirdamendedandre.htm" TargetMode="External"/><Relationship Id="rId6" Type="http://schemas.openxmlformats.org/officeDocument/2006/relationships/hyperlink" Target="https://www.sec.gov/Archives/edgar/data/1829864/000095015725000390/ex10-1.htm" TargetMode="External"/><Relationship Id="rId7" Type="http://schemas.openxmlformats.org/officeDocument/2006/relationships/hyperlink" Target="https://www.sec.gov/Archives/edgar/data/1829864/000095015725000390/ex10-2.htm" TargetMode="External"/><Relationship Id="rId8" Type="http://schemas.openxmlformats.org/officeDocument/2006/relationships/hyperlink" Target="https://www.sec.gov/Archives/edgar/data/1829864/000095015725000390/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18926</Words>
  <Characters>105947</Characters>
  <CharactersWithSpaces>123450</CharactersWithSpaces>
  <Paragraphs>2376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