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TaskUs,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87652V109</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August 31, 2022</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03"/>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203"/>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203"/>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87652V109</w:t>
      </w:r>
    </w:p>
    <w:p>
      <w:pPr>
        <w:spacing w:after="0" w:line="10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5426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42671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Alger Associates, Inc. 13-3017981</w:t>
            </w:r>
          </w:p>
        </w:tc>
        <w:tc>
          <w:tcPr>
            <w:tcW w:w="0" w:type="dxa"/>
            <w:vAlign w:val="bottom"/>
          </w:tcPr>
          <w:p>
            <w:pPr>
              <w:spacing w:after="0"/>
              <w:rPr>
                <w:sz w:val="1"/>
                <w:szCs w:val="1"/>
                <w:color w:val="auto"/>
              </w:rPr>
            </w:pPr>
          </w:p>
        </w:tc>
      </w:tr>
      <w:tr>
        <w:trPr>
          <w:trHeight w:val="162"/>
        </w:trPr>
        <w:tc>
          <w:tcPr>
            <w:tcW w:w="4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4"/>
                <w:szCs w:val="14"/>
                <w:color w:val="auto"/>
              </w:rPr>
            </w:pPr>
          </w:p>
        </w:tc>
        <w:tc>
          <w:tcPr>
            <w:tcW w:w="10760" w:type="dxa"/>
            <w:vAlign w:val="bottom"/>
            <w:gridSpan w:val="5"/>
          </w:tcPr>
          <w:p>
            <w:pPr>
              <w:ind w:left="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36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Pr>
          <w:p>
            <w:pPr>
              <w:spacing w:after="0"/>
              <w:rPr>
                <w:sz w:val="24"/>
                <w:szCs w:val="24"/>
                <w:color w:val="auto"/>
              </w:rPr>
            </w:pPr>
          </w:p>
        </w:tc>
        <w:tc>
          <w:tcPr>
            <w:tcW w:w="9740" w:type="dxa"/>
            <w:vAlign w:val="bottom"/>
            <w:gridSpan w:val="2"/>
          </w:tcPr>
          <w:p>
            <w:pPr>
              <w:jc w:val="right"/>
              <w:ind w:right="9061"/>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76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7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7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w w:val="99"/>
              </w:rPr>
              <w:t>New York</w:t>
            </w: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auto"/>
            </w:tcBorders>
          </w:tcPr>
          <w:p>
            <w:pPr>
              <w:spacing w:after="0"/>
              <w:rPr>
                <w:sz w:val="19"/>
                <w:szCs w:val="19"/>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260" w:type="dxa"/>
            <w:vAlign w:val="bottom"/>
            <w:tcBorders>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260" w:type="dxa"/>
            <w:vAlign w:val="bottom"/>
            <w:tcBorders>
              <w:right w:val="single" w:sz="8" w:color="auto"/>
            </w:tcBorders>
            <w:gridSpan w:val="4"/>
            <w:vMerge w:val="continue"/>
          </w:tcPr>
          <w:p>
            <w:pPr>
              <w:spacing w:after="0"/>
              <w:rPr>
                <w:sz w:val="3"/>
                <w:szCs w:val="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right w:val="single" w:sz="8" w:color="auto"/>
            </w:tcBorders>
          </w:tcPr>
          <w:p>
            <w:pPr>
              <w:spacing w:after="0"/>
              <w:rPr>
                <w:sz w:val="3"/>
                <w:szCs w:val="3"/>
                <w:color w:val="auto"/>
              </w:rPr>
            </w:pP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840" w:type="dxa"/>
            <w:vAlign w:val="bottom"/>
            <w:tcBorders>
              <w:right w:val="single" w:sz="8" w:color="auto"/>
            </w:tcBorders>
            <w:gridSpan w:val="3"/>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9"/>
              </w:rPr>
              <w:t>Shares</w:t>
            </w:r>
          </w:p>
        </w:tc>
        <w:tc>
          <w:tcPr>
            <w:tcW w:w="26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9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840" w:type="dxa"/>
            <w:vAlign w:val="bottom"/>
            <w:tcBorders>
              <w:right w:val="single" w:sz="8" w:color="auto"/>
            </w:tcBorders>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9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Borders>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34"/>
        </w:trPr>
        <w:tc>
          <w:tcPr>
            <w:tcW w:w="1260" w:type="dxa"/>
            <w:vAlign w:val="bottom"/>
            <w:tcBorders>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Borders>
              <w:right w:val="single" w:sz="8" w:color="auto"/>
            </w:tcBorders>
          </w:tcPr>
          <w:p>
            <w:pPr>
              <w:spacing w:after="0"/>
              <w:rPr>
                <w:sz w:val="15"/>
                <w:szCs w:val="15"/>
                <w:color w:val="auto"/>
              </w:rPr>
            </w:pPr>
          </w:p>
        </w:tc>
        <w:tc>
          <w:tcPr>
            <w:tcW w:w="2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right w:val="single" w:sz="8" w:color="auto"/>
            </w:tcBorders>
          </w:tcPr>
          <w:p>
            <w:pPr>
              <w:spacing w:after="0"/>
              <w:rPr>
                <w:sz w:val="15"/>
                <w:szCs w:val="15"/>
                <w:color w:val="auto"/>
              </w:rPr>
            </w:pPr>
          </w:p>
        </w:tc>
        <w:tc>
          <w:tcPr>
            <w:tcW w:w="96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60" w:type="dxa"/>
            <w:vAlign w:val="bottom"/>
            <w:tcBorders>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840" w:type="dxa"/>
            <w:vAlign w:val="bottom"/>
            <w:tcBorders>
              <w:right w:val="single" w:sz="8" w:color="auto"/>
            </w:tcBorders>
            <w:gridSpan w:val="3"/>
          </w:tcPr>
          <w:p>
            <w:pPr>
              <w:jc w:val="center"/>
              <w:ind w:right="172"/>
              <w:spacing w:after="0"/>
              <w:rPr>
                <w:sz w:val="20"/>
                <w:szCs w:val="20"/>
                <w:color w:val="auto"/>
              </w:rPr>
            </w:pPr>
            <w:r>
              <w:rPr>
                <w:rFonts w:ascii="Times New Roman" w:cs="Times New Roman" w:eastAsia="Times New Roman" w:hAnsi="Times New Roman"/>
                <w:sz w:val="18"/>
                <w:szCs w:val="18"/>
                <w:color w:val="auto"/>
                <w:w w:val="97"/>
              </w:rPr>
              <w:t>Person</w:t>
            </w:r>
          </w:p>
        </w:tc>
        <w:tc>
          <w:tcPr>
            <w:tcW w:w="2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966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9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right w:val="single" w:sz="8" w:color="auto"/>
            </w:tcBorders>
          </w:tcPr>
          <w:p>
            <w:pPr>
              <w:spacing w:after="0"/>
              <w:rPr>
                <w:sz w:val="11"/>
                <w:szCs w:val="11"/>
                <w:color w:val="auto"/>
              </w:rPr>
            </w:pP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9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19"/>
                <w:szCs w:val="19"/>
                <w:color w:val="auto"/>
              </w:rPr>
            </w:pPr>
          </w:p>
        </w:tc>
        <w:tc>
          <w:tcPr>
            <w:tcW w:w="107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right w:val="single" w:sz="8" w:color="auto"/>
            </w:tcBorders>
          </w:tcPr>
          <w:p>
            <w:pPr>
              <w:spacing w:after="0"/>
              <w:rPr>
                <w:sz w:val="19"/>
                <w:szCs w:val="19"/>
                <w:color w:val="auto"/>
              </w:rPr>
            </w:pPr>
          </w:p>
        </w:tc>
        <w:tc>
          <w:tcPr>
            <w:tcW w:w="107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right w:val="single" w:sz="8" w:color="auto"/>
            </w:tcBorders>
          </w:tcPr>
          <w:p>
            <w:pPr>
              <w:spacing w:after="0"/>
              <w:rPr>
                <w:sz w:val="19"/>
                <w:szCs w:val="19"/>
                <w:color w:val="auto"/>
              </w:rPr>
            </w:pPr>
          </w:p>
        </w:tc>
        <w:tc>
          <w:tcPr>
            <w:tcW w:w="107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0.0%</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19"/>
                <w:szCs w:val="19"/>
                <w:color w:val="auto"/>
              </w:rPr>
            </w:pPr>
          </w:p>
        </w:tc>
        <w:tc>
          <w:tcPr>
            <w:tcW w:w="107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98"/>
              </w:rPr>
              <w:t>HC</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40" w:type="dxa"/>
            <w:vAlign w:val="bottom"/>
            <w:gridSpan w:val="2"/>
          </w:tcPr>
          <w:p>
            <w:pPr>
              <w:jc w:val="right"/>
              <w:ind w:right="550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31" w:lineRule="exact"/>
        <w:rPr>
          <w:sz w:val="20"/>
          <w:szCs w:val="20"/>
          <w:color w:val="auto"/>
        </w:rPr>
      </w:pPr>
    </w:p>
    <w:p>
      <w:pPr>
        <w:ind w:left="1420" w:right="8680" w:hanging="319"/>
        <w:spacing w:after="0" w:line="270"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TaskUs, Inc.</w:t>
      </w:r>
    </w:p>
    <w:p>
      <w:pPr>
        <w:ind w:left="1420" w:right="6360" w:hanging="319"/>
        <w:spacing w:after="0" w:line="261"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1650 Independence Drive, Suite 100</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Braunfels, TX 78132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-422275</wp:posOffset>
            </wp:positionV>
            <wp:extent cx="6231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14605</wp:posOffset>
            </wp:positionV>
            <wp:extent cx="6231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jc w:val="both"/>
        <w:ind w:left="1420" w:right="8140" w:hanging="319"/>
        <w:spacing w:after="0" w:line="255"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Alger Associates, Inc.</w:t>
      </w:r>
    </w:p>
    <w:p>
      <w:pPr>
        <w:ind w:left="1420" w:right="5500" w:hanging="319"/>
        <w:spacing w:after="0" w:line="281" w:lineRule="auto"/>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100 Pearl Street, 27th Floor, New York, NY 10004</w:t>
      </w:r>
    </w:p>
    <w:p>
      <w:pPr>
        <w:spacing w:after="0" w:line="1" w:lineRule="exact"/>
        <w:rPr>
          <w:rFonts w:ascii="Times New Roman" w:cs="Times New Roman" w:eastAsia="Times New Roman" w:hAnsi="Times New Roman"/>
          <w:sz w:val="17"/>
          <w:szCs w:val="17"/>
          <w:color w:val="auto"/>
        </w:rPr>
      </w:pPr>
    </w:p>
    <w:p>
      <w:pPr>
        <w:ind w:left="1420" w:right="8960" w:hanging="319"/>
        <w:spacing w:after="0" w:line="281" w:lineRule="auto"/>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New York</w:t>
      </w:r>
    </w:p>
    <w:p>
      <w:pPr>
        <w:spacing w:after="0" w:line="1" w:lineRule="exact"/>
        <w:rPr>
          <w:rFonts w:ascii="Times New Roman" w:cs="Times New Roman" w:eastAsia="Times New Roman" w:hAnsi="Times New Roman"/>
          <w:sz w:val="17"/>
          <w:szCs w:val="17"/>
          <w:color w:val="auto"/>
        </w:rPr>
      </w:pPr>
    </w:p>
    <w:p>
      <w:pPr>
        <w:ind w:left="1420" w:right="7860" w:hanging="319"/>
        <w:spacing w:after="0" w:line="281" w:lineRule="auto"/>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Class A Common Stock</w:t>
      </w:r>
    </w:p>
    <w:p>
      <w:pPr>
        <w:spacing w:after="0" w:line="1" w:lineRule="exact"/>
        <w:rPr>
          <w:rFonts w:ascii="Times New Roman" w:cs="Times New Roman" w:eastAsia="Times New Roman" w:hAnsi="Times New Roman"/>
          <w:sz w:val="17"/>
          <w:szCs w:val="17"/>
          <w:color w:val="auto"/>
        </w:rPr>
      </w:pPr>
    </w:p>
    <w:p>
      <w:pPr>
        <w:ind w:left="1420" w:right="8620" w:hanging="319"/>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87652V109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-1188085</wp:posOffset>
            </wp:positionV>
            <wp:extent cx="623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-896620</wp:posOffset>
            </wp:positionV>
            <wp:extent cx="623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-605155</wp:posOffset>
            </wp:positionV>
            <wp:extent cx="6231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-313690</wp:posOffset>
            </wp:positionV>
            <wp:extent cx="6231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-22225</wp:posOffset>
            </wp:positionV>
            <wp:extent cx="623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52" w:lineRule="exact"/>
        <w:rPr>
          <w:sz w:val="20"/>
          <w:szCs w:val="20"/>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Broker or dealer registered under section 15 of the Act (15 U.S.C. 78o);</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Bank as defined in section 3(a)(6) of the Act (15 U.S.C. 78c);</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Insurance company as defined in section 3(a)(19) of the Act (15 U.S.C. 78c);</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Investment company registered under section 8 of the Investment Company Act of 1940 (15 U.S.C. 80a-8);</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investment adviser in accordance with §240.13d-1(b)(1)(ii)(E);</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employee benefit plan or endowment fund in accordance with §240.13d-1(b)(1)(ii)(F);</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parent holding company or control person in accordance with §240.13d-1(b)(1)(ii)(G);</w:t>
      </w:r>
    </w:p>
    <w:p>
      <w:pPr>
        <w:spacing w:after="0" w:line="76"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savings association as defined in Section 3(b) of the Federal Deposit Insurance Act (12 U.S.C. 1813);</w:t>
      </w:r>
    </w:p>
    <w:p>
      <w:pPr>
        <w:spacing w:after="0" w:line="76" w:lineRule="exact"/>
        <w:rPr>
          <w:rFonts w:ascii="Times New Roman" w:cs="Times New Roman" w:eastAsia="Times New Roman" w:hAnsi="Times New Roman"/>
          <w:sz w:val="18"/>
          <w:szCs w:val="18"/>
          <w:color w:val="auto"/>
        </w:rPr>
      </w:pPr>
    </w:p>
    <w:p>
      <w:pPr>
        <w:ind w:left="1700" w:hanging="599"/>
        <w:spacing w:after="0" w:line="239" w:lineRule="exact"/>
        <w:tabs>
          <w:tab w:leader="none" w:pos="143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church plan that is excluded from the definition of an investment company under section 3(c)(14) of the Investment Company Act of 1940 (15 U.S.C. 80a-3);</w:t>
      </w:r>
    </w:p>
    <w:p>
      <w:pPr>
        <w:spacing w:after="0" w:line="21" w:lineRule="exact"/>
        <w:rPr>
          <w:rFonts w:ascii="Times New Roman" w:cs="Times New Roman" w:eastAsia="Times New Roman" w:hAnsi="Times New Roman"/>
          <w:sz w:val="18"/>
          <w:szCs w:val="18"/>
          <w:color w:val="auto"/>
        </w:rPr>
      </w:pPr>
    </w:p>
    <w:p>
      <w:pPr>
        <w:ind w:left="1420" w:hanging="319"/>
        <w:spacing w:after="0" w:line="207" w:lineRule="exact"/>
        <w:tabs>
          <w:tab w:leader="none" w:pos="14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non-U.S. institution in accordance with § 240.13d–1(b)(1)(ii)(J);</w:t>
      </w:r>
    </w:p>
    <w:p>
      <w:pPr>
        <w:spacing w:after="0" w:line="76" w:lineRule="exact"/>
        <w:rPr>
          <w:rFonts w:ascii="Times New Roman" w:cs="Times New Roman" w:eastAsia="Times New Roman" w:hAnsi="Times New Roman"/>
          <w:sz w:val="18"/>
          <w:szCs w:val="18"/>
          <w:color w:val="auto"/>
        </w:rPr>
      </w:pPr>
    </w:p>
    <w:p>
      <w:pPr>
        <w:ind w:left="1700" w:right="140" w:hanging="599"/>
        <w:spacing w:after="0" w:line="239" w:lineRule="exact"/>
        <w:tabs>
          <w:tab w:leader="none" w:pos="143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-24130</wp:posOffset>
            </wp:positionV>
            <wp:extent cx="8280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266" w:right="379" w:bottom="1440" w:gutter="0" w:footer="0" w:header="0"/>
        </w:sectPr>
      </w:pPr>
    </w:p>
    <w:bookmarkStart w:id="3" w:name="page4"/>
    <w:bookmarkEnd w:id="3"/>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620" w:right="7520" w:hanging="546"/>
        <w:spacing w:after="0" w:line="261"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8" w:lineRule="exact"/>
        <w:rPr>
          <w:rFonts w:ascii="Times New Roman" w:cs="Times New Roman" w:eastAsia="Times New Roman" w:hAnsi="Times New Roman"/>
          <w:sz w:val="18"/>
          <w:szCs w:val="18"/>
          <w:color w:val="auto"/>
        </w:rPr>
      </w:pPr>
    </w:p>
    <w:p>
      <w:pPr>
        <w:ind w:left="1620" w:hanging="54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17" w:lineRule="exact"/>
        <w:rPr>
          <w:rFonts w:ascii="Times New Roman" w:cs="Times New Roman" w:eastAsia="Times New Roman" w:hAnsi="Times New Roman"/>
          <w:sz w:val="18"/>
          <w:szCs w:val="18"/>
          <w:color w:val="auto"/>
        </w:rPr>
      </w:pPr>
    </w:p>
    <w:p>
      <w:pPr>
        <w:ind w:left="1620" w:hanging="54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2100" w:right="6300" w:hanging="486"/>
        <w:spacing w:after="0" w:line="266" w:lineRule="auto"/>
        <w:tabs>
          <w:tab w:leader="none" w:pos="2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ind w:left="2100" w:right="6120" w:hanging="486"/>
        <w:spacing w:after="0" w:line="266" w:lineRule="auto"/>
        <w:tabs>
          <w:tab w:leader="none" w:pos="2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2100" w:right="5380" w:hanging="486"/>
        <w:spacing w:after="0" w:line="266" w:lineRule="auto"/>
        <w:tabs>
          <w:tab w:leader="none" w:pos="2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ind w:left="2100" w:right="5200" w:hanging="486"/>
        <w:spacing w:after="0" w:line="282" w:lineRule="auto"/>
        <w:tabs>
          <w:tab w:leader="none" w:pos="21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-1188085</wp:posOffset>
            </wp:positionV>
            <wp:extent cx="6111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-896620</wp:posOffset>
            </wp:positionV>
            <wp:extent cx="5803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-605155</wp:posOffset>
            </wp:positionV>
            <wp:extent cx="58032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3265" cy="889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-313690</wp:posOffset>
            </wp:positionV>
            <wp:extent cx="58032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-22225</wp:posOffset>
            </wp:positionV>
            <wp:extent cx="58032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-1471295</wp:posOffset>
            </wp:positionV>
            <wp:extent cx="6111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-1762760</wp:posOffset>
            </wp:positionV>
            <wp:extent cx="6111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19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81" w:lineRule="exact"/>
        <w:rPr>
          <w:sz w:val="20"/>
          <w:szCs w:val="20"/>
          <w:color w:val="auto"/>
        </w:rPr>
      </w:pPr>
    </w:p>
    <w:p>
      <w:pPr>
        <w:ind w:right="48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9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securities reported herein are beneficially owned by one or more open-end investment companies or other managed accounts that are investment management clients of Fred Alger Management, LLC (“FAM”), a registered investment adviser. FAM is a 100% owned subsidiary of Alger Group Holdings, LLC (“AGH”), a holding company. AGH is a 100% owned subsidiary of Alger Associates, Inc., a holding company.</w:t>
      </w:r>
    </w:p>
    <w:p>
      <w:pPr>
        <w:spacing w:after="0" w:line="199" w:lineRule="exact"/>
        <w:rPr>
          <w:sz w:val="20"/>
          <w:szCs w:val="20"/>
          <w:color w:val="auto"/>
        </w:rPr>
      </w:pPr>
    </w:p>
    <w:p>
      <w:pPr>
        <w:ind w:left="1000" w:right="40" w:hanging="998"/>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A</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266" w:right="37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Alger Associates,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Hal Liebes</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Hal Liebes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9, 2022</w:t>
            </w:r>
          </w:p>
        </w:tc>
      </w:tr>
    </w:tbl>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266" w:right="519" w:bottom="1440" w:gutter="0" w:footer="0" w:header="0"/>
        </w:sectPr>
      </w:pPr>
    </w:p>
    <w:bookmarkStart w:id="5" w:name="page6"/>
    <w:bookmarkEnd w:id="5"/>
    <w:p>
      <w:pPr>
        <w:jc w:val="right"/>
        <w:ind w:right="4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Alger Group Holdings, LLC — HC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 Alger Management, LLC — IA</w:t>
      </w:r>
    </w:p>
    <w:sectPr>
      <w:pgSz w:w="11900" w:h="16838" w:orient="portrait"/>
      <w:cols w:equalWidth="0" w:num="1">
        <w:col w:w="10139"/>
      </w:cols>
      <w:pgMar w:left="32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2022-09-09T15:08:56Z</dcterms:created>
  <dcterms:modified xsi:type="dcterms:W3CDTF">2022-09-09T15:08:56Z</dcterms:modified>
</cp:coreProperties>
</file>