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from_____________to______________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001-40482</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1650 Independence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(888) 400-8275</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November 1, 2024, the number of shares outstanding of the registrant’s common stock was as follows: Class A common stock, par value $0.01 per share: 19,274,866; Class B common stock, par value $0.01 per share: 70,032,694.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Quarterly Period Ended 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0">
              <w:r>
                <w:rPr>
                  <w:rStyle w:val="InternetLink"/>
                  <w:rFonts w:ascii="Times New Roman;sans-serif" w:hAnsi="Times New Roman;sans-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0">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
              <w:r>
                <w:rPr>
                  <w:rStyle w:val="InternetLink"/>
                  <w:rFonts w:ascii="Times New Roman;sans-serif" w:hAnsi="Times New Roman;sans-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3">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6">
              <w:r>
                <w:rPr>
                  <w:rStyle w:val="InternetLink"/>
                  <w:rFonts w:ascii="Times New Roman;sans-serif" w:hAnsi="Times New Roman;sans-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6">
              <w:r>
                <w:rPr>
                  <w:rStyle w:val="InternetLink"/>
                  <w:rFonts w:ascii="Times New Roman;sans-serif" w:hAnsi="Times New Roman;sans-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6">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9">
              <w:r>
                <w:rPr>
                  <w:rStyle w:val="InternetLink"/>
                  <w:rFonts w:ascii="Times New Roman;sans-serif" w:hAnsi="Times New Roman;sans-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22">
              <w:r>
                <w:rPr>
                  <w:rStyle w:val="InternetLink"/>
                  <w:rFonts w:ascii="Times New Roman;sans-serif" w:hAnsi="Times New Roman;sans-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25">
              <w:r>
                <w:rPr>
                  <w:rStyle w:val="InternetLink"/>
                  <w:rFonts w:ascii="Times New Roman;sans-serif" w:hAnsi="Times New Roman;sans-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28">
              <w:r>
                <w:rPr>
                  <w:rStyle w:val="InternetLink"/>
                  <w:rFonts w:ascii="Times New Roman;sans-serif" w:hAnsi="Times New Roman;sans-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31">
              <w:r>
                <w:rPr>
                  <w:rStyle w:val="InternetLink"/>
                  <w:rFonts w:ascii="Times New Roman;sans-serif" w:hAnsi="Times New Roman;sans-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34">
              <w:r>
                <w:rPr>
                  <w:rStyle w:val="InternetLink"/>
                  <w:rFonts w:ascii="Times New Roman;sans-serif" w:hAnsi="Times New Roman;sans-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34">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37">
              <w:r>
                <w:rPr>
                  <w:rStyle w:val="InternetLink"/>
                  <w:rFonts w:ascii="Times New Roman;sans-serif" w:hAnsi="Times New Roman;sans-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37">
              <w:r>
                <w:rPr>
                  <w:rStyle w:val="InternetLink"/>
                  <w:rFonts w:ascii="Times New Roman;sans-serif" w:hAnsi="Times New Roman;sans-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85">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85">
              <w:r>
                <w:rPr>
                  <w:rStyle w:val="InternetLink"/>
                  <w:rFonts w:ascii="Times New Roman;sans-serif" w:hAnsi="Times New Roman;sans-serif"/>
                  <w:b w:val="false"/>
                  <w:strike w:val="false"/>
                  <w:dstrike w:val="false"/>
                  <w:color w:val="000000"/>
                  <w:sz w:val="20"/>
                  <w:u w:val="none"/>
                  <w:effect w:val="none"/>
                </w:rPr>
                <w:t>19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12">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12">
              <w:r>
                <w:rPr>
                  <w:rStyle w:val="InternetLink"/>
                  <w:rFonts w:ascii="Times New Roman;sans-serif" w:hAnsi="Times New Roman;sans-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12">
              <w:r>
                <w:rPr>
                  <w:rStyle w:val="InternetLink"/>
                  <w:rFonts w:ascii="Times New Roman;sans-serif" w:hAnsi="Times New Roman;sans-serif"/>
                  <w:b w:val="false"/>
                  <w:strike w:val="false"/>
                  <w:dstrike w:val="false"/>
                  <w:color w:val="000000"/>
                  <w:sz w:val="20"/>
                  <w:u w:val="none"/>
                  <w:effect w:val="none"/>
                </w:rPr>
                <w:t>30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15">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15">
              <w:r>
                <w:rPr>
                  <w:rStyle w:val="InternetLink"/>
                  <w:rFonts w:ascii="Times New Roman;sans-serif" w:hAnsi="Times New Roman;sans-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15">
              <w:r>
                <w:rPr>
                  <w:rStyle w:val="InternetLink"/>
                  <w:rFonts w:ascii="Times New Roman;sans-serif" w:hAnsi="Times New Roman;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18">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18">
              <w:r>
                <w:rPr>
                  <w:rStyle w:val="InternetLink"/>
                  <w:rFonts w:ascii="Times New Roman;sans-serif" w:hAnsi="Times New Roman;sans-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18">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21">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21">
              <w:r>
                <w:rPr>
                  <w:rStyle w:val="InternetLink"/>
                  <w:rFonts w:ascii="Times New Roman;sans-serif" w:hAnsi="Times New Roman;sans-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21">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24">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24">
              <w:r>
                <w:rPr>
                  <w:rStyle w:val="InternetLink"/>
                  <w:rFonts w:ascii="Times New Roman;sans-serif" w:hAnsi="Times New Roman;sans-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24">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27">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27">
              <w:r>
                <w:rPr>
                  <w:rStyle w:val="InternetLink"/>
                  <w:rFonts w:ascii="Times New Roman;sans-serif" w:hAnsi="Times New Roman;sans-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27">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0">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0">
              <w:r>
                <w:rPr>
                  <w:rStyle w:val="InternetLink"/>
                  <w:rFonts w:ascii="Times New Roman;sans-serif" w:hAnsi="Times New Roman;sans-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30">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3">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3">
              <w:r>
                <w:rPr>
                  <w:rStyle w:val="InternetLink"/>
                  <w:rFonts w:ascii="Times New Roman;sans-serif" w:hAnsi="Times New Roman;sans-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33">
              <w:r>
                <w:rPr>
                  <w:rStyle w:val="InternetLink"/>
                  <w:rFonts w:ascii="Times New Roman;sans-serif" w:hAnsi="Times New Roman;sans-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6">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36">
              <w:r>
                <w:rPr>
                  <w:rStyle w:val="InternetLink"/>
                  <w:rFonts w:ascii="Times New Roman;sans-serif" w:hAnsi="Times New Roman;sans-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36">
              <w:r>
                <w:rPr>
                  <w:rStyle w:val="InternetLink"/>
                  <w:rFonts w:ascii="Times New Roman;sans-serif" w:hAnsi="Times New Roman;sans-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42">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42">
              <w:r>
                <w:rPr>
                  <w:rStyle w:val="InternetLink"/>
                  <w:rFonts w:ascii="Times New Roman;sans-serif" w:hAnsi="Times New Roman;sans-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42">
              <w:r>
                <w:rPr>
                  <w:rStyle w:val="InternetLink"/>
                  <w:rFonts w:ascii="Times New Roman;sans-serif" w:hAnsi="Times New Roman;sans-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3bb34dcd6495382fd310726f74fc2_145">
              <w:r>
                <w:rPr>
                  <w:rStyle w:val="InternetLink"/>
                  <w:rFonts w:ascii="Times New Roman;sans-serif" w:hAnsi="Times New Roman;sans-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33bb34dcd6495382fd310726f74fc2_145">
              <w:r>
                <w:rPr>
                  <w:rStyle w:val="InternetLink"/>
                  <w:rFonts w:ascii="Times New Roman;sans-serif" w:hAnsi="Times New Roman;sans-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2023 (our "Annual Report") as filed with the SEC, as such risk factors may be updated from time to time in our periodic filings with the SEC, which are accessible on the SEC’s website at www.sec.gov. Such risks and uncertainties include, but are not limited to, the following: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dependent on key clients, and the loss of a key client could have an adverse effect on our business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clients may terminate contracts before completion or choose not to renew contracts and loss of business or non-payment from clients could materially affect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cost-effectively acquire and retain new clients, which would adversely affect our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Trust and Safety, including content monitoring and moderation services, is a large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Global economic and political conditions, especially in the social media and meal delivery and transport industries from which we generate significant revenue, could adversely affect our business, results of operations, financial condition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Fluctuations against the U.S. dollar in the local currencies in the countries in which we operate could have a material effect on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depends on a strong brand and corporate reputation, and if we are not able to maintain and enhance our brand, our ability to expand our client base could be impaired and our business and operating results will be adversely affected.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Pricing pressure may reduce our revenue or gross profits and adversely affect our financial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success of our business depends on our senior management and key employees.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Increases in employee expenses as well as changes to labor laws could reduce our profit margin.</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results of operations.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relies heavily on owned and third-party technology and computer systems, which subjects us to various uncertainties.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profitability will suffer if we are not able to maintain asset utilization levels, price appropriately and control our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Certain investment funds associated with Blackstone Inc. and our Co-Founders control us and their interests may conflict with ours or yours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common stock prior to the completion of our June 2021 initial public offering, and it may depress the trading price of our Class A common stock.</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(www.taskus.com) and our social media outlets, such as Facebook, Instagram, LinkedIn, YouTube and X (formerly known as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X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917"/>
        <w:gridCol w:w="2377"/>
        <w:gridCol w:w="2372"/>
        <w:gridCol w:w="205"/>
        <w:gridCol w:w="774"/>
        <w:gridCol w:w="114"/>
        <w:gridCol w:w="109"/>
        <w:gridCol w:w="109"/>
        <w:gridCol w:w="109"/>
        <w:gridCol w:w="200"/>
        <w:gridCol w:w="756"/>
        <w:gridCol w:w="163"/>
      </w:tblGrid>
      <w:tr>
        <w:trPr/>
        <w:tc>
          <w:tcPr>
            <w:tcW w:w="291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credit losses of $1,836 and $1,978, respectively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328,518 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522,687 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535,684 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942,097 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debt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income tax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101,804 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246,325 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256,166 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313,206 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321,687 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423,491 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10)</w:t>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Authorized 2,500,000,000; 32,555,207 issued and 19,415,430 outstanding and 30,522,570 issued and 18,725,947 outstanding, respectively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 $0.01 par value. Authorized 250,000,000; 70,032,694 and 70,032,694 shares issued and outstanding, respectively</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714,471 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13,139,777 and 11,796,623 shares, respectively</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942,097 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864,202 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9798" w:type="dxa"/>
        <w:jc w:val="left"/>
        <w:tblInd w:w="0" w:type="dxa"/>
        <w:tblLayout w:type="fixed"/>
        <w:tblCellMar>
          <w:top w:w="28" w:type="dxa"/>
          <w:left w:w="28" w:type="dxa"/>
          <w:bottom w:w="28" w:type="dxa"/>
          <w:right w:w="28" w:type="dxa"/>
        </w:tblCellMar>
      </w:tblPr>
      <w:tblGrid>
        <w:gridCol w:w="1537"/>
        <w:gridCol w:w="1349"/>
        <w:gridCol w:w="1358"/>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650,269 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88,978,159 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92,480,316 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88,701,787 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95,522,026 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92,579,919 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94,035,111 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92,019,911 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97,729,230 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553" w:type="dxa"/>
        <w:jc w:val="left"/>
        <w:tblInd w:w="0" w:type="dxa"/>
        <w:tblLayout w:type="fixed"/>
        <w:tblCellMar>
          <w:top w:w="28" w:type="dxa"/>
          <w:left w:w="28" w:type="dxa"/>
          <w:bottom w:w="28" w:type="dxa"/>
          <w:right w:w="28" w:type="dxa"/>
        </w:tblCellMar>
      </w:tblPr>
      <w:tblGrid>
        <w:gridCol w:w="1084"/>
        <w:gridCol w:w="955"/>
        <w:gridCol w:w="961"/>
        <w:gridCol w:w="241"/>
        <w:gridCol w:w="797"/>
        <w:gridCol w:w="134"/>
        <w:gridCol w:w="134"/>
        <w:gridCol w:w="134"/>
        <w:gridCol w:w="134"/>
        <w:gridCol w:w="241"/>
        <w:gridCol w:w="686"/>
        <w:gridCol w:w="134"/>
        <w:gridCol w:w="109"/>
        <w:gridCol w:w="109"/>
        <w:gridCol w:w="109"/>
        <w:gridCol w:w="223"/>
        <w:gridCol w:w="737"/>
        <w:gridCol w:w="124"/>
        <w:gridCol w:w="124"/>
        <w:gridCol w:w="124"/>
        <w:gridCol w:w="124"/>
        <w:gridCol w:w="223"/>
        <w:gridCol w:w="737"/>
        <w:gridCol w:w="175"/>
      </w:tblGrid>
      <w:tr>
        <w:trPr/>
        <w:tc>
          <w:tcPr>
            <w:tcW w:w="108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 reserves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438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37"/>
        <w:gridCol w:w="801"/>
        <w:gridCol w:w="133"/>
        <w:gridCol w:w="109"/>
        <w:gridCol w:w="109"/>
        <w:gridCol w:w="109"/>
        <w:gridCol w:w="435"/>
        <w:gridCol w:w="436"/>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29,489,895 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2,039,732 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475,755 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3,223,283 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(38,338)</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June 30,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29,804,225 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5,263,015 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458,799 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(1,485)</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4,541,983 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(48,753)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September 30,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30,328,882 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(14,316)</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9,804,998 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428,748 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30,522,570 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11,796,623 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31,020,925 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(78,270)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12,082,234 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722,711 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1,024,556 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31,703,199 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13,106,790 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977,511 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September 30,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32,555,207 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(52,973)</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(13,324)</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13,139,777 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(159,410)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489,790 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381" w:type="dxa"/>
        <w:jc w:val="center"/>
        <w:tblInd w:w="0" w:type="dxa"/>
        <w:tblLayout w:type="fixed"/>
        <w:tblCellMar>
          <w:top w:w="28" w:type="dxa"/>
          <w:left w:w="28" w:type="dxa"/>
          <w:bottom w:w="28" w:type="dxa"/>
          <w:right w:w="28" w:type="dxa"/>
        </w:tblCellMar>
      </w:tblPr>
      <w:tblGrid>
        <w:gridCol w:w="2097"/>
        <w:gridCol w:w="1839"/>
        <w:gridCol w:w="1853"/>
        <w:gridCol w:w="207"/>
        <w:gridCol w:w="778"/>
        <w:gridCol w:w="115"/>
        <w:gridCol w:w="115"/>
        <w:gridCol w:w="115"/>
        <w:gridCol w:w="115"/>
        <w:gridCol w:w="207"/>
        <w:gridCol w:w="778"/>
        <w:gridCol w:w="162"/>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financing fees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credit losses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(gains) on forward contracts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employee-related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loan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deferred business acquisition consideration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 repurchases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125,776 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180,381 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114,616 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TaskUs, Inc.</w:t>
      </w:r>
      <w:r>
        <w:rPr>
          <w:color w:val="000000"/>
        </w:rPr>
        <w:t xml:space="preserve"> </w:t>
      </w:r>
      <w:r>
        <w:rPr>
          <w:rFonts w:ascii="Times New Roman;sans-serif" w:hAnsi="Times New Roman;sans-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AI</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Services. The Company has designed its platform to enable it to rapidly scale and benefit from its clients’ growth. Through its agile and responsive operational model, the Company delivers services from multiple delivery sites that span globally from the United States, the Philippines, India and other parts of the world.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Digital Customer Experience</w:t>
      </w:r>
      <w:r>
        <w:rPr>
          <w:rFonts w:ascii="Times New Roman;sans-serif" w:hAnsi="Times New Roman;sans-serif"/>
          <w:b w:val="false"/>
          <w:color w:val="000000"/>
          <w:sz w:val="20"/>
        </w:rPr>
        <w:t>: Principally consists of omni-channel customer care services, primarily delivered through digital (non-voice) channels.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i/>
          <w:color w:val="000000"/>
          <w:sz w:val="20"/>
        </w:rPr>
        <w:t>Trust and Safety</w:t>
      </w:r>
      <w:r>
        <w:rPr>
          <w:rFonts w:ascii="Times New Roman;sans-serif" w:hAnsi="Times New Roman;sans-serif"/>
          <w:b w:val="false"/>
          <w:color w:val="000000"/>
          <w:sz w:val="20"/>
        </w:rPr>
        <w:t>: Principally consists of review and disposition of user and advertiser generated visual, text and audio content for purposes which include removal or labeling of policy violating, offensive or misleading content. Also included in this area are our offerings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AI Services</w:t>
      </w:r>
      <w:r>
        <w:rPr>
          <w:rFonts w:ascii="Times New Roman;sans-serif" w:hAnsi="Times New Roman;sans-serif"/>
          <w:b w:val="false"/>
          <w:color w:val="000000"/>
          <w:sz w:val="20"/>
        </w:rPr>
        <w:t>: Principally consists of high-quality data labeling services, annotation, context relevance and transcription services performed for the purpose of training and tuning machine learning algorithms, enabling them to develop cutting-edge AI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and reporting policies of the Company are in accordance with accounting principles generally accepted in the United States of America ("US GAAP"). Our Annual Report on Form 10-K for the year ended December 31, 2023 (the "Annual Report"), as filed with the Securities and Exchange Commission (the "SEC"), includes a discussion of the significant accounting policies used in the preparation of our consolidated financial statements. Other than the Company designating certain derivatives as cash flow hedges, there have been no changes to the Company’s significant accounting policies described in the Annual Report that have had a material impact on the Company’s condensed consolidated financial statements and related notes. See Note 5, "Forward Contracts" for information on the accounting policy for cash flow hedges.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2023 included in the Annual Report. In the opinion of the Company, the accompanying unaudited condensed consolidated financial statements contain all adjustments, consisting of only normal recurring adjustments, necessary for a fair statement of its financial position as of September 30, 2024 and its results of operations, comprehensive income and shareholders’ equity for the three and nine months ended September 30, 2024 and 2023, and cash flows for the nine months ended September 30, 2024 and 2023. The condensed consolidated balance sheet as of December 31, 2023, was derived from audited annual financial statements but does not contain all of the footnote disclosures from the annual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 Use of Estimates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ans-serif" w:hAnsi="Times New Roman;sans-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 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 Concentration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customers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the following client represented greater than 10% of the Company’s service revenue:</w:t>
      </w:r>
    </w:p>
    <w:tbl>
      <w:tblPr>
        <w:tblW w:w="643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25"/>
        <w:gridCol w:w="225"/>
        <w:gridCol w:w="530"/>
        <w:gridCol w:w="225"/>
        <w:gridCol w:w="225"/>
        <w:gridCol w:w="225"/>
        <w:gridCol w:w="225"/>
        <w:gridCol w:w="225"/>
        <w:gridCol w:w="530"/>
        <w:gridCol w:w="109"/>
        <w:gridCol w:w="109"/>
        <w:gridCol w:w="109"/>
        <w:gridCol w:w="214"/>
        <w:gridCol w:w="214"/>
        <w:gridCol w:w="503"/>
        <w:gridCol w:w="214"/>
        <w:gridCol w:w="214"/>
        <w:gridCol w:w="214"/>
        <w:gridCol w:w="214"/>
        <w:gridCol w:w="214"/>
        <w:gridCol w:w="59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revenue percentage</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the following clients represented greater than 10% of the Company’s accounts receivable: </w:t>
      </w:r>
    </w:p>
    <w:tbl>
      <w:tblPr>
        <w:tblW w:w="4572"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354"/>
        <w:gridCol w:w="354"/>
        <w:gridCol w:w="836"/>
        <w:gridCol w:w="200"/>
        <w:gridCol w:w="200"/>
        <w:gridCol w:w="200"/>
        <w:gridCol w:w="322"/>
        <w:gridCol w:w="322"/>
        <w:gridCol w:w="9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 percentage</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Less than 10%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including the majority of its employees and the fixed assets owned by its wholly owned subsidiaries, are located in the Philippines.</w:t>
      </w:r>
    </w:p>
    <w:p>
      <w:pPr>
        <w:pStyle w:val="TextBody"/>
        <w:bidi w:val="0"/>
        <w:spacing w:lineRule="auto" w:line="26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issued Accounting Standards Update (“ASU”) 2023-07, Segment Reporting (Topic 280): Improvements to Reportable Segment Disclosures. This standard requires enhanced disclosure of significant segment expenses, and other segment items, on an annual and interim basis. This ASU will be effective for the Company for fiscal years beginning after December 15, 2023, and interim periods within fiscal years beginning after December 15, 2024. Early adoption is permitted. This ASU will be applied retrospectively to all periods presented in the financial statements. The Company is currently reviewing this ASU, but does not expect its adoption to have a material impact on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is currently reviewing this ASU, but does not expect its adoption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2022 (the "Closing Date"), the Company completed the acquisition of 100% of the equity interests of Parsec d.o.o. and Q Experience d.o.o. (collectively, "heloo") for $35.4 million. The former shareholders of heloo were also eligible to receive contingent earn-out payments not to exceed €20 million, based on performance compared to prescribed EBITDA targets outlined in the purchase agreement during each of the one year periods ending April 30, 2023 and 2024, respectively. The second earnout period expired as of April 30, 2024, with no additional amount paid, and the total fair value of remaining contingent earn-out payments was determined to be $0.0 million as of December 31, 2023. Since these payments were contingent on future service conditions, they were recognized as compensation expense ratably over the required service period. The Company recognized compensation expense related to the contingent earn-out payments included in selling, general, and administrative expenses of $0.0 million for the three and nine months ended September 30, 2024, and $(0.1) million and $7.9 million for the three and nine months ended September 30, 2023, respectively. The Company paid $18.3 million related to the contingent earn-out during the nine months ended September 30, 2023, which is included in net cash provided by operating activities. The Company paid $0.1 million and $0.1 million related to holdback cash consideration during the nine months ended September 30, 2024 and 2023, respectively, which is included in payments for deferred business acquisition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4. Revenue from Contracts with Customers</w:t>
      </w:r>
    </w:p>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714" w:type="dxa"/>
        <w:jc w:val="left"/>
        <w:tblInd w:w="0" w:type="dxa"/>
        <w:tblLayout w:type="fixed"/>
        <w:tblCellMar>
          <w:top w:w="28" w:type="dxa"/>
          <w:left w:w="28" w:type="dxa"/>
          <w:bottom w:w="28" w:type="dxa"/>
          <w:right w:w="28" w:type="dxa"/>
        </w:tblCellMar>
      </w:tblPr>
      <w:tblGrid>
        <w:gridCol w:w="782"/>
        <w:gridCol w:w="688"/>
        <w:gridCol w:w="690"/>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454,004 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798" w:type="dxa"/>
        <w:jc w:val="left"/>
        <w:tblInd w:w="0" w:type="dxa"/>
        <w:tblLayout w:type="fixed"/>
        <w:tblCellMar>
          <w:top w:w="28" w:type="dxa"/>
          <w:left w:w="28" w:type="dxa"/>
          <w:bottom w:w="28" w:type="dxa"/>
          <w:right w:w="28" w:type="dxa"/>
        </w:tblCellMar>
      </w:tblPr>
      <w:tblGrid>
        <w:gridCol w:w="451"/>
        <w:gridCol w:w="396"/>
        <w:gridCol w:w="397"/>
        <w:gridCol w:w="214"/>
        <w:gridCol w:w="806"/>
        <w:gridCol w:w="119"/>
        <w:gridCol w:w="119"/>
        <w:gridCol w:w="119"/>
        <w:gridCol w:w="119"/>
        <w:gridCol w:w="214"/>
        <w:gridCol w:w="806"/>
        <w:gridCol w:w="119"/>
        <w:gridCol w:w="109"/>
        <w:gridCol w:w="109"/>
        <w:gridCol w:w="109"/>
        <w:gridCol w:w="207"/>
        <w:gridCol w:w="778"/>
        <w:gridCol w:w="115"/>
        <w:gridCol w:w="115"/>
        <w:gridCol w:w="115"/>
        <w:gridCol w:w="115"/>
        <w:gridCol w:w="207"/>
        <w:gridCol w:w="778"/>
        <w:gridCol w:w="162"/>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720,743 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includes $87.0 million and $77.2 million of unbilled revenue 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5. Forward Contracts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2024 and 2023, the Company entered into foreign currency exchange rate forward contracts, with four commercial banks as the counterparties, with maturities of generally 12 months or less, to reduce the volatility of cash flows, primarily related to forecasted costs denominated in Philippine pesos, Indian rupees, Mexican pesos and Colombian pesos. </w:t>
      </w:r>
      <w:r>
        <w:rPr>
          <w:rFonts w:ascii="Times New Roman;sans-serif" w:hAnsi="Times New Roman;sans-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Topic 815, Derivatives and Hedging, establishes accounting and reporting standards for derivative instruments, including certain derivative instruments embedded in other contracts, and hedging activities. It requires the recognition of all derivative instruments as assets (prepaid expenses and other current assets) or liabilities (accrued payroll and employee-related liabilities) on the Company’s consolidated balance sheets and measurement of those instruments at fair value. The resulting cash flows are reported as cash from operating activities. The accounting treatment of changes in fair value is dependent upon whether or not a derivative instrument is designated as a hedge and if so, the type of hedge. </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Hedges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designates certain foreign currency forward contracts as cash flow hedges to hedge certain forecasted costs denominated in currencies other than the U.S. dollar. The Company performs an assessment, on the designation date and on an ongoing basis, to determine whether the cash flow hedges are expected to be highly effective at offsetting changes in the hedged item. For the effective portion of cash flow hedges, the change in fair value is recorded in accumulated other comprehensive loss and is reclassified into cost of service, selling, general, and administrative expense and depreciation on the consolidated statements of income in the period the hedged transactions occur. All cash flow hedges were determined to be highly effective for the periods presented.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the Company did not settle any cash flow hedges.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outstanding forward contracts designated as cash flow hedges:</w:t>
      </w:r>
    </w:p>
    <w:tbl>
      <w:tblPr>
        <w:tblW w:w="9701" w:type="dxa"/>
        <w:jc w:val="left"/>
        <w:tblInd w:w="0" w:type="dxa"/>
        <w:tblLayout w:type="fixed"/>
        <w:tblCellMar>
          <w:top w:w="28" w:type="dxa"/>
          <w:left w:w="28" w:type="dxa"/>
          <w:bottom w:w="28" w:type="dxa"/>
          <w:right w:w="28" w:type="dxa"/>
        </w:tblCellMar>
      </w:tblPr>
      <w:tblGrid>
        <w:gridCol w:w="2276"/>
        <w:gridCol w:w="2002"/>
        <w:gridCol w:w="2007"/>
        <w:gridCol w:w="318"/>
        <w:gridCol w:w="1050"/>
        <w:gridCol w:w="177"/>
        <w:gridCol w:w="109"/>
        <w:gridCol w:w="109"/>
        <w:gridCol w:w="109"/>
        <w:gridCol w:w="399"/>
        <w:gridCol w:w="828"/>
        <w:gridCol w:w="317"/>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Philippine pesos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Indian rupees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Mexican pesos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Colombian pesos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outstanding forward contracts designated as cash flow hedges</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gains on cash flow hedges for the three and nine months ended September 30, 2024 was $0.2 million. As of September 30, 2024, the net accumulated gain on our foreign currency cash flow hedges expected to be reclassed from accumulated other comprehensive loss into earnings within the next 12 months was $0.2 million. </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Instruments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also enters into foreign currency forward contracts that are not designated as hedging instruments. </w:t>
      </w:r>
      <w:r>
        <w:rPr>
          <w:rFonts w:ascii="Times New Roman;sans-serif" w:hAnsi="Times New Roman;sans-serif"/>
          <w:b w:val="false"/>
          <w:color w:val="000000"/>
          <w:sz w:val="20"/>
          <w:shd w:fill="FFFFFF" w:val="clear"/>
        </w:rPr>
        <w:t xml:space="preserve">Any gains or losses resulting from changes in the fair value of these contracts are recognized in other expense (income), net in the statements of income. </w:t>
      </w:r>
      <w:r>
        <w:rPr>
          <w:rFonts w:ascii="Times New Roman;sans-serif" w:hAnsi="Times New Roman;sans-serif"/>
          <w:b w:val="false"/>
          <w:color w:val="000000"/>
          <w:sz w:val="20"/>
        </w:rPr>
        <w:t xml:space="preserve">The forward contract receivable (payable) resulting from changes in fair value is recorded under prepaid expenses and other current assets (accounts payable and accrued liabilities).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settled forward contracts and realized and unrealized losses (gains) associated with derivative contracts not designated as hedging instruments:</w:t>
      </w:r>
    </w:p>
    <w:tbl>
      <w:tblPr>
        <w:tblW w:w="10205" w:type="dxa"/>
        <w:jc w:val="left"/>
        <w:tblInd w:w="0" w:type="dxa"/>
        <w:tblLayout w:type="fixed"/>
        <w:tblCellMar>
          <w:top w:w="28" w:type="dxa"/>
          <w:left w:w="28" w:type="dxa"/>
          <w:bottom w:w="28" w:type="dxa"/>
          <w:right w:w="28" w:type="dxa"/>
        </w:tblCellMar>
      </w:tblPr>
      <w:tblGrid>
        <w:gridCol w:w="1583"/>
        <w:gridCol w:w="1388"/>
        <w:gridCol w:w="1393"/>
        <w:gridCol w:w="109"/>
        <w:gridCol w:w="109"/>
        <w:gridCol w:w="109"/>
        <w:gridCol w:w="229"/>
        <w:gridCol w:w="755"/>
        <w:gridCol w:w="127"/>
        <w:gridCol w:w="127"/>
        <w:gridCol w:w="127"/>
        <w:gridCol w:w="127"/>
        <w:gridCol w:w="229"/>
        <w:gridCol w:w="755"/>
        <w:gridCol w:w="127"/>
        <w:gridCol w:w="109"/>
        <w:gridCol w:w="109"/>
        <w:gridCol w:w="109"/>
        <w:gridCol w:w="206"/>
        <w:gridCol w:w="774"/>
        <w:gridCol w:w="114"/>
        <w:gridCol w:w="114"/>
        <w:gridCol w:w="114"/>
        <w:gridCol w:w="114"/>
        <w:gridCol w:w="206"/>
        <w:gridCol w:w="774"/>
        <w:gridCol w:w="168"/>
      </w:tblGrid>
      <w:tr>
        <w:trPr/>
        <w:tc>
          <w:tcPr>
            <w:tcW w:w="15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Philippine pesos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settled forward contracts in Indian rupees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settled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(gains) from settlement of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outstanding forward contracts not designated as hedging instruments:</w:t>
      </w:r>
    </w:p>
    <w:tbl>
      <w:tblPr>
        <w:tblW w:w="9370" w:type="dxa"/>
        <w:jc w:val="left"/>
        <w:tblInd w:w="0" w:type="dxa"/>
        <w:tblLayout w:type="fixed"/>
        <w:tblCellMar>
          <w:top w:w="28" w:type="dxa"/>
          <w:left w:w="28" w:type="dxa"/>
          <w:bottom w:w="28" w:type="dxa"/>
          <w:right w:w="28" w:type="dxa"/>
        </w:tblCellMar>
      </w:tblPr>
      <w:tblGrid>
        <w:gridCol w:w="2449"/>
        <w:gridCol w:w="2155"/>
        <w:gridCol w:w="2160"/>
        <w:gridCol w:w="235"/>
        <w:gridCol w:w="775"/>
        <w:gridCol w:w="130"/>
        <w:gridCol w:w="109"/>
        <w:gridCol w:w="109"/>
        <w:gridCol w:w="109"/>
        <w:gridCol w:w="205"/>
        <w:gridCol w:w="773"/>
        <w:gridCol w:w="161"/>
      </w:tblGrid>
      <w:tr>
        <w:trPr/>
        <w:tc>
          <w:tcPr>
            <w:tcW w:w="244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Philippine pesos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Notional amount of outstanding forward contracts in Indian rupees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outstanding forward contracts not designated as hedging instruments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214,222 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the Company offsets assets and liabilities for forward contracts with the same counterparty that it has the right and intent to net settle upon maturity; however, it does not offset assets and liabilities under master netting arrangements that it does not intend to net settle. The following table presents information about the Company’s assets and liabilities that are measured at fair value on a recurring basis, and indicates the fair value hierarchy of the valuation techniques utilized to determine such fair value, at September 30, 2024 and December 31, 2023:</w:t>
      </w:r>
    </w:p>
    <w:tbl>
      <w:tblPr>
        <w:tblW w:w="10833" w:type="dxa"/>
        <w:jc w:val="left"/>
        <w:tblInd w:w="0" w:type="dxa"/>
        <w:tblLayout w:type="fixed"/>
        <w:tblCellMar>
          <w:top w:w="28" w:type="dxa"/>
          <w:left w:w="28" w:type="dxa"/>
          <w:bottom w:w="28" w:type="dxa"/>
          <w:right w:w="28" w:type="dxa"/>
        </w:tblCellMar>
      </w:tblPr>
      <w:tblGrid>
        <w:gridCol w:w="419"/>
        <w:gridCol w:w="263"/>
        <w:gridCol w:w="264"/>
        <w:gridCol w:w="196"/>
        <w:gridCol w:w="646"/>
        <w:gridCol w:w="109"/>
        <w:gridCol w:w="109"/>
        <w:gridCol w:w="109"/>
        <w:gridCol w:w="109"/>
        <w:gridCol w:w="196"/>
        <w:gridCol w:w="421"/>
        <w:gridCol w:w="109"/>
        <w:gridCol w:w="109"/>
        <w:gridCol w:w="109"/>
        <w:gridCol w:w="109"/>
        <w:gridCol w:w="196"/>
        <w:gridCol w:w="406"/>
        <w:gridCol w:w="109"/>
        <w:gridCol w:w="109"/>
        <w:gridCol w:w="109"/>
        <w:gridCol w:w="109"/>
        <w:gridCol w:w="196"/>
        <w:gridCol w:w="646"/>
        <w:gridCol w:w="109"/>
        <w:gridCol w:w="109"/>
        <w:gridCol w:w="109"/>
        <w:gridCol w:w="109"/>
        <w:gridCol w:w="322"/>
        <w:gridCol w:w="668"/>
        <w:gridCol w:w="181"/>
        <w:gridCol w:w="109"/>
        <w:gridCol w:w="109"/>
        <w:gridCol w:w="109"/>
        <w:gridCol w:w="196"/>
        <w:gridCol w:w="646"/>
        <w:gridCol w:w="109"/>
        <w:gridCol w:w="109"/>
        <w:gridCol w:w="109"/>
        <w:gridCol w:w="109"/>
        <w:gridCol w:w="301"/>
        <w:gridCol w:w="671"/>
        <w:gridCol w:w="169"/>
        <w:gridCol w:w="109"/>
        <w:gridCol w:w="109"/>
        <w:gridCol w:w="109"/>
        <w:gridCol w:w="196"/>
        <w:gridCol w:w="646"/>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not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not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9"/>
        <w:gridCol w:w="296"/>
        <w:gridCol w:w="285"/>
        <w:gridCol w:w="198"/>
        <w:gridCol w:w="411"/>
        <w:gridCol w:w="110"/>
        <w:gridCol w:w="109"/>
        <w:gridCol w:w="109"/>
        <w:gridCol w:w="109"/>
        <w:gridCol w:w="198"/>
        <w:gridCol w:w="426"/>
        <w:gridCol w:w="110"/>
        <w:gridCol w:w="109"/>
        <w:gridCol w:w="109"/>
        <w:gridCol w:w="109"/>
        <w:gridCol w:w="198"/>
        <w:gridCol w:w="411"/>
        <w:gridCol w:w="110"/>
        <w:gridCol w:w="109"/>
        <w:gridCol w:w="109"/>
        <w:gridCol w:w="109"/>
        <w:gridCol w:w="202"/>
        <w:gridCol w:w="435"/>
        <w:gridCol w:w="112"/>
        <w:gridCol w:w="109"/>
        <w:gridCol w:w="109"/>
        <w:gridCol w:w="109"/>
        <w:gridCol w:w="330"/>
        <w:gridCol w:w="685"/>
        <w:gridCol w:w="185"/>
        <w:gridCol w:w="109"/>
        <w:gridCol w:w="109"/>
        <w:gridCol w:w="109"/>
        <w:gridCol w:w="212"/>
        <w:gridCol w:w="456"/>
        <w:gridCol w:w="119"/>
        <w:gridCol w:w="109"/>
        <w:gridCol w:w="109"/>
        <w:gridCol w:w="109"/>
        <w:gridCol w:w="355"/>
        <w:gridCol w:w="628"/>
        <w:gridCol w:w="199"/>
        <w:gridCol w:w="109"/>
        <w:gridCol w:w="109"/>
        <w:gridCol w:w="109"/>
        <w:gridCol w:w="203"/>
        <w:gridCol w:w="437"/>
        <w:gridCol w:w="176"/>
      </w:tblGrid>
      <w:tr>
        <w:trPr/>
        <w:tc>
          <w:tcPr>
            <w:tcW w:w="42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8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not designated as hedging instruments:</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not designated as hedging instruments:</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property and equipment, net as of September 30, 2024 and December 31, 2023, were as follows:</w:t>
      </w:r>
    </w:p>
    <w:tbl>
      <w:tblPr>
        <w:tblW w:w="4901" w:type="dxa"/>
        <w:jc w:val="left"/>
        <w:tblInd w:w="0" w:type="dxa"/>
        <w:tblLayout w:type="fixed"/>
        <w:tblCellMar>
          <w:top w:w="28" w:type="dxa"/>
          <w:left w:w="28" w:type="dxa"/>
          <w:bottom w:w="28" w:type="dxa"/>
          <w:right w:w="28" w:type="dxa"/>
        </w:tblCellMar>
      </w:tblPr>
      <w:tblGrid>
        <w:gridCol w:w="829"/>
        <w:gridCol w:w="730"/>
        <w:gridCol w:w="735"/>
        <w:gridCol w:w="235"/>
        <w:gridCol w:w="775"/>
        <w:gridCol w:w="130"/>
        <w:gridCol w:w="109"/>
        <w:gridCol w:w="109"/>
        <w:gridCol w:w="109"/>
        <w:gridCol w:w="224"/>
        <w:gridCol w:w="740"/>
        <w:gridCol w:w="17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computers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216,239 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195,697 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September 30, 2024 and December 31, 2023:</w:t>
      </w:r>
    </w:p>
    <w:tbl>
      <w:tblPr>
        <w:tblW w:w="4721" w:type="dxa"/>
        <w:jc w:val="left"/>
        <w:tblInd w:w="0" w:type="dxa"/>
        <w:tblLayout w:type="fixed"/>
        <w:tblCellMar>
          <w:top w:w="28" w:type="dxa"/>
          <w:left w:w="28" w:type="dxa"/>
          <w:bottom w:w="28" w:type="dxa"/>
          <w:right w:w="28" w:type="dxa"/>
        </w:tblCellMar>
      </w:tblPr>
      <w:tblGrid>
        <w:gridCol w:w="766"/>
        <w:gridCol w:w="673"/>
        <w:gridCol w:w="675"/>
        <w:gridCol w:w="235"/>
        <w:gridCol w:w="775"/>
        <w:gridCol w:w="130"/>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7. Goodwill and Intangibles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period were as follows:</w:t>
      </w:r>
    </w:p>
    <w:tbl>
      <w:tblPr>
        <w:tblW w:w="3620" w:type="dxa"/>
        <w:jc w:val="left"/>
        <w:tblInd w:w="0" w:type="dxa"/>
        <w:tblLayout w:type="fixed"/>
        <w:tblCellMar>
          <w:top w:w="28" w:type="dxa"/>
          <w:left w:w="28" w:type="dxa"/>
          <w:bottom w:w="28" w:type="dxa"/>
          <w:right w:w="28" w:type="dxa"/>
        </w:tblCellMar>
      </w:tblPr>
      <w:tblGrid>
        <w:gridCol w:w="918"/>
        <w:gridCol w:w="807"/>
        <w:gridCol w:w="809"/>
        <w:gridCol w:w="196"/>
        <w:gridCol w:w="73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September 30, 2024 and December 31, 2023:</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of current and noncurrent portions of debt consisted of the following as of September 30, 2024 and December 31, 2023:</w:t>
      </w:r>
    </w:p>
    <w:tbl>
      <w:tblPr>
        <w:tblW w:w="957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the Company amended and restated its prior credit agreement (as amended and restated the "2022 Credit Agreement"), which includes a $270.0 million term loan (the "2022 Term Loan Facility") and a $190.0 million revolving credit facility (the "2022 Revolving Credit Facility" and, together with the 2022 Term Loan Facility, the "2022 Credit Facilities").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Term Loan Facility matures on September 7, 2027. We have elected to pay interest on borrowings under the 2022 Term Loan Facility based on the SOFR rate. The interest rate in effect for the 2022 Term Loan Facility as of September 30, 2024 was 6.954% per annum. Due to its variable interest rates, the carrying amount of debt approximates fair value based on the present value of future cash flows using Level 2 inputs.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terminates on September 7, 2027. As of September 30, 2024, the Company had no balance outstanding and $190.0 million of borrowing availability under the 2022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debt covenants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operating lease costs recorded to cost of services:</w:t>
      </w:r>
    </w:p>
    <w:tbl>
      <w:tblPr>
        <w:tblW w:w="8791"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52"/>
        <w:gridCol w:w="716"/>
        <w:gridCol w:w="140"/>
        <w:gridCol w:w="140"/>
        <w:gridCol w:w="140"/>
        <w:gridCol w:w="140"/>
        <w:gridCol w:w="252"/>
        <w:gridCol w:w="716"/>
        <w:gridCol w:w="140"/>
        <w:gridCol w:w="109"/>
        <w:gridCol w:w="109"/>
        <w:gridCol w:w="109"/>
        <w:gridCol w:w="223"/>
        <w:gridCol w:w="737"/>
        <w:gridCol w:w="124"/>
        <w:gridCol w:w="124"/>
        <w:gridCol w:w="124"/>
        <w:gridCol w:w="124"/>
        <w:gridCol w:w="223"/>
        <w:gridCol w:w="737"/>
        <w:gridCol w:w="175"/>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weighted average discount rate for the Company's operating leases as of September 30, 2024 and December 31, 2023:</w:t>
      </w:r>
    </w:p>
    <w:tbl>
      <w:tblPr>
        <w:tblW w:w="662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354"/>
        <w:gridCol w:w="354"/>
        <w:gridCol w:w="836"/>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the Company's operating leases:</w:t>
      </w:r>
    </w:p>
    <w:tbl>
      <w:tblPr>
        <w:tblW w:w="8663" w:type="dxa"/>
        <w:jc w:val="left"/>
        <w:tblInd w:w="0" w:type="dxa"/>
        <w:tblLayout w:type="fixed"/>
        <w:tblCellMar>
          <w:top w:w="28" w:type="dxa"/>
          <w:left w:w="28" w:type="dxa"/>
          <w:bottom w:w="28" w:type="dxa"/>
          <w:right w:w="28" w:type="dxa"/>
        </w:tblCellMar>
      </w:tblPr>
      <w:tblGrid>
        <w:gridCol w:w="2080"/>
        <w:gridCol w:w="1830"/>
        <w:gridCol w:w="1835"/>
        <w:gridCol w:w="109"/>
        <w:gridCol w:w="109"/>
        <w:gridCol w:w="109"/>
        <w:gridCol w:w="223"/>
        <w:gridCol w:w="737"/>
        <w:gridCol w:w="124"/>
        <w:gridCol w:w="124"/>
        <w:gridCol w:w="124"/>
        <w:gridCol w:w="124"/>
        <w:gridCol w:w="223"/>
        <w:gridCol w:w="737"/>
        <w:gridCol w:w="175"/>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lease payments on the Company's operating lease liabilities as of September 30, 2024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w:t>
      </w:r>
      <w:r>
        <w:rPr>
          <w:rFonts w:ascii="Times New Roman;sans-serif" w:hAnsi="Times New Roman;sans-serif"/>
          <w:b w:val="false"/>
          <w:color w:val="000000"/>
          <w:sz w:val="20"/>
        </w:rPr>
        <w:t>.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initial public offering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We believe that the lawsuit is without merit and intend to defend the lawsuit vigorously. On February 17, 2023, TaskUs and the other named defendants filed a motion to dismiss. On October 16, 2023, the plaintiffs voluntarily dismissed with prejudice certain claims based on certain theories of liability. On January 5, 2024, the Court granted in part and denied in part the defendants' motion to dismiss. Defendants filed an answer to the complaint on February 9, 2024, and an initial pretrial conference was held on February 16, 2024 after which a Case Management Plan and Scheduling Order was entered by the Court on February 20, 2024. Discovery is ongoing. Plaintiffs filed a motion for class certification on May 10, 2024. Briefing on that motion was completed on September 20, 2024 and the motion is currently pending. The Company cannot predict at this point the length of time that this action will be ongoing or the liability, if any, which may arise therefrom.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defending three lawsuits that present in large degree the same legal or factual issues, with allegations that are similar in nature. We believe that these three lawsuits are without merit and intend to defend each vigorously. The Company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the Company filed a motion to dismiss, which is currently pending. This case is currently stayed.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we filed a motion to dismiss the amended complaint. In May 2023, the Court issued an Order dismissing certain parties, staying the case as to the Company and denying as moot the Company's previously filed motion to dismiss. This case is currently stayed.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February 5, 2024, TaskUs filed a motion to dismiss. On July 16, 2024, the Court granted in part and denied in part the motion to dismiss. On August 23, 2024, the plaintiffs filed an amended complaint. On September 19, 2024, TaskUs filed a motion to dismiss, which remains pending.</w:t>
      </w:r>
    </w:p>
    <w:p>
      <w:pPr>
        <w:pStyle w:val="TextBody"/>
        <w:bidi w:val="0"/>
        <w:spacing w:lineRule="auto" w:line="288" w:before="120" w:after="283"/>
        <w:ind w:left="0" w:right="0" w:firstLine="360"/>
        <w:jc w:val="both"/>
        <w:rPr/>
      </w:pPr>
      <w:r>
        <w:rPr>
          <w:rFonts w:ascii="Times New Roman;sans-serif" w:hAnsi="Times New Roman;sans-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in the ordinary course of business, the Company enters into agreements of varying scope and terms pursuant to which it agrees to indemnify clients, vendors and other business partners with respect to certain matters, including, but not limited to, losses arising out of breach of such agreements, cybersecurity breach, services to be provided by the Company or from intellectual property infringement claims made by third parties. Historically, the Company has not experienced significant losses on these types of indemnification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following table summarizes the stock option, restricted stock unit ("RSU") and performance stock unit ("PSU") activity for the </w:t>
      </w:r>
      <w:r>
        <w:rPr>
          <w:rFonts w:ascii="Times New Roman;sans-serif" w:hAnsi="Times New Roman;sans-serif"/>
          <w:b w:val="false"/>
          <w:color w:val="000000"/>
          <w:sz w:val="20"/>
        </w:rPr>
        <w:t>nine months ended September 30, 2024</w:t>
      </w:r>
      <w:r>
        <w:rPr>
          <w:rFonts w:ascii="Times New Roman;sans-serif" w:hAnsi="Times New Roman;sans-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616"/>
        <w:gridCol w:w="459"/>
        <w:gridCol w:w="461"/>
        <w:gridCol w:w="452"/>
        <w:gridCol w:w="455"/>
        <w:gridCol w:w="296"/>
        <w:gridCol w:w="109"/>
        <w:gridCol w:w="109"/>
        <w:gridCol w:w="109"/>
        <w:gridCol w:w="246"/>
        <w:gridCol w:w="698"/>
        <w:gridCol w:w="137"/>
        <w:gridCol w:w="109"/>
        <w:gridCol w:w="109"/>
        <w:gridCol w:w="109"/>
        <w:gridCol w:w="452"/>
        <w:gridCol w:w="455"/>
        <w:gridCol w:w="296"/>
        <w:gridCol w:w="109"/>
        <w:gridCol w:w="109"/>
        <w:gridCol w:w="109"/>
        <w:gridCol w:w="265"/>
        <w:gridCol w:w="752"/>
        <w:gridCol w:w="148"/>
        <w:gridCol w:w="109"/>
        <w:gridCol w:w="109"/>
        <w:gridCol w:w="109"/>
        <w:gridCol w:w="435"/>
        <w:gridCol w:w="436"/>
        <w:gridCol w:w="296"/>
        <w:gridCol w:w="109"/>
        <w:gridCol w:w="109"/>
        <w:gridCol w:w="109"/>
        <w:gridCol w:w="261"/>
        <w:gridCol w:w="742"/>
        <w:gridCol w:w="212"/>
      </w:tblGrid>
      <w:tr>
        <w:trPr/>
        <w:tc>
          <w:tcPr>
            <w:tcW w:w="61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2024</w:t>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7,523,971 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3,864,319 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3,373,417 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2,447,091 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or released</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(822,122)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(1,498,935)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(1,383,040)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(332,870)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2024</w:t>
            </w:r>
          </w:p>
        </w:tc>
        <w:tc>
          <w:tcPr>
            <w:tcW w:w="9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5,318,809 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4,479,605 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3,693,417 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recognized for the periods presented:</w:t>
      </w:r>
    </w:p>
    <w:tbl>
      <w:tblPr>
        <w:tblW w:w="8766" w:type="dxa"/>
        <w:jc w:val="left"/>
        <w:tblInd w:w="0" w:type="dxa"/>
        <w:tblLayout w:type="fixed"/>
        <w:tblCellMar>
          <w:top w:w="28" w:type="dxa"/>
          <w:left w:w="28" w:type="dxa"/>
          <w:bottom w:w="28" w:type="dxa"/>
          <w:right w:w="28" w:type="dxa"/>
        </w:tblCellMar>
      </w:tblPr>
      <w:tblGrid>
        <w:gridCol w:w="1162"/>
        <w:gridCol w:w="1022"/>
        <w:gridCol w:w="1025"/>
        <w:gridCol w:w="232"/>
        <w:gridCol w:w="765"/>
        <w:gridCol w:w="129"/>
        <w:gridCol w:w="129"/>
        <w:gridCol w:w="129"/>
        <w:gridCol w:w="129"/>
        <w:gridCol w:w="232"/>
        <w:gridCol w:w="765"/>
        <w:gridCol w:w="129"/>
        <w:gridCol w:w="109"/>
        <w:gridCol w:w="109"/>
        <w:gridCol w:w="109"/>
        <w:gridCol w:w="223"/>
        <w:gridCol w:w="737"/>
        <w:gridCol w:w="124"/>
        <w:gridCol w:w="124"/>
        <w:gridCol w:w="124"/>
        <w:gridCol w:w="124"/>
        <w:gridCol w:w="223"/>
        <w:gridCol w:w="737"/>
        <w:gridCol w:w="175"/>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$3.2 million, $32.5 million and $3.6 million of unrecognized compensation expense related to the Company’s unvested stock options, RSUs and PSUs, respectively, that is expected to be recognized over a weighted-average period of 1.0 year, 1.4 years and 1.4 years,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provision for income taxes of $5.1 million and $4.6 million in the three months ended September 30, 2024 and 2023, respectively. The effective tax rate was 28.6% and 31.8% for the three months ended September 30, 2024 and 2023,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provision for income taxes of $18.9 million and $17.9 million in the nine months ended September 30, 2024 and 2023, respectively. The effective tax rate was 33.8% and 37.9% for the nine months ended September 30, 2024 and 2023, respectively. The difference between the effective tax rate and the 21% federal statutory rate in the nine months ended September 30, 2024 was primarily due to Global Intangible Low-Taxed Income ("GILTI") inclusion, nondeductible compensation of officers, nondeductible costs and state taxes, partially offset by tax benefits from foreign jurisdictions. The difference between the effective tax rate and the 21% federal statutory rate in the nine months ended September 30, 2023 was primarily due to nondeductible compensation of officers and GILTI inclusion.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earnings per share for the three and nine months ended September 30, 2024 and 2023:</w:t>
      </w:r>
    </w:p>
    <w:tbl>
      <w:tblPr>
        <w:tblW w:w="9669" w:type="dxa"/>
        <w:jc w:val="left"/>
        <w:tblInd w:w="0" w:type="dxa"/>
        <w:tblLayout w:type="fixed"/>
        <w:tblCellMar>
          <w:top w:w="28" w:type="dxa"/>
          <w:left w:w="28" w:type="dxa"/>
          <w:bottom w:w="28" w:type="dxa"/>
          <w:right w:w="28" w:type="dxa"/>
        </w:tblCellMar>
      </w:tblPr>
      <w:tblGrid>
        <w:gridCol w:w="1476"/>
        <w:gridCol w:w="1297"/>
        <w:gridCol w:w="1307"/>
        <w:gridCol w:w="241"/>
        <w:gridCol w:w="797"/>
        <w:gridCol w:w="134"/>
        <w:gridCol w:w="134"/>
        <w:gridCol w:w="134"/>
        <w:gridCol w:w="134"/>
        <w:gridCol w:w="250"/>
        <w:gridCol w:w="711"/>
        <w:gridCol w:w="134"/>
        <w:gridCol w:w="109"/>
        <w:gridCol w:w="109"/>
        <w:gridCol w:w="109"/>
        <w:gridCol w:w="223"/>
        <w:gridCol w:w="738"/>
        <w:gridCol w:w="124"/>
        <w:gridCol w:w="124"/>
        <w:gridCol w:w="124"/>
        <w:gridCol w:w="124"/>
        <w:gridCol w:w="223"/>
        <w:gridCol w:w="738"/>
        <w:gridCol w:w="175"/>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88,978,159 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92,480,316 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88,701,787 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95,522,026 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3,601,760 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1,554,795 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3,318,124 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2,207,204 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92,579,919 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94,035,111 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92,019,911 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97,729,230 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common share:</w:t>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3,195,006 and 3,339,438 potential common stock equivalents from the computation of diluted EPS for the three and nine months ended September 30, 2024, respectively, and 6,487,091 and 5,809,048 potential common stock equivalents from the computation of diluted EPS for the three and nine months ended September 30, 2023, respectively, because the effect would have been anti-dilutive. There were 3,693,417 and 5,208,719 potential common stock equivalents outstanding as of September 30, 2024 and 2023,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2023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provider of outsourced digital services and next-generation customer experience to the world's most innovative companies, helping our clients represent, protect and grow their brands. </w:t>
      </w:r>
      <w:r>
        <w:rPr>
          <w:rFonts w:ascii="Times New Roman;sans-serif" w:hAnsi="Times New Roman;sans-serif"/>
          <w:b w:val="false"/>
          <w:color w:val="000000"/>
          <w:sz w:val="20"/>
          <w:shd w:fill="FFFFFF" w:val="clear"/>
        </w:rPr>
        <w:t>We serve our clients to support their end customers’ urgent needs, navigate an increasingly complex compliance landscape, handle sensitive tasks including online content moderation, and enable artificial intelligence technology and automation.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omni-channel delivery model is focused on providing our clients three key services – Digital Customer Experience ("Digital CX"), Trust and Safety, and Artificial Intelligence ("AI") Services. We have designed our platform to enable us to rapidly scale and benefit from our clients’ growth. We believe our ability to deliver “ridiculously good” outsourcing will enable us to continue to grow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2024 Developments</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to Revenue Growth</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we have seen some of the challenges and market uncertainty we faced in 2023 begin to subside. Through our continued focus on partnering with our clients and strategic investments we have made in sales and marketing, including our focus on landing enterprise clients and cross-selling our specialized services, we achieved revenue growth of 13.2% during the three months ended September 30, 2024 compared to the three months ended September 30, 2023. Given our performance in the nine months ended September 30, 2024, we expect our revenue growth to continue in the remainder of 2024. This acceleration of revenue growth requires additional investments in operations, facilities, hiring and training. Additionally, we have seen an increase in pricing pressure as our clients remain focused on cost reduction and competitors reduce their rates. While we believe we are a premium provider of specialized services, we have and expect to continue to price our services competitively in order to achieve above market growth rates and take share from our competitors. These factors may impact our margins and cash flow.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Financial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2024, we recorded service revenue of $255.3 million, a 13.2% increase from $225.6 million for the three months ended September 30, 2023. For the nine months ended September 30, 2024, we recorded service revenue of $720.7 million, a 4.4% increase from $690.1 million for the nine months ended September 30, 2023.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three months ended September 30, 2024 increased to $12.7 million from $9.8 million for the three months ended September 30, 2023. This increase is due primarily to revenue growth, the impact of foreign currency exchange rate changes, including forward contracts not designated as hedging instruments, and interest income. These increases were partially offset by higher cost of services and certain litigation costs. Adjusted Net Income for the three months ended September 30, 2024 increased 14.4% to $34.3 million from $30.0 million for the three months ended September 30, 2023. Adjusted EBITDA for the three months ended September 30, 2024 increased 3.4% to $54.2 million from $52.5 million for the three months ended September 30, 2023. Adjusted Net Income and Adjusted EBITDA are non-GAAP financial measures. For definitions and reconciliations to net income, the most directly comparable measure in accordance with GAAP, see "Non-GAAP Financial Measures."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nine months ended September 30, 2024 increased to $37.0 million from $29.4 million for the nine months ended September 30, 2023. This increase is due primarily to revenue growth, lower stock-based compensation expense, earn-out consideration and severance, as well as higher interest income. These increases were partially offset by higher cost of services, certain litigation costs and bonus expense, associated with higher company performance. Adjusted Net Income for the nine months ended September 30, 2024 decreased 4.4% to $90.2 million from $94.3 million for the nine months ended September 30, 2023. Adjusted EBITDA for the nine months ended September 30, 2024 decreased 3.5% to $156.1 million from $161.8 million for the nine months ended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three months ended September 30, 2024 and 2023:</w:t>
      </w:r>
    </w:p>
    <w:tbl>
      <w:tblPr>
        <w:tblW w:w="8582" w:type="dxa"/>
        <w:jc w:val="left"/>
        <w:tblInd w:w="0" w:type="dxa"/>
        <w:tblLayout w:type="fixed"/>
        <w:tblCellMar>
          <w:top w:w="28" w:type="dxa"/>
          <w:left w:w="28" w:type="dxa"/>
          <w:bottom w:w="28" w:type="dxa"/>
          <w:right w:w="28" w:type="dxa"/>
        </w:tblCellMar>
      </w:tblPr>
      <w:tblGrid>
        <w:gridCol w:w="1161"/>
        <w:gridCol w:w="1021"/>
        <w:gridCol w:w="1028"/>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69"/>
        <w:gridCol w:w="271"/>
        <w:gridCol w:w="356"/>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457" w:type="dxa"/>
        <w:jc w:val="left"/>
        <w:tblInd w:w="0" w:type="dxa"/>
        <w:tblLayout w:type="fixed"/>
        <w:tblCellMar>
          <w:top w:w="28" w:type="dxa"/>
          <w:left w:w="28" w:type="dxa"/>
          <w:bottom w:w="28" w:type="dxa"/>
          <w:right w:w="28" w:type="dxa"/>
        </w:tblCellMar>
      </w:tblPr>
      <w:tblGrid>
        <w:gridCol w:w="781"/>
        <w:gridCol w:w="687"/>
        <w:gridCol w:w="691"/>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33"/>
        <w:gridCol w:w="233"/>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Digital Customer Experience</w:t>
      </w:r>
      <w:r>
        <w:rPr>
          <w:color w:val="000000"/>
        </w:rPr>
        <w:t xml:space="preserve"> </w:t>
      </w:r>
      <w:r>
        <w:rPr>
          <w:rFonts w:ascii="Times New Roman;sans-serif" w:hAnsi="Times New Roman;sans-serif"/>
          <w:b w:val="false"/>
          <w:color w:val="000000"/>
          <w:sz w:val="20"/>
        </w:rPr>
        <w:t xml:space="preserve">was primarily driven by an increase from new clients in FinTech, HealthTech and Professional Services + Industry, as well as existing clients in FinTech. These increases were partially offset by decreases from existing clients in HealthTech and On Demand Travel + Transportation.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Trust and Safety</w:t>
      </w:r>
      <w:r>
        <w:rPr>
          <w:color w:val="000000"/>
        </w:rPr>
        <w:t xml:space="preserve"> </w:t>
      </w:r>
      <w:r>
        <w:rPr>
          <w:rFonts w:ascii="Times New Roman;sans-serif" w:hAnsi="Times New Roman;sans-serif"/>
          <w:b w:val="false"/>
          <w:color w:val="000000"/>
          <w:sz w:val="20"/>
        </w:rPr>
        <w:t>was primarily driven by an increase from existing clients in Social Media and FinTech. These increases were partially offset by decreases from existing clients in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AI Services</w:t>
      </w:r>
      <w:r>
        <w:rPr>
          <w:color w:val="000000"/>
        </w:rPr>
        <w:t xml:space="preserve"> </w:t>
      </w:r>
      <w:r>
        <w:rPr>
          <w:rFonts w:ascii="Times New Roman;sans-serif" w:hAnsi="Times New Roman;sans-serif"/>
          <w:b w:val="false"/>
          <w:color w:val="000000"/>
          <w:sz w:val="20"/>
        </w:rPr>
        <w:t>was primarily driven by an increase from existing clients in Social Media, as well as new clients in Professional Services + Industry.</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7128" w:type="dxa"/>
        <w:jc w:val="left"/>
        <w:tblInd w:w="0" w:type="dxa"/>
        <w:tblLayout w:type="fixed"/>
        <w:tblCellMar>
          <w:top w:w="28" w:type="dxa"/>
          <w:left w:w="28" w:type="dxa"/>
          <w:bottom w:w="28" w:type="dxa"/>
          <w:right w:w="28" w:type="dxa"/>
        </w:tblCellMar>
      </w:tblPr>
      <w:tblGrid>
        <w:gridCol w:w="662"/>
        <w:gridCol w:w="582"/>
        <w:gridCol w:w="586"/>
        <w:gridCol w:w="214"/>
        <w:gridCol w:w="806"/>
        <w:gridCol w:w="119"/>
        <w:gridCol w:w="119"/>
        <w:gridCol w:w="119"/>
        <w:gridCol w:w="119"/>
        <w:gridCol w:w="214"/>
        <w:gridCol w:w="806"/>
        <w:gridCol w:w="119"/>
        <w:gridCol w:w="109"/>
        <w:gridCol w:w="109"/>
        <w:gridCol w:w="109"/>
        <w:gridCol w:w="232"/>
        <w:gridCol w:w="766"/>
        <w:gridCol w:w="129"/>
        <w:gridCol w:w="129"/>
        <w:gridCol w:w="129"/>
        <w:gridCol w:w="129"/>
        <w:gridCol w:w="233"/>
        <w:gridCol w:w="233"/>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255,345 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Philippines:</w:t>
      </w:r>
      <w:r>
        <w:rPr>
          <w:color w:val="000000"/>
        </w:rPr>
        <w:t xml:space="preserve"> </w:t>
      </w:r>
      <w:r>
        <w:rPr>
          <w:rFonts w:ascii="Times New Roman;sans-serif" w:hAnsi="Times New Roman;sans-serif"/>
          <w:b w:val="false"/>
          <w:color w:val="000000"/>
          <w:sz w:val="20"/>
        </w:rPr>
        <w:t xml:space="preserve">Trust and Safety contributed 6.9% of the total increase primarily driven by clients in Social Media and FinTech. Digital Customer Experience contributed 5.8% of the total increase primarily driven by clients in FinTech and Entertainment + Gaming. AI Services contributed 0.7% of the total increase primarily driven by clients in On Demand Travel + Transportation.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Digital Customer Experience contributed 15.5% of the total decrease primarily driven by clients in Entertainment + Gaming, Technology and On Demand Travel + Transportation. The decrease was partially offset by a 7.6% increase contributed by AI Services and a 4.3% increase contributed by Trust and Safety, primarily driven by clients in Social Media.</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India:</w:t>
      </w:r>
      <w:r>
        <w:rPr>
          <w:color w:val="000000"/>
        </w:rPr>
        <w:t xml:space="preserve"> </w:t>
      </w:r>
      <w:r>
        <w:rPr>
          <w:rFonts w:ascii="Times New Roman;sans-serif" w:hAnsi="Times New Roman;sans-serif"/>
          <w:b w:val="false"/>
          <w:color w:val="000000"/>
          <w:sz w:val="20"/>
        </w:rPr>
        <w:t>AI Services contributed 6.1% of the total increase primarily driven by clients in Social Media and Professional Services + Industry. Trust and Safety contributed 2.9% of the total increase primarily driven by clients in Social Media. The increase was partially offset by a 3.2% decrease contributed by Digital Customer Experience, primarily driven by clients in On Demand Travel + Transportation and FinTech, partially offset by clients in Retail + E Commerce.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Rest of World:</w:t>
      </w:r>
      <w:r>
        <w:rPr>
          <w:color w:val="000000"/>
        </w:rPr>
        <w:t xml:space="preserve"> </w:t>
      </w:r>
      <w:r>
        <w:rPr>
          <w:rFonts w:ascii="Times New Roman;sans-serif" w:hAnsi="Times New Roman;sans-serif"/>
          <w:b w:val="false"/>
          <w:color w:val="000000"/>
          <w:sz w:val="20"/>
        </w:rPr>
        <w:t>Digital Customer Experience contributed 21.2% of the total increase primarily driven by clients in FinTech, Professional Services + Industry and On Demand Travel + Transportation. Trust and Safety contributed 10.8% of the total increase, primarily driven by clients in Social Media and FinTech. AI Services contributed 0.9% of the total increase. Growth in the Rest of World was led by Latin America and Europe.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higher personnel costs of $17.4 million associated with increased headcount. The remaining increase included facilities and recruiting costs associated with site expansion and increasing headcount associated with accelerating growth.</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certain litigation costs of $4.4 million, which we expect to continue in future periods. The remaining increase includes higher personnel costs of $0.5 million, due primarily to an increase in headcount and bonus expense, associated with higher company performance, mostly offset by a reduction in stock-based compensation expense of $3.1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disposal of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 for the three months ended September 30, 2023 was associated with optimizing our footprint in the United States.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as well as higher interest income.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financing expense are primarily driven by payments on long-term debt and the rate of SOFR used to calculate the interest rate of our debt.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three months ended September 30, 2024 and 2023 was 28.6% and 31.8%, respectively. Costs related to the issuance of stock-based compensation and litigation costs within the provision for income taxes calculation are adjusted for Non-GAAP purposes. If those costs are removed, the provision for income taxes would have been $6.1 million and $7.5 million and the effective tax rate would have been 18.6% and 26.5% for the three months ended September 30, 2024 and 2023,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nine months ended September 30, 2024 and 2023:</w:t>
      </w:r>
    </w:p>
    <w:tbl>
      <w:tblPr>
        <w:tblW w:w="8420" w:type="dxa"/>
        <w:jc w:val="left"/>
        <w:tblInd w:w="0" w:type="dxa"/>
        <w:tblLayout w:type="fixed"/>
        <w:tblCellMar>
          <w:top w:w="28" w:type="dxa"/>
          <w:left w:w="28" w:type="dxa"/>
          <w:bottom w:w="28" w:type="dxa"/>
          <w:right w:w="28" w:type="dxa"/>
        </w:tblCellMar>
      </w:tblPr>
      <w:tblGrid>
        <w:gridCol w:w="1161"/>
        <w:gridCol w:w="1021"/>
        <w:gridCol w:w="1028"/>
        <w:gridCol w:w="207"/>
        <w:gridCol w:w="779"/>
        <w:gridCol w:w="115"/>
        <w:gridCol w:w="115"/>
        <w:gridCol w:w="115"/>
        <w:gridCol w:w="115"/>
        <w:gridCol w:w="207"/>
        <w:gridCol w:w="779"/>
        <w:gridCol w:w="115"/>
        <w:gridCol w:w="109"/>
        <w:gridCol w:w="109"/>
        <w:gridCol w:w="109"/>
        <w:gridCol w:w="232"/>
        <w:gridCol w:w="766"/>
        <w:gridCol w:w="129"/>
        <w:gridCol w:w="129"/>
        <w:gridCol w:w="129"/>
        <w:gridCol w:w="129"/>
        <w:gridCol w:w="232"/>
        <w:gridCol w:w="234"/>
        <w:gridCol w:w="356"/>
      </w:tblGrid>
      <w:tr>
        <w:trPr/>
        <w:tc>
          <w:tcPr>
            <w:tcW w:w="116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650,269 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369" w:type="dxa"/>
        <w:jc w:val="left"/>
        <w:tblInd w:w="0" w:type="dxa"/>
        <w:tblLayout w:type="fixed"/>
        <w:tblCellMar>
          <w:top w:w="28" w:type="dxa"/>
          <w:left w:w="28" w:type="dxa"/>
          <w:bottom w:w="28" w:type="dxa"/>
          <w:right w:w="28" w:type="dxa"/>
        </w:tblCellMar>
      </w:tblPr>
      <w:tblGrid>
        <w:gridCol w:w="781"/>
        <w:gridCol w:w="687"/>
        <w:gridCol w:w="691"/>
        <w:gridCol w:w="207"/>
        <w:gridCol w:w="779"/>
        <w:gridCol w:w="115"/>
        <w:gridCol w:w="115"/>
        <w:gridCol w:w="115"/>
        <w:gridCol w:w="115"/>
        <w:gridCol w:w="207"/>
        <w:gridCol w:w="779"/>
        <w:gridCol w:w="115"/>
        <w:gridCol w:w="109"/>
        <w:gridCol w:w="109"/>
        <w:gridCol w:w="109"/>
        <w:gridCol w:w="232"/>
        <w:gridCol w:w="766"/>
        <w:gridCol w:w="129"/>
        <w:gridCol w:w="129"/>
        <w:gridCol w:w="129"/>
        <w:gridCol w:w="129"/>
        <w:gridCol w:w="232"/>
        <w:gridCol w:w="234"/>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Digital Customer Experience</w:t>
      </w:r>
      <w:r>
        <w:rPr>
          <w:color w:val="000000"/>
        </w:rPr>
        <w:t xml:space="preserve"> </w:t>
      </w:r>
      <w:r>
        <w:rPr>
          <w:rFonts w:ascii="Times New Roman;sans-serif" w:hAnsi="Times New Roman;sans-serif"/>
          <w:b w:val="false"/>
          <w:color w:val="000000"/>
          <w:sz w:val="20"/>
        </w:rPr>
        <w:t>was primarily driven by a decrease from existing clients in On Demand Travel + Transportation, Entertainment + Gaming, HealthTech and Social Media. These decreases were partially offset by an increase from existing clients in FinTech, as well as new clients in FinTech, Professional Services + Industry, HealthTech and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Trust and Safety</w:t>
      </w:r>
      <w:r>
        <w:rPr>
          <w:color w:val="000000"/>
        </w:rPr>
        <w:t xml:space="preserve"> </w:t>
      </w:r>
      <w:r>
        <w:rPr>
          <w:rFonts w:ascii="Times New Roman;sans-serif" w:hAnsi="Times New Roman;sans-serif"/>
          <w:b w:val="false"/>
          <w:color w:val="000000"/>
          <w:sz w:val="20"/>
        </w:rPr>
        <w:t>was primarily driven by an increase from existing clients in Social Media, FinTech and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AI Services</w:t>
      </w:r>
      <w:r>
        <w:rPr>
          <w:color w:val="000000"/>
        </w:rPr>
        <w:t xml:space="preserve"> </w:t>
      </w:r>
      <w:r>
        <w:rPr>
          <w:rFonts w:ascii="Times New Roman;sans-serif" w:hAnsi="Times New Roman;sans-serif"/>
          <w:b w:val="false"/>
          <w:color w:val="000000"/>
          <w:sz w:val="20"/>
        </w:rPr>
        <w:t>was primarily driven by a decrease from existing clients in Social Media and On Demand Travel + Transportation, partially offset by an increase from new clients in Professional Services + Industry and Technology, as well as existing clients in Technology.</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7114" w:type="dxa"/>
        <w:jc w:val="left"/>
        <w:tblInd w:w="0" w:type="dxa"/>
        <w:tblLayout w:type="fixed"/>
        <w:tblCellMar>
          <w:top w:w="28" w:type="dxa"/>
          <w:left w:w="28" w:type="dxa"/>
          <w:bottom w:w="28" w:type="dxa"/>
          <w:right w:w="28" w:type="dxa"/>
        </w:tblCellMar>
      </w:tblPr>
      <w:tblGrid>
        <w:gridCol w:w="662"/>
        <w:gridCol w:w="582"/>
        <w:gridCol w:w="586"/>
        <w:gridCol w:w="207"/>
        <w:gridCol w:w="779"/>
        <w:gridCol w:w="115"/>
        <w:gridCol w:w="115"/>
        <w:gridCol w:w="115"/>
        <w:gridCol w:w="115"/>
        <w:gridCol w:w="207"/>
        <w:gridCol w:w="779"/>
        <w:gridCol w:w="115"/>
        <w:gridCol w:w="109"/>
        <w:gridCol w:w="109"/>
        <w:gridCol w:w="109"/>
        <w:gridCol w:w="232"/>
        <w:gridCol w:w="766"/>
        <w:gridCol w:w="129"/>
        <w:gridCol w:w="129"/>
        <w:gridCol w:w="129"/>
        <w:gridCol w:w="129"/>
        <w:gridCol w:w="269"/>
        <w:gridCol w:w="271"/>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412,821 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720,743 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690,101 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Philippines:</w:t>
      </w:r>
      <w:r>
        <w:rPr>
          <w:color w:val="000000"/>
        </w:rPr>
        <w:t xml:space="preserve"> </w:t>
      </w:r>
      <w:r>
        <w:rPr>
          <w:rFonts w:ascii="Times New Roman;sans-serif" w:hAnsi="Times New Roman;sans-serif"/>
          <w:b w:val="false"/>
          <w:color w:val="000000"/>
          <w:sz w:val="20"/>
        </w:rPr>
        <w:t>Trust and Safety contributed 6.8% of the total increase primarily driven by clients in Social Media and FinTech. Digital Customer Experience contributed 3.1% of the total increase primarily driven by clients in FinTech. The increase was partially offset by a 1.4% decrease contributed by AI Services, primarily driven by clients in Social Media, partially offset by clients in Technology.</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Digital Customer Experience contributed 27.9% of the total decrease primarily driven by clients in On Demand Travel + Transportation, Entertainment + Gaming, Social Media, HealthTech and Technology. AI Services contributed 2.7% of the total decrease primarily driven by clients in On Demand Travel + Transportation, partially offset by clients in Social Media. The decrease was partially offset by a 1.2% increase contributed by Trust and Safety, primarily driven by clients in On Demand Travel + Transportation.</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India:</w:t>
      </w:r>
      <w:r>
        <w:rPr>
          <w:color w:val="000000"/>
        </w:rPr>
        <w:t xml:space="preserve"> </w:t>
      </w:r>
      <w:r>
        <w:rPr>
          <w:rFonts w:ascii="Times New Roman;sans-serif" w:hAnsi="Times New Roman;sans-serif"/>
          <w:b w:val="false"/>
          <w:color w:val="000000"/>
          <w:sz w:val="20"/>
        </w:rPr>
        <w:t>Trust and Safety contributed 10.1% of the total increase primarily driven by clients in Social Media and On Demand Travel + Transportation. AI Services contributed 2.2% of the total increase primarily driven by clients in Professional Services + Industry. The increase was partially offset by a 9.0% decrease contributed by Digital Customer Experience, primarily driven by clients in On Demand Travel + Transportation, partially offset by clients in Retail + E-Commerce.</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Rest of World:</w:t>
      </w:r>
      <w:r>
        <w:rPr>
          <w:color w:val="000000"/>
        </w:rPr>
        <w:t xml:space="preserve"> </w:t>
      </w:r>
      <w:r>
        <w:rPr>
          <w:rFonts w:ascii="Times New Roman;sans-serif" w:hAnsi="Times New Roman;sans-serif"/>
          <w:b w:val="false"/>
          <w:color w:val="000000"/>
          <w:sz w:val="20"/>
        </w:rPr>
        <w:t>Digital Customer Experience contributed 20.2% of the total increase primarily driven by clients in FinTech, On Demand Travel + Transportation and Professional Services + Industry. Trust and Safety contributed 7.2% of the total increase primarily driven by clients in FinTech and Social Media. AI Services contributed 0.5% of the total increase. Growth in the Rest of World was led by Latin America and Asia.</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primarily driven by higher personnel costs of $21.4 million associated with increased headcount. The remaining increase included facilities and recruiting costs associated with site expansion and increasing headcount to prepare for accelerating growth.</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was primarily driven by lower personnel costs of $11.9 million, due primarily to a reduction in stock-based compensation expense of $9.5 million, earn-out compensation of $7.9 million and severance costs of $1.1 million, partially offset by an increase in headcount and bonus expense, associated with higher company performance. The remaining decrease included lower insurance expense based on renegotiated rates. These decreases were partially offset by certain litigation costs of $7.0 million, which we expect to continue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is a result of capital expenditures for leasehold improvements, furniture and fixtures and other office equipment associated with site expansions. These increases were mostly offset by a reduction in the pace of technology and computers purchases associated with certain employees returning to the office driving higher utilization of equipment.</w:t>
      </w:r>
    </w:p>
    <w:p>
      <w:pPr>
        <w:pStyle w:val="TextBody"/>
        <w:bidi w:val="0"/>
        <w:spacing w:lineRule="auto" w:line="288" w:before="120" w:after="283"/>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disposal of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 for the nine months ended September 30, 2023 was associated with optimizing our footprint in the United States.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are primarily driven by our exposure to foreign currency exchange risk resulting from our operations in foreign geographies, primarily the Philippines, offset by economic hedges using foreign currency exchange rate forward contracts. The remaining increase is associated with higher interest income.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financing expense are primarily driven by payments on long-term debt and the rate of SOFR used to calculate the interest rate of our debt.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nine months ended September 30, 2024 and 2023 was 33.8% and 37.9%, respectively. Costs related to the issuance of stock-based compensation, the acquisition of heloo, litigation costs and severance within the provision for income taxes calculation are adjusted for Non-GAAP purposes. If those costs are removed, the provision for income taxes would have been $22.8 million and $22.9 million and the effective tax rate would have been 23.7% and 23.0%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Revenue by Top Clients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percentage of our total service revenue derived from our largest clients for the three and nine months ended September 30, 2024 and 2023:</w:t>
      </w:r>
    </w:p>
    <w:tbl>
      <w:tblPr>
        <w:tblW w:w="6978" w:type="dxa"/>
        <w:jc w:val="left"/>
        <w:tblInd w:w="0" w:type="dxa"/>
        <w:tblLayout w:type="fixed"/>
        <w:tblCellMar>
          <w:top w:w="28" w:type="dxa"/>
          <w:left w:w="28" w:type="dxa"/>
          <w:bottom w:w="28" w:type="dxa"/>
          <w:right w:w="28" w:type="dxa"/>
        </w:tblCellMar>
      </w:tblPr>
      <w:tblGrid>
        <w:gridCol w:w="517"/>
        <w:gridCol w:w="451"/>
        <w:gridCol w:w="456"/>
        <w:gridCol w:w="225"/>
        <w:gridCol w:w="225"/>
        <w:gridCol w:w="530"/>
        <w:gridCol w:w="225"/>
        <w:gridCol w:w="225"/>
        <w:gridCol w:w="225"/>
        <w:gridCol w:w="225"/>
        <w:gridCol w:w="225"/>
        <w:gridCol w:w="530"/>
        <w:gridCol w:w="109"/>
        <w:gridCol w:w="109"/>
        <w:gridCol w:w="109"/>
        <w:gridCol w:w="214"/>
        <w:gridCol w:w="214"/>
        <w:gridCol w:w="503"/>
        <w:gridCol w:w="214"/>
        <w:gridCol w:w="214"/>
        <w:gridCol w:w="214"/>
        <w:gridCol w:w="214"/>
        <w:gridCol w:w="214"/>
        <w:gridCol w:w="591"/>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ten clients</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twenty clients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2024 and 2023, we generated 23% and 19%, respectively, of our service revenue from our largest client. For the nine months ended September 30, 2024 and 2023, we generated 21% and 19%, respectively, of our service revenue from our largest client.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identify and target high growth industry verticals and clients. Our strategy is to acquire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("EPS"), EBITDA, Adjusted EBITDA, Free Cash Flow and Conversion of Adjusted EBITDA, as key measures to assess the performance of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Adjusted Net Income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ans-serif" w:hAnsi="Times New Roman;sans-serif"/>
          <w:b w:val="false"/>
          <w:color w:val="000000"/>
          <w:sz w:val="20"/>
          <w:shd w:fill="FFFFFF" w:val="clear"/>
        </w:rPr>
        <w:t>, transaction costs,</w:t>
      </w:r>
      <w:r>
        <w:rPr>
          <w:color w:val="000000"/>
        </w:rPr>
        <w:t xml:space="preserve"> </w:t>
      </w:r>
      <w:r>
        <w:rPr>
          <w:rFonts w:ascii="Times New Roman;sans-serif" w:hAnsi="Times New Roman;sans-serif"/>
          <w:b w:val="false"/>
          <w:color w:val="000000"/>
          <w:sz w:val="20"/>
        </w:rPr>
        <w:t>earn-out consideration, the effect of foreign currency gains and losses, gains and losses on disposals of assets, non-recurring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three months ended September 30, 2024 and 2023:</w:t>
      </w:r>
    </w:p>
    <w:tbl>
      <w:tblPr>
        <w:tblW w:w="8227" w:type="dxa"/>
        <w:jc w:val="left"/>
        <w:tblInd w:w="0" w:type="dxa"/>
        <w:tblLayout w:type="fixed"/>
        <w:tblCellMar>
          <w:top w:w="28" w:type="dxa"/>
          <w:left w:w="28" w:type="dxa"/>
          <w:bottom w:w="28" w:type="dxa"/>
          <w:right w:w="28" w:type="dxa"/>
        </w:tblCellMar>
      </w:tblPr>
      <w:tblGrid>
        <w:gridCol w:w="1004"/>
        <w:gridCol w:w="882"/>
        <w:gridCol w:w="889"/>
        <w:gridCol w:w="205"/>
        <w:gridCol w:w="676"/>
        <w:gridCol w:w="267"/>
        <w:gridCol w:w="114"/>
        <w:gridCol w:w="114"/>
        <w:gridCol w:w="114"/>
        <w:gridCol w:w="205"/>
        <w:gridCol w:w="676"/>
        <w:gridCol w:w="267"/>
        <w:gridCol w:w="109"/>
        <w:gridCol w:w="109"/>
        <w:gridCol w:w="109"/>
        <w:gridCol w:w="244"/>
        <w:gridCol w:w="694"/>
        <w:gridCol w:w="136"/>
        <w:gridCol w:w="136"/>
        <w:gridCol w:w="136"/>
        <w:gridCol w:w="136"/>
        <w:gridCol w:w="314"/>
        <w:gridCol w:w="316"/>
        <w:gridCol w:w="375"/>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(3)</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34,277 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Realized and unrealized foreign currency losses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tax impacts of adjustments to net income which resulted in a tax benefit during the period, including stock-based compensation expense and litigation costs. After these adjustments, we applied a non-GAAP effective tax rate of 18.6% and 26.5% for the three months ended September 30, 2024 and 2023, respectively, to non-GAAP income before income taxes.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Net Income Margin represents net income divided by service revenue and Adjusted Net Income Margin represents Adjusted Net Income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nine months ended September 30, 2024 and 2023:</w:t>
      </w:r>
    </w:p>
    <w:tbl>
      <w:tblPr>
        <w:tblW w:w="8147" w:type="dxa"/>
        <w:jc w:val="left"/>
        <w:tblInd w:w="0" w:type="dxa"/>
        <w:tblLayout w:type="fixed"/>
        <w:tblCellMar>
          <w:top w:w="28" w:type="dxa"/>
          <w:left w:w="28" w:type="dxa"/>
          <w:bottom w:w="28" w:type="dxa"/>
          <w:right w:w="28" w:type="dxa"/>
        </w:tblCellMar>
      </w:tblPr>
      <w:tblGrid>
        <w:gridCol w:w="1004"/>
        <w:gridCol w:w="882"/>
        <w:gridCol w:w="889"/>
        <w:gridCol w:w="198"/>
        <w:gridCol w:w="653"/>
        <w:gridCol w:w="258"/>
        <w:gridCol w:w="110"/>
        <w:gridCol w:w="110"/>
        <w:gridCol w:w="110"/>
        <w:gridCol w:w="198"/>
        <w:gridCol w:w="653"/>
        <w:gridCol w:w="258"/>
        <w:gridCol w:w="109"/>
        <w:gridCol w:w="109"/>
        <w:gridCol w:w="109"/>
        <w:gridCol w:w="234"/>
        <w:gridCol w:w="754"/>
        <w:gridCol w:w="130"/>
        <w:gridCol w:w="130"/>
        <w:gridCol w:w="130"/>
        <w:gridCol w:w="130"/>
        <w:gridCol w:w="314"/>
        <w:gridCol w:w="316"/>
        <w:gridCol w:w="359"/>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(5)</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(6)</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(7)</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90,184 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(8)</w:t>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(8)</w:t>
            </w:r>
          </w:p>
        </w:tc>
        <w:tc>
          <w:tcPr>
            <w:tcW w:w="8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professional service fees related to non-recurring transactions.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Realized and unrealized foreign currency losses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Represents tax impacts of adjustments to net income which resulted in a tax benefit during the period, including stock-based compensation expense, earn-out consideration, litigation costs and severance. After these adjustments, we applied a non-GAAP effective tax rate of 23.7% and 23.0% for the nine months ended September 30, 2024 and 2023, respectively, to non-GAAP income before income taxes.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(8) Net Income Margin represents net income divided by service revenue and Adjusted Net Income Margin represents Adjusted Net Income divided by service revenue.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EPS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diluted EPS, the most directly comparable GAAP measure, to Adjusted EPS for the three and nine months ended September 30, 2024 and 2023:</w:t>
      </w:r>
    </w:p>
    <w:tbl>
      <w:tblPr>
        <w:tblW w:w="9816" w:type="dxa"/>
        <w:jc w:val="left"/>
        <w:tblInd w:w="0" w:type="dxa"/>
        <w:tblLayout w:type="fixed"/>
        <w:tblCellMar>
          <w:top w:w="28" w:type="dxa"/>
          <w:left w:w="28" w:type="dxa"/>
          <w:bottom w:w="28" w:type="dxa"/>
          <w:right w:w="28" w:type="dxa"/>
        </w:tblCellMar>
      </w:tblPr>
      <w:tblGrid>
        <w:gridCol w:w="1474"/>
        <w:gridCol w:w="1299"/>
        <w:gridCol w:w="1306"/>
        <w:gridCol w:w="284"/>
        <w:gridCol w:w="677"/>
        <w:gridCol w:w="154"/>
        <w:gridCol w:w="154"/>
        <w:gridCol w:w="154"/>
        <w:gridCol w:w="154"/>
        <w:gridCol w:w="284"/>
        <w:gridCol w:w="677"/>
        <w:gridCol w:w="154"/>
        <w:gridCol w:w="109"/>
        <w:gridCol w:w="109"/>
        <w:gridCol w:w="109"/>
        <w:gridCol w:w="284"/>
        <w:gridCol w:w="677"/>
        <w:gridCol w:w="147"/>
        <w:gridCol w:w="147"/>
        <w:gridCol w:w="147"/>
        <w:gridCol w:w="147"/>
        <w:gridCol w:w="284"/>
        <w:gridCol w:w="677"/>
        <w:gridCol w:w="208"/>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Per share adjustments to net income</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92,579,919 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94,035,111 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92,019,911 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97,729,230 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non-recurring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three months ended September 30, 2024 and 2023:</w:t>
      </w:r>
    </w:p>
    <w:tbl>
      <w:tblPr>
        <w:tblW w:w="8227" w:type="dxa"/>
        <w:jc w:val="left"/>
        <w:tblInd w:w="0" w:type="dxa"/>
        <w:tblLayout w:type="fixed"/>
        <w:tblCellMar>
          <w:top w:w="28" w:type="dxa"/>
          <w:left w:w="28" w:type="dxa"/>
          <w:bottom w:w="28" w:type="dxa"/>
          <w:right w:w="28" w:type="dxa"/>
        </w:tblCellMar>
      </w:tblPr>
      <w:tblGrid>
        <w:gridCol w:w="1003"/>
        <w:gridCol w:w="883"/>
        <w:gridCol w:w="889"/>
        <w:gridCol w:w="205"/>
        <w:gridCol w:w="676"/>
        <w:gridCol w:w="267"/>
        <w:gridCol w:w="114"/>
        <w:gridCol w:w="114"/>
        <w:gridCol w:w="114"/>
        <w:gridCol w:w="205"/>
        <w:gridCol w:w="676"/>
        <w:gridCol w:w="267"/>
        <w:gridCol w:w="109"/>
        <w:gridCol w:w="109"/>
        <w:gridCol w:w="109"/>
        <w:gridCol w:w="244"/>
        <w:gridCol w:w="694"/>
        <w:gridCol w:w="136"/>
        <w:gridCol w:w="136"/>
        <w:gridCol w:w="136"/>
        <w:gridCol w:w="136"/>
        <w:gridCol w:w="314"/>
        <w:gridCol w:w="316"/>
        <w:gridCol w:w="375"/>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38,042 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(1)</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(2)</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(3)</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(4)</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w:t>
            </w:r>
            <w:r>
              <w:rPr>
                <w:rFonts w:ascii="Times New Roman;sans-serif" w:hAnsi="Times New Roman;sans-serif"/>
                <w:b w:val="false"/>
                <w:color w:val="000000"/>
                <w:sz w:val="12"/>
              </w:rPr>
              <w:t>(6)</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54,215 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(7)</w:t>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Realized and unrealized foreign currency losses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stock-based compensation expense, as well as associated payroll tax.</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(7) Net Income Margin represents net income divided by service revenue and Adjusted EBITDA Margin represents Adjusted EBITDA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nine months ended September 30, 2024 and 2023:</w:t>
      </w:r>
    </w:p>
    <w:tbl>
      <w:tblPr>
        <w:tblW w:w="8302" w:type="dxa"/>
        <w:jc w:val="left"/>
        <w:tblInd w:w="0" w:type="dxa"/>
        <w:tblLayout w:type="fixed"/>
        <w:tblCellMar>
          <w:top w:w="28" w:type="dxa"/>
          <w:left w:w="28" w:type="dxa"/>
          <w:bottom w:w="28" w:type="dxa"/>
          <w:right w:w="28" w:type="dxa"/>
        </w:tblCellMar>
      </w:tblPr>
      <w:tblGrid>
        <w:gridCol w:w="1003"/>
        <w:gridCol w:w="883"/>
        <w:gridCol w:w="889"/>
        <w:gridCol w:w="196"/>
        <w:gridCol w:w="736"/>
        <w:gridCol w:w="256"/>
        <w:gridCol w:w="109"/>
        <w:gridCol w:w="109"/>
        <w:gridCol w:w="109"/>
        <w:gridCol w:w="196"/>
        <w:gridCol w:w="736"/>
        <w:gridCol w:w="256"/>
        <w:gridCol w:w="109"/>
        <w:gridCol w:w="109"/>
        <w:gridCol w:w="109"/>
        <w:gridCol w:w="234"/>
        <w:gridCol w:w="754"/>
        <w:gridCol w:w="130"/>
        <w:gridCol w:w="130"/>
        <w:gridCol w:w="130"/>
        <w:gridCol w:w="130"/>
        <w:gridCol w:w="314"/>
        <w:gridCol w:w="316"/>
        <w:gridCol w:w="359"/>
      </w:tblGrid>
      <w:tr>
        <w:trPr/>
        <w:tc>
          <w:tcPr>
            <w:tcW w:w="10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Foreign currency losses</w:t>
            </w:r>
            <w:r>
              <w:rPr>
                <w:rFonts w:ascii="Times New Roman;sans-serif" w:hAnsi="Times New Roman;sans-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Litigation costs</w:t>
            </w:r>
            <w:r>
              <w:rPr>
                <w:rFonts w:ascii="Times New Roman;sans-serif" w:hAnsi="Times New Roman;sans-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w:t>
            </w:r>
            <w:r>
              <w:rPr>
                <w:rFonts w:ascii="Times New Roman;sans-serif" w:hAnsi="Times New Roman;sans-serif"/>
                <w:b w:val="false"/>
                <w:color w:val="000000"/>
                <w:sz w:val="12"/>
              </w:rPr>
              <w:t>(7)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professional service fees related to non-recurring transactions.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Represents earn-out consideration recognized as compensation expense related to the acquisition of heloo.</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Realized and unrealized foreign currency losses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(6) Represents stock-based compensation expense, as well as associated payroll tax.</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(7) Represents interest earned on short-term savings, time-deposits and money market funds.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(8)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cash provided by operating activities, the most directly comparable GAAP measure, to Free Cash Flow for the nine months ended September 30, 2024 and 2023:</w:t>
      </w:r>
    </w:p>
    <w:tbl>
      <w:tblPr>
        <w:tblW w:w="6707" w:type="dxa"/>
        <w:jc w:val="center"/>
        <w:tblInd w:w="0" w:type="dxa"/>
        <w:tblLayout w:type="fixed"/>
        <w:tblCellMar>
          <w:top w:w="28" w:type="dxa"/>
          <w:left w:w="28" w:type="dxa"/>
          <w:bottom w:w="28" w:type="dxa"/>
          <w:right w:w="28" w:type="dxa"/>
        </w:tblCellMar>
      </w:tblPr>
      <w:tblGrid>
        <w:gridCol w:w="1468"/>
        <w:gridCol w:w="1285"/>
        <w:gridCol w:w="1296"/>
        <w:gridCol w:w="196"/>
        <w:gridCol w:w="646"/>
        <w:gridCol w:w="256"/>
        <w:gridCol w:w="109"/>
        <w:gridCol w:w="109"/>
        <w:gridCol w:w="109"/>
        <w:gridCol w:w="196"/>
        <w:gridCol w:w="73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Conversion of Adjusted EBITDA to Free Cash Flow</w:t>
            </w:r>
            <w:r>
              <w:rPr>
                <w:rFonts w:ascii="Times New Roman;sans-serif" w:hAnsi="Times New Roman;sans-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our principal sources of liquidity were cash and cash equivalents totaling $180.4 million, which were held for working capital purposes, as well as the borrowing availability under the 2022 Revolving Credit Facility of $190.0 million.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total indebtedness, net of debt financing fees was $259.4 million. The interest rate in effect for the 2022 Term Loan Facility as of September 30, 2024 was 6.954% per annum. We were in compliance with all debt covenants as of September 30, 2024. See Note 8,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we repurchased 1,343,154 shares of our Class A common stock under the share repurchase program for $15.4 million, which we funded principally with available cash. As of September 30, 2024, $41.8 million remained available for share repurchases under our share repurchase program. For additional information about our share repurchase program, see Part II, Item 2., "Unregistered Sales of Equity Securities and Use of Proceeds—Issuer Purchases of Equity Securities" in this Quarterly Report.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consolidated cash flows from operating, investing and financing activities for the periods indicated:</w:t>
      </w:r>
    </w:p>
    <w:tbl>
      <w:tblPr>
        <w:tblW w:w="5591" w:type="dxa"/>
        <w:jc w:val="center"/>
        <w:tblInd w:w="0" w:type="dxa"/>
        <w:tblLayout w:type="fixed"/>
        <w:tblCellMar>
          <w:top w:w="28" w:type="dxa"/>
          <w:left w:w="28" w:type="dxa"/>
          <w:bottom w:w="28" w:type="dxa"/>
          <w:right w:w="28" w:type="dxa"/>
        </w:tblCellMar>
      </w:tblPr>
      <w:tblGrid>
        <w:gridCol w:w="1086"/>
        <w:gridCol w:w="955"/>
        <w:gridCol w:w="958"/>
        <w:gridCol w:w="215"/>
        <w:gridCol w:w="709"/>
        <w:gridCol w:w="119"/>
        <w:gridCol w:w="119"/>
        <w:gridCol w:w="119"/>
        <w:gridCol w:w="119"/>
        <w:gridCol w:w="215"/>
        <w:gridCol w:w="808"/>
        <w:gridCol w:w="169"/>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nine months ended September 30, 2024 was $98.2 million compared to net cash provided by operating activities of $103.9 million for the nine months ended September 30, 2023. Net cash provided by operating activities for the nine months ended September 30, 2024 reflects net income of $37.0 million and the add back for non-cash charges totaling $75.8 million, partially offset by changes in operating assets and liabilities of $14.6 million. Non-cash charges primarily consisted of $32.0 million in stock-based compensation expense, $30.5 million of depreciation and $15.0 million of amortization related to intangibles. Net cash provided by operating activities for the nine months ended September 30, 2023 reflects net income of $29.4 million, as well as the add back for non-cash charges totaling $94.1 million, partially offset by changes in operating assets and liabilities of $19.6 million. Non-cash charges primarily consisted of $42.3 million in stock-based compensation expense, $29.5 million of depreciation and $15.3 million of amortization related to intangibles. </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September 30, 2024 was $18.8 million compared to net cash used in investing activities of $23.9 million for the nine months ended September 30, 2023. Purchase of property and equipment decreased primarily due to lower site build-out costs.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nine months ended September 30, 2024 was $21.3 million compared to net cash used by financing activities of $96.3 million for the nine months ended September 30, 2023. The decrease was due primarily to lower payments to acquire shares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and the Colombian peso, in the nine months ended September 30, 2024 and 2023. We also incur expenses in U.S. dollars, and currencies of the other countries in which we have operations. The exchange rates among the Philippine peso, Indian rupee, Mexican peso, Colombian peso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foreign currency exchange rates and changes for the periods indicated:</w:t>
      </w:r>
    </w:p>
    <w:tbl>
      <w:tblPr>
        <w:tblW w:w="9364" w:type="dxa"/>
        <w:jc w:val="left"/>
        <w:tblInd w:w="0" w:type="dxa"/>
        <w:tblLayout w:type="fixed"/>
        <w:tblCellMar>
          <w:top w:w="28" w:type="dxa"/>
          <w:left w:w="28" w:type="dxa"/>
          <w:bottom w:w="28" w:type="dxa"/>
          <w:right w:w="28" w:type="dxa"/>
        </w:tblCellMar>
      </w:tblPr>
      <w:tblGrid>
        <w:gridCol w:w="1212"/>
        <w:gridCol w:w="1062"/>
        <w:gridCol w:w="1071"/>
        <w:gridCol w:w="278"/>
        <w:gridCol w:w="278"/>
        <w:gridCol w:w="651"/>
        <w:gridCol w:w="109"/>
        <w:gridCol w:w="109"/>
        <w:gridCol w:w="109"/>
        <w:gridCol w:w="278"/>
        <w:gridCol w:w="278"/>
        <w:gridCol w:w="576"/>
        <w:gridCol w:w="109"/>
        <w:gridCol w:w="109"/>
        <w:gridCol w:w="109"/>
        <w:gridCol w:w="278"/>
        <w:gridCol w:w="278"/>
        <w:gridCol w:w="594"/>
        <w:gridCol w:w="109"/>
        <w:gridCol w:w="109"/>
        <w:gridCol w:w="109"/>
        <w:gridCol w:w="390"/>
        <w:gridCol w:w="391"/>
        <w:gridCol w:w="768"/>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Colombian Peso</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exchange rate against the U.S. dollar</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ended September 30, 2024</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56.99 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3,979.96 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ended September 30, 2023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82.35 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4,411.48 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(appreciation)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level of operations during the nine months ended September 30, 2024,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7008" w:type="dxa"/>
        <w:jc w:val="left"/>
        <w:tblInd w:w="0" w:type="dxa"/>
        <w:tblLayout w:type="fixed"/>
        <w:tblCellMar>
          <w:top w:w="28" w:type="dxa"/>
          <w:left w:w="28" w:type="dxa"/>
          <w:bottom w:w="28" w:type="dxa"/>
          <w:right w:w="28" w:type="dxa"/>
        </w:tblCellMar>
      </w:tblPr>
      <w:tblGrid>
        <w:gridCol w:w="489"/>
        <w:gridCol w:w="430"/>
        <w:gridCol w:w="431"/>
        <w:gridCol w:w="229"/>
        <w:gridCol w:w="843"/>
        <w:gridCol w:w="127"/>
        <w:gridCol w:w="109"/>
        <w:gridCol w:w="109"/>
        <w:gridCol w:w="109"/>
        <w:gridCol w:w="223"/>
        <w:gridCol w:w="718"/>
        <w:gridCol w:w="124"/>
        <w:gridCol w:w="109"/>
        <w:gridCol w:w="109"/>
        <w:gridCol w:w="109"/>
        <w:gridCol w:w="229"/>
        <w:gridCol w:w="738"/>
        <w:gridCol w:w="127"/>
        <w:gridCol w:w="109"/>
        <w:gridCol w:w="109"/>
        <w:gridCol w:w="109"/>
        <w:gridCol w:w="263"/>
        <w:gridCol w:w="849"/>
        <w:gridCol w:w="207"/>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Colombian Peso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 appreciation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 depreciation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payment for the transactions being hedged.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Note 5,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September 30, 2024 accrue interest at SOFR plus 2.25%. As of September 30, 2024 our total principal balance outstanding was $260.5 million and the interest rate in effect was 6.954% per annum. Based on the outstanding balances and interest rates under the 2022 Credit Facilities as of September 30, 2024, a hypothetical 10% increase or decrease in SOFR would cause an increase or decrease in interest expense of approximately $1.2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accounts receivable, net of allowance for credit losses, of $200.8 million, of which $48.5 million was owed by one of our clients. Collectively, this client represented approximately 24% of our gross accounts receivable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design and operation of our disclosure controls and procedures as of September 30, 2024. Based upon that evaluation, our Chief Executive Officer and Chief Financial Officer concluded that, as of September 30, 2024, the design and operation of the our disclosure controls and procedures were effective to accomplish their objectives at the reasonable assurance level.</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645"/>
        <w:gridCol w:w="439"/>
        <w:gridCol w:w="443"/>
        <w:gridCol w:w="490"/>
        <w:gridCol w:w="485"/>
        <w:gridCol w:w="487"/>
        <w:gridCol w:w="109"/>
        <w:gridCol w:w="109"/>
        <w:gridCol w:w="109"/>
        <w:gridCol w:w="288"/>
        <w:gridCol w:w="817"/>
        <w:gridCol w:w="160"/>
        <w:gridCol w:w="109"/>
        <w:gridCol w:w="109"/>
        <w:gridCol w:w="109"/>
        <w:gridCol w:w="803"/>
        <w:gridCol w:w="803"/>
        <w:gridCol w:w="805"/>
        <w:gridCol w:w="109"/>
        <w:gridCol w:w="109"/>
        <w:gridCol w:w="109"/>
        <w:gridCol w:w="660"/>
        <w:gridCol w:w="1368"/>
        <w:gridCol w:w="531"/>
      </w:tblGrid>
      <w:tr>
        <w:trPr/>
        <w:tc>
          <w:tcPr>
            <w:tcW w:w="64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thousands)</w:t>
            </w:r>
          </w:p>
        </w:tc>
      </w:tr>
      <w:tr>
        <w:trPr/>
        <w:tc>
          <w:tcPr>
            <w:tcW w:w="15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 2024 through July 31, 2024</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August 1, 2024 through August 31, 2024</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 2024 through September 30, 2024</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32,987 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32,987 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41,819 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32,987 </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32,987 </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(1) On May 8, 2023, the Company announced that the Board of Directors of the Company authorized a $100.0 million increase to the Company's share repurchase program, increasing the total authorization to $200.0 million, with the total amount remaining available after the increase being exclusive of any commissions, fees or excise taxes.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terminates on December 31, 2024, and may be modified, suspended or discontinued at any time at our discretion. The program does not obligate the Company to acquire any amount of Class A common stock.</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Average price paid per share excludes commissions and other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Section 13(r)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219 of the Iran Threat Reduction and Syria Human Rights Act of 2012, which added Section 13(r) of the Exchange Act, we hereby incorporate by reference herein Exhibit 99.1 of this report, which includes disclosures regarding activities at Mundys S.p.A., which may be, or may have been at the time considered to be, an affiliate of Blackstone and, therefore, our affiliate.</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13, 2024, Steven Amaya, our Chief Accounting Officer and Treasurer, adopted a Rule 10b5-1 trading arrangement (the “Amaya 10b5-1 Plan”), which provides for the potential sale of up to 244,687 shares of the Company’s Class A Common Stock, including shares obtained from the exercise of vested stock options and the vesting of restricted stock units (subject to reduction for any shares withheld to satisfy tax withholding obligations). The Amaya 10b5-1 Plan is intended to satisfy the affirmative defense of Rule 10b5-1(c) under the Exchange Act and unless otherwise terminated pursuant to its terms, provides for sales from December 13, 2024 to December 31, 2025 or an earlier date on which all shares thereunder are sold.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4"/>
        <w:gridCol w:w="240"/>
        <w:gridCol w:w="243"/>
        <w:gridCol w:w="2815"/>
        <w:gridCol w:w="2732"/>
        <w:gridCol w:w="3901"/>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Exhibit </w:t>
              <w:br/>
              <w:t>No.</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32024.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32024.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32024.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32024.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irannoticeq32024.htm">
              <w:r>
                <w:rPr>
                  <w:rStyle w:val="InternetLink"/>
                  <w:rFonts w:ascii="Times New Roman;sans-serif" w:hAnsi="Times New Roman;sans-serif"/>
                  <w:b w:val="false"/>
                  <w:color w:val="0000FF"/>
                  <w:sz w:val="20"/>
                  <w:u w:val="single"/>
                </w:rPr>
                <w:t>Section 13(r) Disclosure.</w:t>
              </w:r>
            </w:hyperlink>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833bb34dcd6495382fd310726f74fc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51"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16"/>
        <w:gridCol w:w="216"/>
        <w:gridCol w:w="216"/>
        <w:gridCol w:w="968"/>
        <w:gridCol w:w="968"/>
        <w:gridCol w:w="14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Amaya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Amaya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Bryce Maddock,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2024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73" w:type="dxa"/>
        <w:jc w:val="left"/>
        <w:tblInd w:w="0" w:type="dxa"/>
        <w:tblLayout w:type="fixed"/>
        <w:tblCellMar>
          <w:top w:w="28" w:type="dxa"/>
          <w:left w:w="28" w:type="dxa"/>
          <w:bottom w:w="28" w:type="dxa"/>
          <w:right w:w="28" w:type="dxa"/>
        </w:tblCellMar>
      </w:tblPr>
      <w:tblGrid>
        <w:gridCol w:w="759"/>
        <w:gridCol w:w="668"/>
        <w:gridCol w:w="672"/>
        <w:gridCol w:w="723"/>
        <w:gridCol w:w="723"/>
        <w:gridCol w:w="102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Balaji Sekar, certify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2024 of TaskUs, Inc.;</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14" w:type="dxa"/>
        <w:jc w:val="right"/>
        <w:tblInd w:w="0" w:type="dxa"/>
        <w:tblLayout w:type="fixed"/>
        <w:tblCellMar>
          <w:top w:w="28" w:type="dxa"/>
          <w:left w:w="28" w:type="dxa"/>
          <w:bottom w:w="28" w:type="dxa"/>
          <w:right w:w="28" w:type="dxa"/>
        </w:tblCellMar>
      </w:tblPr>
      <w:tblGrid>
        <w:gridCol w:w="759"/>
        <w:gridCol w:w="668"/>
        <w:gridCol w:w="672"/>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September 30, 2024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September 30, 2024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Balaji Sekar,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13(r) Disclosure</w:t>
      </w:r>
    </w:p>
    <w:p>
      <w:pPr>
        <w:pStyle w:val="TextBody"/>
        <w:bidi w:val="0"/>
        <w:spacing w:before="0" w:after="0"/>
        <w:ind w:left="0" w:right="0" w:firstLine="49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The disclosure reproduced below was initially included in the Quarterly Report on Form 10-Q filed with the Securities and Exchange Commission by Blackstone Inc. (“Blackstone”) with respect to its fiscal quarter ended September 30, 2024, in accordance with Section 13(r) of the Securities Exchange Act of 1934, as amended, in regard to Mundys S.p.A. (formerly, Atlantia S.PA.).</w:t>
      </w:r>
      <w:r>
        <w:rPr>
          <w:color w:val="000000"/>
        </w:rPr>
        <w:t xml:space="preserve"> </w:t>
      </w:r>
      <w:r>
        <w:rPr>
          <w:rFonts w:ascii="Times New Roman;sans-serif" w:hAnsi="Times New Roman;sans-serif"/>
          <w:b w:val="false"/>
          <w:i/>
          <w:color w:val="000000"/>
          <w:sz w:val="20"/>
        </w:rPr>
        <w:t>Mundys S.p.A. may be, or may have been at the time considered to be, an affiliate of Blackstone, and therefore an affiliate of TaskUs, Inc. (“TaskUs”).</w:t>
      </w:r>
      <w:r>
        <w:rPr>
          <w:color w:val="000000"/>
        </w:rPr>
        <w:t xml:space="preserve"> </w:t>
      </w:r>
      <w:r>
        <w:rPr>
          <w:rFonts w:ascii="Times New Roman;sans-serif" w:hAnsi="Times New Roman;sans-serif"/>
          <w:b w:val="false"/>
          <w:i/>
          <w:color w:val="000000"/>
          <w:sz w:val="20"/>
        </w:rPr>
        <w:t>TaskUs did not independently verify or participate in the preparation of the disclosure reproduced below.</w:t>
      </w:r>
    </w:p>
    <w:p>
      <w:pPr>
        <w:pStyle w:val="TextBody"/>
        <w:bidi w:val="0"/>
        <w:spacing w:lineRule="auto" w:line="26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Blackstone included the following disclosure in its Quarterly Report on Form 10-Q for the quarter ended September 30, 2024:</w:t>
      </w:r>
    </w:p>
    <w:p>
      <w:pPr>
        <w:pStyle w:val="TextBody"/>
        <w:bidi w:val="0"/>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Mundys S.p.A. (formerly “Atlantia S.p.A.”) provided the disclosure reproduced below in connection with activities during the quarter ended September 30, 2024. We have not independently verified or participated in the preparation of this disclosure.</w:t>
      </w:r>
    </w:p>
    <w:p>
      <w:pPr>
        <w:pStyle w:val="TextBody"/>
        <w:bidi w:val="0"/>
        <w:spacing w:lineRule="auto" w:line="268" w:before="120" w:after="283"/>
        <w:ind w:left="0" w:right="0" w:firstLine="540"/>
        <w:jc w:val="both"/>
        <w:rPr>
          <w:color w:val="000000"/>
        </w:rPr>
      </w:pPr>
      <w:r>
        <w:rPr>
          <w:color w:val="000000"/>
        </w:rPr>
        <w:t>“</w:t>
      </w:r>
      <w:r>
        <w:rPr>
          <w:rFonts w:ascii="Times New Roman;sans-serif" w:hAnsi="Times New Roman;sans-serif"/>
          <w:b w:val="false"/>
          <w:color w:val="000000"/>
          <w:sz w:val="20"/>
        </w:rPr>
        <w:t>Disclosure pursuant to Section 13(r) of the Securities Exchange Act of 1934. Funds affiliated with Blackstone first invested in Mundys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September 30, 2024 was less than €100,000. Mundys S.p.A. does not track profits specifically attributable to these activities.”</w:t>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4000011/exhibit322023.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19379</Words>
  <Characters>108840</Characters>
  <CharactersWithSpaces>126561</CharactersWithSpaces>
  <Paragraphs>3213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