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TaskUs,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Dalton Investments Inc.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NEVADA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2,127,195.00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2,127,195.00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2,127,195.00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0"/>
        <w:gridCol w:w="8960"/>
        <w:gridCol w:w="155"/>
      </w:tblGrid>
      <w:tr>
        <w:trPr/>
        <w:tc>
          <w:tcPr>
            <w:tcW w:w="1090" w:type="dxa"/>
            <w:tcBorders/>
            <w:vAlign w:val="center"/>
          </w:tcPr>
          <w:p>
            <w:pPr>
              <w:pStyle w:val="TableContents"/>
              <w:bidi w:val="0"/>
              <w:spacing w:before="0" w:after="283"/>
              <w:jc w:val="left"/>
              <w:rPr/>
            </w:pPr>
            <w:r>
              <w:rPr/>
              <w:t>Item 1.</w:t>
            </w:r>
          </w:p>
        </w:tc>
        <w:tc>
          <w:tcPr>
            <w:tcW w:w="896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(a)</w:t>
            </w:r>
          </w:p>
        </w:tc>
        <w:tc>
          <w:tcPr>
            <w:tcW w:w="8960" w:type="dxa"/>
            <w:tcBorders/>
            <w:vAlign w:val="center"/>
          </w:tcPr>
          <w:p>
            <w:pPr>
              <w:pStyle w:val="TableContents"/>
              <w:bidi w:val="0"/>
              <w:jc w:val="left"/>
              <w:rPr/>
            </w:pPr>
            <w:r>
              <w:rPr/>
              <w:t xml:space="preserve">Name of issuer: </w:t>
            </w:r>
          </w:p>
          <w:p>
            <w:pPr>
              <w:pStyle w:val="TableContents"/>
              <w:bidi w:val="0"/>
              <w:spacing w:before="0" w:after="0"/>
              <w:jc w:val="left"/>
              <w:rPr/>
            </w:pPr>
            <w:r>
              <w:rPr/>
              <w:t>TaskUs, Inc.</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(b)</w:t>
            </w:r>
          </w:p>
        </w:tc>
        <w:tc>
          <w:tcPr>
            <w:tcW w:w="896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1650 Independence Drive, Suite 100, New Braunfels, TEXAS 78132</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Item 2.</w:t>
            </w:r>
          </w:p>
        </w:tc>
        <w:tc>
          <w:tcPr>
            <w:tcW w:w="896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(a)</w:t>
            </w:r>
          </w:p>
        </w:tc>
        <w:tc>
          <w:tcPr>
            <w:tcW w:w="8960" w:type="dxa"/>
            <w:tcBorders/>
            <w:vAlign w:val="center"/>
          </w:tcPr>
          <w:p>
            <w:pPr>
              <w:pStyle w:val="TableContents"/>
              <w:bidi w:val="0"/>
              <w:jc w:val="left"/>
              <w:rPr/>
            </w:pPr>
            <w:r>
              <w:rPr/>
              <w:t xml:space="preserve">Name of person filing: </w:t>
            </w:r>
          </w:p>
          <w:p>
            <w:pPr>
              <w:pStyle w:val="TableContents"/>
              <w:bidi w:val="0"/>
              <w:spacing w:before="0" w:after="0"/>
              <w:jc w:val="left"/>
              <w:rPr/>
            </w:pPr>
            <w:r>
              <w:rPr/>
              <w:t>Dalton Investments Inc.</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(b)</w:t>
            </w:r>
          </w:p>
        </w:tc>
        <w:tc>
          <w:tcPr>
            <w:tcW w:w="896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the Reporting Persons is 360 N Pacific Coast Highway Suite 1060 El Segundo, CA 90245</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(c)</w:t>
            </w:r>
          </w:p>
        </w:tc>
        <w:tc>
          <w:tcPr>
            <w:tcW w:w="8960" w:type="dxa"/>
            <w:tcBorders/>
            <w:vAlign w:val="center"/>
          </w:tcPr>
          <w:p>
            <w:pPr>
              <w:pStyle w:val="TableContents"/>
              <w:bidi w:val="0"/>
              <w:jc w:val="left"/>
              <w:rPr/>
            </w:pPr>
            <w:r>
              <w:rPr/>
              <w:t xml:space="preserve">Citizenship: </w:t>
            </w:r>
          </w:p>
          <w:p>
            <w:pPr>
              <w:pStyle w:val="TableContents"/>
              <w:bidi w:val="0"/>
              <w:spacing w:before="0" w:after="0"/>
              <w:jc w:val="left"/>
              <w:rPr/>
            </w:pPr>
            <w:r>
              <w:rPr/>
              <w:t>Dalton Investments, Inc. is a corporation formed in the State of Nevada.</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(d)</w:t>
            </w:r>
          </w:p>
        </w:tc>
        <w:tc>
          <w:tcPr>
            <w:tcW w:w="896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(e)</w:t>
            </w:r>
          </w:p>
        </w:tc>
        <w:tc>
          <w:tcPr>
            <w:tcW w:w="896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Item 3.</w:t>
            </w:r>
          </w:p>
        </w:tc>
        <w:tc>
          <w:tcPr>
            <w:tcW w:w="896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(a)</w:t>
            </w:r>
          </w:p>
        </w:tc>
        <w:tc>
          <w:tcPr>
            <w:tcW w:w="896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(b)</w:t>
            </w:r>
          </w:p>
        </w:tc>
        <w:tc>
          <w:tcPr>
            <w:tcW w:w="896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(c)</w:t>
            </w:r>
          </w:p>
        </w:tc>
        <w:tc>
          <w:tcPr>
            <w:tcW w:w="896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(d)</w:t>
            </w:r>
          </w:p>
        </w:tc>
        <w:tc>
          <w:tcPr>
            <w:tcW w:w="896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(e)</w:t>
            </w:r>
          </w:p>
        </w:tc>
        <w:tc>
          <w:tcPr>
            <w:tcW w:w="896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(f)</w:t>
            </w:r>
          </w:p>
        </w:tc>
        <w:tc>
          <w:tcPr>
            <w:tcW w:w="896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(g)</w:t>
            </w:r>
          </w:p>
        </w:tc>
        <w:tc>
          <w:tcPr>
            <w:tcW w:w="896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(h)</w:t>
            </w:r>
          </w:p>
        </w:tc>
        <w:tc>
          <w:tcPr>
            <w:tcW w:w="896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(i)</w:t>
            </w:r>
          </w:p>
        </w:tc>
        <w:tc>
          <w:tcPr>
            <w:tcW w:w="896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(j)</w:t>
            </w:r>
          </w:p>
        </w:tc>
        <w:tc>
          <w:tcPr>
            <w:tcW w:w="896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(k)</w:t>
            </w:r>
          </w:p>
        </w:tc>
        <w:tc>
          <w:tcPr>
            <w:tcW w:w="896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 </w:t>
            </w:r>
          </w:p>
        </w:tc>
        <w:tc>
          <w:tcPr>
            <w:tcW w:w="9115" w:type="dxa"/>
            <w:gridSpan w:val="2"/>
            <w:tcBorders/>
            <w:vAlign w:val="center"/>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Item 4.</w:t>
            </w:r>
          </w:p>
        </w:tc>
        <w:tc>
          <w:tcPr>
            <w:tcW w:w="896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(a)</w:t>
            </w:r>
          </w:p>
        </w:tc>
        <w:tc>
          <w:tcPr>
            <w:tcW w:w="896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June 30, 2026, the Reporting Persons may be deemed to beneficially own in the aggregate 2,127,195 Shares.</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(b)</w:t>
            </w:r>
          </w:p>
        </w:tc>
        <w:tc>
          <w:tcPr>
            <w:tcW w:w="896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As of June 30, 2026, the Reporting Persons may be deemed to beneficially own in the aggregate 2,127,195 Shares, representing approximately 5.82% of the Issuer's outstanding Shares (based on 36,545,511 outstanding Shares as of May 07, 2026, as set forth in the Issuer's Quarterly Report on Form 10-Q filed with the SEC on May 07, 2026).  %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(c)</w:t>
            </w:r>
          </w:p>
        </w:tc>
        <w:tc>
          <w:tcPr>
            <w:tcW w:w="896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2,127,195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2,127,195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Item 5.</w:t>
            </w:r>
          </w:p>
        </w:tc>
        <w:tc>
          <w:tcPr>
            <w:tcW w:w="896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Item 6.</w:t>
            </w:r>
          </w:p>
        </w:tc>
        <w:tc>
          <w:tcPr>
            <w:tcW w:w="896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Item 7.</w:t>
            </w:r>
          </w:p>
        </w:tc>
        <w:tc>
          <w:tcPr>
            <w:tcW w:w="896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Item 8.</w:t>
            </w:r>
          </w:p>
        </w:tc>
        <w:tc>
          <w:tcPr>
            <w:tcW w:w="896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Item 9.</w:t>
            </w:r>
          </w:p>
        </w:tc>
        <w:tc>
          <w:tcPr>
            <w:tcW w:w="896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38" w:type="dxa"/>
        <w:jc w:val="left"/>
        <w:tblInd w:w="0" w:type="dxa"/>
        <w:tblLayout w:type="fixed"/>
        <w:tblCellMar>
          <w:top w:w="28" w:type="dxa"/>
          <w:left w:w="28" w:type="dxa"/>
          <w:bottom w:w="28" w:type="dxa"/>
          <w:right w:w="28" w:type="dxa"/>
        </w:tblCellMar>
      </w:tblPr>
      <w:tblGrid>
        <w:gridCol w:w="2519"/>
        <w:gridCol w:w="2519"/>
      </w:tblGrid>
      <w:tr>
        <w:trPr/>
        <w:tc>
          <w:tcPr>
            <w:tcW w:w="2519" w:type="dxa"/>
            <w:tcBorders/>
            <w:vAlign w:val="center"/>
          </w:tcPr>
          <w:p>
            <w:pPr>
              <w:pStyle w:val="TableContents"/>
              <w:bidi w:val="0"/>
              <w:spacing w:before="0" w:after="0"/>
              <w:jc w:val="left"/>
              <w:rPr/>
            </w:pPr>
            <w:r>
              <w:rPr/>
              <w:t> </w:t>
            </w:r>
          </w:p>
          <w:tbl>
            <w:tblPr>
              <w:tblW w:w="2416" w:type="dxa"/>
              <w:jc w:val="left"/>
              <w:tblInd w:w="0" w:type="dxa"/>
              <w:tblLayout w:type="fixed"/>
              <w:tblCellMar>
                <w:top w:w="28" w:type="dxa"/>
                <w:left w:w="28" w:type="dxa"/>
                <w:bottom w:w="28" w:type="dxa"/>
                <w:right w:w="28" w:type="dxa"/>
              </w:tblCellMar>
            </w:tblPr>
            <w:tblGrid>
              <w:gridCol w:w="2416"/>
            </w:tblGrid>
            <w:tr>
              <w:trPr/>
              <w:tc>
                <w:tcPr>
                  <w:tcW w:w="2416" w:type="dxa"/>
                  <w:tcBorders/>
                  <w:vAlign w:val="center"/>
                </w:tcPr>
                <w:p>
                  <w:pPr>
                    <w:pStyle w:val="TableContents"/>
                    <w:bidi w:val="0"/>
                    <w:spacing w:before="0" w:after="0"/>
                    <w:jc w:val="left"/>
                    <w:rPr/>
                  </w:pPr>
                  <w:r>
                    <w:rPr/>
                    <w:t>Dalton Investments Inc.</w:t>
                  </w:r>
                </w:p>
              </w:tc>
            </w:tr>
          </w:tbl>
          <w:p>
            <w:pPr>
              <w:pStyle w:val="TableContents"/>
              <w:bidi w:val="0"/>
              <w:spacing w:before="0" w:after="283"/>
              <w:jc w:val="left"/>
              <w:rPr/>
            </w:pPr>
            <w:r>
              <w:rPr/>
            </w:r>
          </w:p>
        </w:tc>
        <w:tc>
          <w:tcPr>
            <w:tcW w:w="25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1"/>
        <w:gridCol w:w="4264"/>
      </w:tblGrid>
      <w:tr>
        <w:trPr/>
        <w:tc>
          <w:tcPr>
            <w:tcW w:w="59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Christopher Ha</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Christopher Ha, Chief Compliance Officer and Counsel</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07/14/2026</w:t>
                  </w:r>
                </w:p>
              </w:tc>
            </w:tr>
          </w:tbl>
          <w:p>
            <w:pPr>
              <w:pStyle w:val="TableContents"/>
              <w:bidi w:val="0"/>
              <w:spacing w:before="0" w:after="283"/>
              <w:jc w:val="left"/>
              <w:rPr/>
            </w:pPr>
            <w:r>
              <w:rPr/>
            </w:r>
          </w:p>
        </w:tc>
        <w:tc>
          <w:tcPr>
            <w:tcW w:w="42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827</Words>
  <Characters>4250</Characters>
  <CharactersWithSpaces>5068</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