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460" w:right="280" w:hanging="434"/>
        <w:spacing w:after="0" w:line="237" w:lineRule="auto"/>
        <w:tabs>
          <w:tab w:leader="none" w:pos="4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6" w:lineRule="exact"/>
        <w:rPr>
          <w:sz w:val="24"/>
          <w:szCs w:val="24"/>
          <w:color w:val="auto"/>
        </w:rPr>
      </w:pPr>
    </w:p>
    <w:p>
      <w:pPr>
        <w:ind w:left="460" w:right="280" w:hanging="434"/>
        <w:spacing w:after="0" w:line="237" w:lineRule="auto"/>
        <w:tabs>
          <w:tab w:leader="none" w:pos="4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9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from_____________to______________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001-40482</w:t>
      </w:r>
    </w:p>
    <w:p>
      <w:pPr>
        <w:spacing w:after="0" w:line="12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TaskUs,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56" w:lineRule="exact"/>
        <w:rPr>
          <w:sz w:val="24"/>
          <w:szCs w:val="24"/>
          <w:color w:val="auto"/>
        </w:rPr>
      </w:pPr>
    </w:p>
    <w:tbl>
      <w:tblPr>
        <w:tblLayout w:type="fixed"/>
        <w:tblInd w:w="1440" w:type="dxa"/>
        <w:tblCellMar>
          <w:top w:w="0" w:type="dxa"/>
          <w:left w:w="0" w:type="dxa"/>
          <w:bottom w:w="0" w:type="dxa"/>
          <w:right w:w="0" w:type="dxa"/>
        </w:tblCellMar>
      </w:tblPr>
      <w:tr>
        <w:trPr>
          <w:trHeight w:val="227"/>
        </w:trPr>
        <w:tc>
          <w:tcPr>
            <w:tcW w:w="6100" w:type="dxa"/>
            <w:vAlign w:val="bottom"/>
          </w:tcPr>
          <w:p>
            <w:pPr>
              <w:jc w:val="center"/>
              <w:ind w:right="32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83-1586636</w:t>
            </w:r>
          </w:p>
        </w:tc>
        <w:tc>
          <w:tcPr>
            <w:tcW w:w="0" w:type="dxa"/>
            <w:vAlign w:val="bottom"/>
          </w:tcPr>
          <w:p>
            <w:pPr>
              <w:spacing w:after="0"/>
              <w:rPr>
                <w:sz w:val="1"/>
                <w:szCs w:val="1"/>
                <w:color w:val="auto"/>
              </w:rPr>
            </w:pPr>
          </w:p>
        </w:tc>
      </w:tr>
      <w:tr>
        <w:trPr>
          <w:trHeight w:val="146"/>
        </w:trPr>
        <w:tc>
          <w:tcPr>
            <w:tcW w:w="6100" w:type="dxa"/>
            <w:vAlign w:val="bottom"/>
          </w:tcPr>
          <w:p>
            <w:pPr>
              <w:jc w:val="center"/>
              <w:ind w:right="325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6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100" w:type="dxa"/>
            <w:vAlign w:val="bottom"/>
          </w:tcPr>
          <w:p>
            <w:pPr>
              <w:jc w:val="center"/>
              <w:ind w:right="32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82"/>
        </w:trPr>
        <w:tc>
          <w:tcPr>
            <w:tcW w:w="6100" w:type="dxa"/>
            <w:vAlign w:val="bottom"/>
          </w:tcPr>
          <w:p>
            <w:pPr>
              <w:jc w:val="center"/>
              <w:ind w:right="3279"/>
              <w:spacing w:after="0"/>
              <w:rPr>
                <w:sz w:val="20"/>
                <w:szCs w:val="20"/>
                <w:color w:val="auto"/>
              </w:rPr>
            </w:pPr>
            <w:r>
              <w:rPr>
                <w:rFonts w:ascii="Times New Roman" w:cs="Times New Roman" w:eastAsia="Times New Roman" w:hAnsi="Times New Roman"/>
                <w:sz w:val="18"/>
                <w:szCs w:val="18"/>
                <w:b w:val="1"/>
                <w:bCs w:val="1"/>
                <w:color w:val="auto"/>
                <w:w w:val="99"/>
              </w:rPr>
              <w:t>1650 Independence Drive, Suite 100</w:t>
            </w:r>
          </w:p>
        </w:tc>
        <w:tc>
          <w:tcPr>
            <w:tcW w:w="1440" w:type="dxa"/>
            <w:vAlign w:val="bottom"/>
            <w:vMerge w:val="restart"/>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78132</w:t>
            </w:r>
          </w:p>
        </w:tc>
        <w:tc>
          <w:tcPr>
            <w:tcW w:w="0" w:type="dxa"/>
            <w:vAlign w:val="bottom"/>
          </w:tcPr>
          <w:p>
            <w:pPr>
              <w:spacing w:after="0"/>
              <w:rPr>
                <w:sz w:val="1"/>
                <w:szCs w:val="1"/>
                <w:color w:val="auto"/>
              </w:rPr>
            </w:pPr>
          </w:p>
        </w:tc>
      </w:tr>
      <w:tr>
        <w:trPr>
          <w:trHeight w:val="232"/>
        </w:trPr>
        <w:tc>
          <w:tcPr>
            <w:tcW w:w="6100" w:type="dxa"/>
            <w:vAlign w:val="bottom"/>
          </w:tcPr>
          <w:p>
            <w:pPr>
              <w:jc w:val="center"/>
              <w:ind w:right="3279"/>
              <w:spacing w:after="0"/>
              <w:rPr>
                <w:sz w:val="20"/>
                <w:szCs w:val="20"/>
                <w:color w:val="auto"/>
              </w:rPr>
            </w:pPr>
            <w:r>
              <w:rPr>
                <w:rFonts w:ascii="Times New Roman" w:cs="Times New Roman" w:eastAsia="Times New Roman" w:hAnsi="Times New Roman"/>
                <w:sz w:val="18"/>
                <w:szCs w:val="18"/>
                <w:b w:val="1"/>
                <w:bCs w:val="1"/>
                <w:color w:val="auto"/>
                <w:w w:val="99"/>
              </w:rPr>
              <w:t>New Braunfels, Texas</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100" w:type="dxa"/>
            <w:vAlign w:val="bottom"/>
          </w:tcPr>
          <w:p>
            <w:pPr>
              <w:jc w:val="center"/>
              <w:ind w:right="3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512"/>
        </w:trPr>
        <w:tc>
          <w:tcPr>
            <w:tcW w:w="6100" w:type="dxa"/>
            <w:vAlign w:val="bottom"/>
          </w:tcPr>
          <w:p>
            <w:pPr>
              <w:jc w:val="right"/>
              <w:ind w:right="1279"/>
              <w:spacing w:after="0"/>
              <w:rPr>
                <w:sz w:val="20"/>
                <w:szCs w:val="20"/>
                <w:color w:val="auto"/>
              </w:rPr>
            </w:pPr>
            <w:r>
              <w:rPr>
                <w:rFonts w:ascii="Times New Roman" w:cs="Times New Roman" w:eastAsia="Times New Roman" w:hAnsi="Times New Roman"/>
                <w:sz w:val="18"/>
                <w:szCs w:val="18"/>
                <w:b w:val="1"/>
                <w:bCs w:val="1"/>
                <w:color w:val="auto"/>
              </w:rPr>
              <w:t>(888) 400-8275</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100" w:type="dxa"/>
            <w:vAlign w:val="bottom"/>
          </w:tcPr>
          <w:p>
            <w:pPr>
              <w:jc w:val="center"/>
              <w:ind w:left="21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69"/>
        </w:trPr>
        <w:tc>
          <w:tcPr>
            <w:tcW w:w="3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100" w:type="dxa"/>
            <w:vAlign w:val="bottom"/>
          </w:tcPr>
          <w:p>
            <w:pPr>
              <w:spacing w:after="0"/>
              <w:rPr>
                <w:sz w:val="14"/>
                <w:szCs w:val="14"/>
                <w:color w:val="auto"/>
              </w:rPr>
            </w:pPr>
          </w:p>
        </w:tc>
        <w:tc>
          <w:tcPr>
            <w:tcW w:w="3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TASK</w:t>
            </w:r>
          </w:p>
        </w:tc>
        <w:tc>
          <w:tcPr>
            <w:tcW w:w="80" w:type="dxa"/>
            <w:vAlign w:val="bottom"/>
          </w:tcPr>
          <w:p>
            <w:pPr>
              <w:spacing w:after="0"/>
              <w:rPr>
                <w:sz w:val="14"/>
                <w:szCs w:val="14"/>
                <w:color w:val="auto"/>
              </w:rPr>
            </w:pPr>
          </w:p>
        </w:tc>
        <w:tc>
          <w:tcPr>
            <w:tcW w:w="3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97" w:lineRule="exact"/>
        <w:rPr>
          <w:sz w:val="24"/>
          <w:szCs w:val="24"/>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70" w:lineRule="exact"/>
        <w:rPr>
          <w:sz w:val="24"/>
          <w:szCs w:val="24"/>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70"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15"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9"/>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20"/>
              <w:spacing w:after="0"/>
              <w:rPr>
                <w:sz w:val="20"/>
                <w:szCs w:val="20"/>
                <w:color w:val="auto"/>
              </w:rPr>
            </w:pPr>
            <w:r>
              <w:rPr>
                <w:rFonts w:ascii="Arial" w:cs="Arial" w:eastAsia="Arial" w:hAnsi="Arial"/>
                <w:sz w:val="18"/>
                <w:szCs w:val="18"/>
                <w:color w:val="auto"/>
              </w:rPr>
              <w:t>o</w:t>
            </w:r>
          </w:p>
        </w:tc>
        <w:tc>
          <w:tcPr>
            <w:tcW w:w="534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o</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20"/>
              <w:spacing w:after="0"/>
              <w:rPr>
                <w:sz w:val="20"/>
                <w:szCs w:val="20"/>
                <w:color w:val="auto"/>
              </w:rPr>
            </w:pPr>
            <w:r>
              <w:rPr>
                <w:rFonts w:ascii="Arial" w:cs="Arial" w:eastAsia="Arial" w:hAnsi="Arial"/>
                <w:sz w:val="18"/>
                <w:szCs w:val="18"/>
                <w:color w:val="auto"/>
              </w:rPr>
              <w:t>x</w:t>
            </w:r>
          </w:p>
        </w:tc>
        <w:tc>
          <w:tcPr>
            <w:tcW w:w="534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o</w:t>
            </w:r>
          </w:p>
        </w:tc>
      </w:tr>
      <w:tr>
        <w:trPr>
          <w:trHeight w:val="297"/>
        </w:trPr>
        <w:tc>
          <w:tcPr>
            <w:tcW w:w="1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4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tcPr>
          <w:p>
            <w:pPr>
              <w:ind w:left="260"/>
              <w:spacing w:after="0"/>
              <w:rPr>
                <w:sz w:val="20"/>
                <w:szCs w:val="20"/>
                <w:color w:val="auto"/>
              </w:rPr>
            </w:pPr>
            <w:r>
              <w:rPr>
                <w:rFonts w:ascii="Arial" w:cs="Arial" w:eastAsia="Arial" w:hAnsi="Arial"/>
                <w:sz w:val="18"/>
                <w:szCs w:val="18"/>
                <w:color w:val="auto"/>
                <w:w w:val="88"/>
              </w:rPr>
              <w:t>x</w:t>
            </w:r>
          </w:p>
        </w:tc>
      </w:tr>
    </w:tbl>
    <w:p>
      <w:pPr>
        <w:spacing w:after="0" w:line="288" w:lineRule="exact"/>
        <w:rPr>
          <w:sz w:val="20"/>
          <w:szCs w:val="20"/>
          <w:color w:val="auto"/>
        </w:rPr>
      </w:pPr>
    </w:p>
    <w:p>
      <w:pPr>
        <w:ind w:firstLine="486"/>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May 5, 2022, the number of shares outstanding of the registrant’s common stock was as follows: Class A common stock, par value $0.01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27,723,772; Class B common stock, par value $0.01 per share: 70,032,694.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Quarterly Period Ended 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6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66"/>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7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WEBSITE AND SOCIAL MEDIA DISCLOSURE</w:t>
            </w:r>
          </w:p>
        </w:tc>
        <w:tc>
          <w:tcPr>
            <w:tcW w:w="2080" w:type="dxa"/>
            <w:vAlign w:val="bottom"/>
            <w:tcBorders>
              <w:top w:val="single" w:sz="8" w:color="0000FF"/>
            </w:tcBorders>
            <w:gridSpan w:val="9"/>
          </w:tcPr>
          <w:p>
            <w:pPr>
              <w:spacing w:after="0"/>
              <w:rPr>
                <w:sz w:val="22"/>
                <w:szCs w:val="22"/>
                <w:color w:val="auto"/>
              </w:rPr>
            </w:pPr>
          </w:p>
        </w:tc>
        <w:tc>
          <w:tcPr>
            <w:tcW w:w="680" w:type="dxa"/>
            <w:vAlign w:val="bottom"/>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w:t>
            </w:r>
          </w:p>
        </w:tc>
      </w:tr>
      <w:tr>
        <w:trPr>
          <w:trHeight w:val="426"/>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460" w:type="dxa"/>
            <w:vAlign w:val="bottom"/>
            <w:gridSpan w:val="2"/>
          </w:tcPr>
          <w:p>
            <w:pPr>
              <w:spacing w:after="0"/>
              <w:rPr>
                <w:sz w:val="24"/>
                <w:szCs w:val="24"/>
                <w:color w:val="auto"/>
              </w:rPr>
            </w:pPr>
          </w:p>
        </w:tc>
        <w:tc>
          <w:tcPr>
            <w:tcW w:w="64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w:t>
            </w:r>
          </w:p>
        </w:tc>
      </w:tr>
      <w:tr>
        <w:trPr>
          <w:trHeight w:val="425"/>
        </w:trPr>
        <w:tc>
          <w:tcPr>
            <w:tcW w:w="20" w:type="dxa"/>
            <w:vAlign w:val="bottom"/>
          </w:tcPr>
          <w:p>
            <w:pPr>
              <w:spacing w:after="0"/>
              <w:rPr>
                <w:sz w:val="24"/>
                <w:szCs w:val="24"/>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460" w:type="dxa"/>
            <w:vAlign w:val="bottom"/>
            <w:gridSpan w:val="2"/>
          </w:tcPr>
          <w:p>
            <w:pPr>
              <w:spacing w:after="0"/>
              <w:rPr>
                <w:sz w:val="24"/>
                <w:szCs w:val="24"/>
                <w:color w:val="auto"/>
              </w:rPr>
            </w:pPr>
          </w:p>
        </w:tc>
        <w:tc>
          <w:tcPr>
            <w:tcW w:w="23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4080" w:type="dxa"/>
            <w:vAlign w:val="bottom"/>
            <w:gridSpan w:val="11"/>
          </w:tcPr>
          <w:p>
            <w:pPr>
              <w:spacing w:after="0"/>
              <w:rPr>
                <w:sz w:val="24"/>
                <w:szCs w:val="24"/>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w:t>
            </w:r>
          </w:p>
        </w:tc>
        <w:tc>
          <w:tcPr>
            <w:tcW w:w="2000" w:type="dxa"/>
            <w:vAlign w:val="bottom"/>
            <w:gridSpan w:val="6"/>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4</w:t>
            </w:r>
          </w:p>
        </w:tc>
      </w:tr>
      <w:tr>
        <w:trPr>
          <w:trHeight w:val="26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3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Comprehensive Income</w:t>
            </w:r>
          </w:p>
        </w:tc>
        <w:tc>
          <w:tcPr>
            <w:tcW w:w="1080" w:type="dxa"/>
            <w:vAlign w:val="bottom"/>
            <w:gridSpan w:val="2"/>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Shareholders’ Equity</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6</w:t>
            </w:r>
          </w:p>
        </w:tc>
      </w:tr>
      <w:tr>
        <w:trPr>
          <w:trHeight w:val="26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1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1280" w:type="dxa"/>
            <w:vAlign w:val="bottom"/>
            <w:gridSpan w:val="3"/>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15</w:t>
            </w:r>
          </w:p>
        </w:tc>
      </w:tr>
      <w:tr>
        <w:trPr>
          <w:trHeight w:val="264"/>
        </w:trPr>
        <w:tc>
          <w:tcPr>
            <w:tcW w:w="20" w:type="dxa"/>
            <w:vAlign w:val="bottom"/>
          </w:tcPr>
          <w:p>
            <w:pPr>
              <w:spacing w:after="0"/>
              <w:rPr>
                <w:sz w:val="22"/>
                <w:szCs w:val="22"/>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7"/>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23</w:t>
            </w:r>
          </w:p>
        </w:tc>
      </w:tr>
      <w:tr>
        <w:trPr>
          <w:trHeight w:val="263"/>
        </w:trPr>
        <w:tc>
          <w:tcPr>
            <w:tcW w:w="20" w:type="dxa"/>
            <w:vAlign w:val="bottom"/>
          </w:tcPr>
          <w:p>
            <w:pPr>
              <w:spacing w:after="0"/>
              <w:rPr>
                <w:sz w:val="22"/>
                <w:szCs w:val="22"/>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80" w:type="dxa"/>
            <w:vAlign w:val="bottom"/>
            <w:gridSpan w:val="14"/>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24</w:t>
            </w:r>
          </w:p>
        </w:tc>
      </w:tr>
      <w:tr>
        <w:trPr>
          <w:trHeight w:val="426"/>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25</w:t>
            </w:r>
          </w:p>
        </w:tc>
      </w:tr>
      <w:tr>
        <w:trPr>
          <w:trHeight w:val="425"/>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4"/>
          </w:tcPr>
          <w:p>
            <w:pPr>
              <w:spacing w:after="0"/>
              <w:rPr>
                <w:sz w:val="24"/>
                <w:szCs w:val="24"/>
                <w:color w:val="auto"/>
              </w:rPr>
            </w:pPr>
          </w:p>
        </w:tc>
        <w:tc>
          <w:tcPr>
            <w:tcW w:w="4440" w:type="dxa"/>
            <w:vAlign w:val="bottom"/>
            <w:gridSpan w:val="13"/>
          </w:tcPr>
          <w:p>
            <w:pPr>
              <w:spacing w:after="0"/>
              <w:rPr>
                <w:sz w:val="24"/>
                <w:szCs w:val="24"/>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25</w:t>
            </w:r>
          </w:p>
        </w:tc>
      </w:tr>
      <w:tr>
        <w:trPr>
          <w:trHeight w:val="264"/>
        </w:trPr>
        <w:tc>
          <w:tcPr>
            <w:tcW w:w="20" w:type="dxa"/>
            <w:vAlign w:val="bottom"/>
          </w:tcPr>
          <w:p>
            <w:pPr>
              <w:spacing w:after="0"/>
              <w:rPr>
                <w:sz w:val="22"/>
                <w:szCs w:val="22"/>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6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20" w:type="dxa"/>
            <w:vAlign w:val="bottom"/>
          </w:tcPr>
          <w:p>
            <w:pPr>
              <w:spacing w:after="0"/>
              <w:rPr>
                <w:sz w:val="22"/>
                <w:szCs w:val="22"/>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120" w:type="dxa"/>
            <w:vAlign w:val="bottom"/>
            <w:gridSpan w:val="8"/>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25</w:t>
            </w:r>
          </w:p>
        </w:tc>
      </w:tr>
      <w:tr>
        <w:trPr>
          <w:trHeight w:val="264"/>
        </w:trPr>
        <w:tc>
          <w:tcPr>
            <w:tcW w:w="20" w:type="dxa"/>
            <w:vAlign w:val="bottom"/>
          </w:tcPr>
          <w:p>
            <w:pPr>
              <w:spacing w:after="0"/>
              <w:rPr>
                <w:sz w:val="22"/>
                <w:szCs w:val="22"/>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140" w:type="dxa"/>
            <w:vAlign w:val="bottom"/>
            <w:gridSpan w:val="12"/>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20" w:type="dxa"/>
            <w:vAlign w:val="bottom"/>
          </w:tcPr>
          <w:p>
            <w:pPr>
              <w:spacing w:after="0"/>
              <w:rPr>
                <w:sz w:val="22"/>
                <w:szCs w:val="22"/>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2"/>
                <w:szCs w:val="22"/>
                <w:color w:val="auto"/>
              </w:rPr>
            </w:pPr>
          </w:p>
        </w:tc>
        <w:tc>
          <w:tcPr>
            <w:tcW w:w="4700" w:type="dxa"/>
            <w:vAlign w:val="bottom"/>
            <w:gridSpan w:val="15"/>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20" w:type="dxa"/>
            <w:vAlign w:val="bottom"/>
          </w:tcPr>
          <w:p>
            <w:pPr>
              <w:spacing w:after="0"/>
              <w:rPr>
                <w:sz w:val="22"/>
                <w:szCs w:val="22"/>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6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26</w:t>
            </w:r>
          </w:p>
        </w:tc>
      </w:tr>
      <w:tr>
        <w:trPr>
          <w:trHeight w:val="425"/>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27</w:t>
            </w:r>
          </w:p>
        </w:tc>
      </w:tr>
      <w:tr>
        <w:trPr>
          <w:trHeight w:val="1040"/>
        </w:trPr>
        <w:tc>
          <w:tcPr>
            <w:tcW w:w="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Our actual results or outcomes may differ materially from those anticipated.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spacing w:after="0" w:line="3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This summary should be read in conjunction with the more complete discussion of the risk factors we face, which are set forth under Part I, Item 1A, “Risk Factors” in our Annual Report on Form 10-K for the year ended December 31, 2021 (our "Annual Report") as filed with the Securities and Exchange Commission (the “SEC”), as such risk factors may be updated from time to time in our periodic filings with the SEC, which are accessible on the SEC’s website at www.sec.gov. Such risks and uncertainties include, but are not limited to, the following:</w:t>
      </w:r>
    </w:p>
    <w:p>
      <w:pPr>
        <w:spacing w:after="0" w:line="81" w:lineRule="exact"/>
        <w:rPr>
          <w:sz w:val="20"/>
          <w:szCs w:val="20"/>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key clients, and the loss of a key client could have an adverse effect on our business and results of operations;</w:t>
      </w:r>
    </w:p>
    <w:p>
      <w:pPr>
        <w:spacing w:after="0" w:line="117"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are typically one to three years in length with automatic renewal provisions, but certain contracts may provide for termination at the client's convenience with advance notice and may or may not include penalties or required payments in the event the termination right is exercised. Our clients may terminate contracts before completion or choose not to renew contracts, and our clients may be unable or unwilling to pay for services we performed. A loss of business or non-payment from significant clients could materially affect our results of operations;</w:t>
      </w:r>
    </w:p>
    <w:p>
      <w:pPr>
        <w:spacing w:after="0" w:line="71"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cost-effectively acquire new, high-growth clients, which would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security, including content monitoring and moderation services, is a large portion of our business. The long 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retaining and recruiting employees, any of which could have an adverse effect on our reputation, business, financial condition and results of operations;</w:t>
      </w:r>
    </w:p>
    <w:p>
      <w:pPr>
        <w:spacing w:after="0" w:line="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and results of operations;</w:t>
      </w:r>
    </w:p>
    <w:p>
      <w:pPr>
        <w:spacing w:after="0" w:line="67"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especially in the social media and meal delivery and transport industries from which we generate significant revenue, could adversely affect our business, results of operations, financial condition and prospects;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heavily dependent upon our international operations, particularly in the Philippines and India, and any disruption to those operations would adversely affect us;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U.S. federal and state, as well as international laws and regulations, including those regarding privacy and data security, and we or our clients may be subject to regulations related to the processing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certain types of sensitive and confidential information; any failure to comply with applicable privacy and data security laws and regulations could harm our business, results of operations and financial condition;</w:t>
      </w:r>
    </w:p>
    <w:p>
      <w:pPr>
        <w:spacing w:after="0" w:line="54" w:lineRule="exact"/>
        <w:rPr>
          <w:sz w:val="20"/>
          <w:szCs w:val="20"/>
          <w:color w:val="auto"/>
        </w:rPr>
      </w:pPr>
    </w:p>
    <w:p>
      <w:pPr>
        <w:jc w:val="both"/>
        <w:ind w:left="500" w:hanging="492"/>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in part on our capacity to invest in technology as it develops, and substantial increases in the costs of technology and telecommunications services or our inability to attract and retain the necessary technologists could have a material adverse effect on our business, financial condition, results of operations and prospects;</w:t>
      </w:r>
    </w:p>
    <w:p>
      <w:pPr>
        <w:spacing w:after="0" w:line="67"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ability to grow could be materially affected if we cannot adapt our services and solutions to changes in technology and client expectations;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against the U.S. dollar in the local currencies in the countries in which we operate could have a material effect on our results of operations;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a strong brand and corporate reputation, and if we are not able to maintain and enhance our brand, our ability to expand our client base will be impaired and our business and operating results will be adversely affected;</w:t>
      </w:r>
    </w:p>
    <w:p>
      <w:pPr>
        <w:spacing w:after="0" w:line="5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pressure may reduce our revenue or gross profits and adversely affect our financial results;</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senior management and key employees;</w:t>
      </w:r>
    </w:p>
    <w:p>
      <w:pPr>
        <w:spacing w:after="0" w:line="117"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including the resulting global economic uncertainty and measures taken in response to the pandemic, has adversely impacted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 of Blackstone Inc. and our Co-Founders Bryce Maddock and Jaspar Weir control us and their interests may conflict with ours or yours in the future;</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those stockholders who held our common stock prior to the completion of our June 2021 initial public offering ("IPO"), and it may depress the trading price of our Class A common stock; and</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our Class A common stock has been, and may continue to be, volatile and may decline regardless of our operating performance, which could cause the value of your investment to decline.</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foregoing summary together with the risks discussed under “Risk Factors” in the Annual Report and in Part I, Item 2. Management’s Discussion and Analysis of Financial Condition and Results of Operations in this Quarterly Report.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use our website and our social media outlets, such as Facebook, Instagram, YouTube, LinkedIn, and Twitter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youtube.com/c/Taskus/, and its Twitter account at twitter.com/taskus.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website at ir.taskus.com. The contents of our website and social media channels are not, however, a part of this Quarterly Report.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39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2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77,074</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63,584</w:t>
            </w:r>
          </w:p>
        </w:tc>
        <w:tc>
          <w:tcPr>
            <w:tcW w:w="0" w:type="dxa"/>
            <w:vAlign w:val="bottom"/>
          </w:tcPr>
          <w:p>
            <w:pPr>
              <w:spacing w:after="0"/>
              <w:rPr>
                <w:sz w:val="1"/>
                <w:szCs w:val="1"/>
                <w:color w:val="auto"/>
              </w:rPr>
            </w:pPr>
          </w:p>
        </w:tc>
      </w:tr>
      <w:tr>
        <w:trPr>
          <w:trHeight w:val="165"/>
        </w:trPr>
        <w:tc>
          <w:tcPr>
            <w:tcW w:w="82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 for doubtful accounts of $2,298 and $1,819, as of March 31, 2022 and December 31,</w:t>
            </w: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162,895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2021, respectively</w:t>
            </w: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receivables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10,939</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 receivable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268,010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246,306</w:t>
            </w: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80,046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221,448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195,735</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506,755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503,692</w:t>
            </w:r>
          </w:p>
        </w:tc>
        <w:tc>
          <w:tcPr>
            <w:tcW w:w="0" w:type="dxa"/>
            <w:vAlign w:val="bottom"/>
          </w:tcPr>
          <w:p>
            <w:pPr>
              <w:spacing w:after="0"/>
              <w:rPr>
                <w:sz w:val="1"/>
                <w:szCs w:val="1"/>
                <w:color w:val="auto"/>
              </w:rPr>
            </w:pPr>
          </w:p>
        </w:tc>
      </w:tr>
      <w:tr>
        <w:trPr>
          <w:trHeight w:val="212"/>
        </w:trPr>
        <w:tc>
          <w:tcPr>
            <w:tcW w:w="82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774,765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749,998</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80" w:type="dxa"/>
            <w:vAlign w:val="bottom"/>
            <w:shd w:val="clear" w:color="auto" w:fill="CCEEFF"/>
          </w:tcPr>
          <w:p>
            <w:pPr>
              <w:ind w:left="288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39,774</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payroll and employee-related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36,670</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Current portion of debt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Current portion of income tax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rent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135,639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135,941</w:t>
            </w: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Noncurrent liabilities: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payable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187,240</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rent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payroll and employee-related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40,235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40,235</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232,026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234,923</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367,665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370,864</w:t>
            </w: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8)</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2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Class A Common stock, $0.01 par value. Authorized 2,500,000,000; 27,523,669 and 27,431,264 shares issued and</w:t>
            </w: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outstanding as of March 31, 2022 and December 31, 2021, respectively</w:t>
            </w: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Class B Convertible Common stock, $0.01 par value. Authorized 250,000,000; 70,032,694 shares issued and outstanding</w:t>
            </w: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3"/>
        </w:trPr>
        <w:tc>
          <w:tcPr>
            <w:tcW w:w="8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as of March 31, 2022 and December 31, 2021</w:t>
            </w: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556,418</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(176,096)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407,100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379,134</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774,765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749,998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152,871</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services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88,030</w:t>
            </w: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31,498</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w:t>
            </w: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4,712</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7"/>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130,470</w:t>
            </w:r>
          </w:p>
        </w:tc>
      </w:tr>
      <w:tr>
        <w:trPr>
          <w:trHeight w:val="21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22,401</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r>
      <w:tr>
        <w:trPr>
          <w:trHeight w:val="207"/>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20,066</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r>
      <w:tr>
        <w:trPr>
          <w:trHeight w:val="212"/>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16,507</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97,481,412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91,737,020</w:t>
            </w:r>
          </w:p>
        </w:tc>
      </w:tr>
      <w:tr>
        <w:trPr>
          <w:trHeight w:val="210"/>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104,122,026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91,737,020</w:t>
            </w: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16,507</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benefit reserves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207"/>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15,652</w:t>
            </w:r>
          </w:p>
        </w:tc>
      </w:tr>
    </w:tbl>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Shareholders’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data)</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line="301" w:lineRule="auto"/>
        <w:rPr>
          <w:sz w:val="20"/>
          <w:szCs w:val="20"/>
          <w:color w:val="auto"/>
        </w:rPr>
      </w:pPr>
      <w:r>
        <w:rPr>
          <w:rFonts w:ascii="Times New Roman" w:cs="Times New Roman" w:eastAsia="Times New Roman" w:hAnsi="Times New Roman"/>
          <w:sz w:val="14"/>
          <w:szCs w:val="14"/>
          <w:color w:val="auto"/>
        </w:rPr>
        <w:t>Balance as of December 31, 2020 Net income</w:t>
      </w:r>
    </w:p>
    <w:p>
      <w:pPr>
        <w:spacing w:after="0" w:line="1" w:lineRule="exact"/>
        <w:rPr>
          <w:sz w:val="20"/>
          <w:szCs w:val="20"/>
          <w:color w:val="auto"/>
        </w:rPr>
      </w:pPr>
    </w:p>
    <w:p>
      <w:pPr>
        <w:ind w:left="20" w:right="200"/>
        <w:spacing w:after="0" w:line="342" w:lineRule="auto"/>
        <w:rPr>
          <w:sz w:val="20"/>
          <w:szCs w:val="20"/>
          <w:color w:val="auto"/>
        </w:rPr>
      </w:pPr>
      <w:r>
        <w:rPr>
          <w:rFonts w:ascii="Times New Roman" w:cs="Times New Roman" w:eastAsia="Times New Roman" w:hAnsi="Times New Roman"/>
          <w:sz w:val="14"/>
          <w:szCs w:val="14"/>
          <w:color w:val="auto"/>
        </w:rPr>
        <w:t>Other comprehensive loss Balance as of March 31, 2021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Capital stock and additional paid-in capital</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92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92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920" w:type="dxa"/>
            <w:vAlign w:val="bottom"/>
            <w:gridSpan w:val="5"/>
            <w:vMerge w:val="continue"/>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18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10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9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91,737,020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398,202</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(67,398)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335,137</w:t>
            </w:r>
          </w:p>
        </w:tc>
        <w:tc>
          <w:tcPr>
            <w:tcW w:w="0" w:type="dxa"/>
            <w:vAlign w:val="bottom"/>
          </w:tcPr>
          <w:p>
            <w:pPr>
              <w:spacing w:after="0"/>
              <w:rPr>
                <w:sz w:val="1"/>
                <w:szCs w:val="1"/>
                <w:color w:val="auto"/>
              </w:rPr>
            </w:pPr>
          </w:p>
        </w:tc>
      </w:tr>
      <w:tr>
        <w:trPr>
          <w:trHeight w:val="193"/>
        </w:trPr>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16,507</w:t>
            </w:r>
          </w:p>
        </w:tc>
        <w:tc>
          <w:tcPr>
            <w:tcW w:w="0" w:type="dxa"/>
            <w:vAlign w:val="bottom"/>
          </w:tcPr>
          <w:p>
            <w:pPr>
              <w:spacing w:after="0"/>
              <w:rPr>
                <w:sz w:val="1"/>
                <w:szCs w:val="1"/>
                <w:color w:val="auto"/>
              </w:rPr>
            </w:pPr>
          </w:p>
        </w:tc>
      </w:tr>
      <w:tr>
        <w:trPr>
          <w:trHeight w:val="203"/>
        </w:trPr>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0" w:type="dxa"/>
            <w:vAlign w:val="bottom"/>
          </w:tcPr>
          <w:p>
            <w:pPr>
              <w:spacing w:after="0"/>
              <w:rPr>
                <w:sz w:val="1"/>
                <w:szCs w:val="1"/>
                <w:color w:val="auto"/>
              </w:rPr>
            </w:pPr>
          </w:p>
        </w:tc>
      </w:tr>
      <w:tr>
        <w:trPr>
          <w:trHeight w:val="23"/>
        </w:trPr>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91,737,020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398,202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(50,891)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350,789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-539115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-273685</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1960" w:space="200"/>
            <w:col w:w="9080"/>
          </w:cols>
          <w:pgMar w:left="320" w:top="117" w:right="339" w:bottom="1440" w:gutter="0" w:footer="0" w:header="0"/>
          <w:type w:val="continuous"/>
        </w:sectPr>
      </w:pP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Capital stock and additional paid-in capital</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2140" w:type="dxa"/>
            <w:vAlign w:val="bottom"/>
          </w:tcPr>
          <w:p>
            <w:pPr>
              <w:spacing w:after="0"/>
              <w:rPr>
                <w:sz w:val="12"/>
                <w:szCs w:val="12"/>
                <w:color w:val="auto"/>
              </w:rPr>
            </w:pPr>
          </w:p>
        </w:tc>
        <w:tc>
          <w:tcPr>
            <w:tcW w:w="19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94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140" w:type="dxa"/>
            <w:vAlign w:val="bottom"/>
          </w:tcPr>
          <w:p>
            <w:pPr>
              <w:spacing w:after="0"/>
              <w:rPr>
                <w:sz w:val="9"/>
                <w:szCs w:val="9"/>
                <w:color w:val="auto"/>
              </w:rPr>
            </w:pPr>
          </w:p>
        </w:tc>
        <w:tc>
          <w:tcPr>
            <w:tcW w:w="1940" w:type="dxa"/>
            <w:vAlign w:val="bottom"/>
            <w:gridSpan w:val="5"/>
            <w:vMerge w:val="continue"/>
          </w:tcPr>
          <w:p>
            <w:pPr>
              <w:spacing w:after="0"/>
              <w:rPr>
                <w:sz w:val="9"/>
                <w:szCs w:val="9"/>
                <w:color w:val="auto"/>
              </w:rPr>
            </w:pPr>
          </w:p>
        </w:tc>
        <w:tc>
          <w:tcPr>
            <w:tcW w:w="1940" w:type="dxa"/>
            <w:vAlign w:val="bottom"/>
            <w:gridSpan w:val="6"/>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18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10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27,431,264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70,032,694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556,418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(176,096)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(2,163)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379,134</w:t>
            </w:r>
          </w:p>
        </w:tc>
        <w:tc>
          <w:tcPr>
            <w:tcW w:w="0" w:type="dxa"/>
            <w:vAlign w:val="bottom"/>
          </w:tcPr>
          <w:p>
            <w:pPr>
              <w:spacing w:after="0"/>
              <w:rPr>
                <w:sz w:val="1"/>
                <w:szCs w:val="1"/>
                <w:color w:val="auto"/>
              </w:rPr>
            </w:pPr>
          </w:p>
        </w:tc>
      </w:tr>
      <w:tr>
        <w:trPr>
          <w:trHeight w:val="135"/>
        </w:trPr>
        <w:tc>
          <w:tcPr>
            <w:tcW w:w="2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137,794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settlement of RSUs</w:t>
            </w: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w:t>
            </w: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19,605</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11,586</w:t>
            </w:r>
          </w:p>
        </w:tc>
        <w:tc>
          <w:tcPr>
            <w:tcW w:w="0" w:type="dxa"/>
            <w:vAlign w:val="bottom"/>
          </w:tcPr>
          <w:p>
            <w:pPr>
              <w:spacing w:after="0"/>
              <w:rPr>
                <w:sz w:val="1"/>
                <w:szCs w:val="1"/>
                <w:color w:val="auto"/>
              </w:rPr>
            </w:pPr>
          </w:p>
        </w:tc>
      </w:tr>
      <w:tr>
        <w:trPr>
          <w:trHeight w:val="196"/>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(1,756)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0" w:type="dxa"/>
            <w:vAlign w:val="bottom"/>
          </w:tcPr>
          <w:p>
            <w:pPr>
              <w:spacing w:after="0"/>
              <w:rPr>
                <w:sz w:val="1"/>
                <w:szCs w:val="1"/>
                <w:color w:val="auto"/>
              </w:rPr>
            </w:pPr>
          </w:p>
        </w:tc>
      </w:tr>
      <w:tr>
        <w:trPr>
          <w:trHeight w:val="221"/>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27,523,669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70,032,694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574,554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(3,919)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407,100</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11,586</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16,507</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6,203</w:t>
            </w:r>
          </w:p>
        </w:tc>
      </w:tr>
      <w:tr>
        <w:trPr>
          <w:trHeight w:val="219"/>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4,712</w:t>
            </w:r>
          </w:p>
        </w:tc>
      </w:tr>
      <w:tr>
        <w:trPr>
          <w:trHeight w:val="213"/>
        </w:trPr>
        <w:tc>
          <w:tcPr>
            <w:tcW w:w="8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of debt financing fees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9"/>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8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19"/>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Unrealized foreign exchange losses on forward contracts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r>
      <w:tr>
        <w:trPr>
          <w:trHeight w:val="213"/>
        </w:trPr>
        <w:tc>
          <w:tcPr>
            <w:tcW w:w="8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w:t>
            </w:r>
          </w:p>
        </w:tc>
      </w:tr>
      <w:tr>
        <w:trPr>
          <w:trHeight w:val="213"/>
        </w:trPr>
        <w:tc>
          <w:tcPr>
            <w:tcW w:w="82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Other receivables, prepaid expenses, and other current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w:t>
            </w:r>
          </w:p>
        </w:tc>
      </w:tr>
      <w:tr>
        <w:trPr>
          <w:trHeight w:val="219"/>
        </w:trPr>
        <w:tc>
          <w:tcPr>
            <w:tcW w:w="8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Other noncurrent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3"/>
        </w:trPr>
        <w:tc>
          <w:tcPr>
            <w:tcW w:w="82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19"/>
        </w:trPr>
        <w:tc>
          <w:tcPr>
            <w:tcW w:w="8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Accrued payroll and employee-related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8,755</w:t>
            </w:r>
          </w:p>
        </w:tc>
      </w:tr>
      <w:tr>
        <w:trPr>
          <w:trHeight w:val="213"/>
        </w:trPr>
        <w:tc>
          <w:tcPr>
            <w:tcW w:w="82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Income tax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5,037</w:t>
            </w:r>
          </w:p>
        </w:tc>
      </w:tr>
      <w:tr>
        <w:trPr>
          <w:trHeight w:val="219"/>
        </w:trPr>
        <w:tc>
          <w:tcPr>
            <w:tcW w:w="8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213"/>
        </w:trPr>
        <w:tc>
          <w:tcPr>
            <w:tcW w:w="824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6"/>
                <w:szCs w:val="16"/>
                <w:color w:val="auto"/>
              </w:rPr>
              <w:t>Deferred rent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12"/>
        </w:trPr>
        <w:tc>
          <w:tcPr>
            <w:tcW w:w="82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39,922</w:t>
            </w: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(10,127)</w:t>
            </w:r>
          </w:p>
        </w:tc>
      </w:tr>
      <w:tr>
        <w:trPr>
          <w:trHeight w:val="207"/>
        </w:trPr>
        <w:tc>
          <w:tcPr>
            <w:tcW w:w="8240" w:type="dxa"/>
            <w:vAlign w:val="bottom"/>
            <w:tcBorders>
              <w:bottom w:val="single" w:sz="8" w:color="CCEEFF"/>
            </w:tcBorders>
          </w:tcPr>
          <w:p>
            <w:pPr>
              <w:ind w:left="1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(10,127)</w:t>
            </w:r>
          </w:p>
        </w:tc>
      </w:tr>
      <w:tr>
        <w:trPr>
          <w:trHeight w:val="19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w:t>
            </w:r>
          </w:p>
        </w:tc>
      </w:tr>
      <w:tr>
        <w:trPr>
          <w:trHeight w:val="23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taxes related to net share settlement</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8240" w:type="dxa"/>
            <w:vAlign w:val="bottom"/>
            <w:tcBorders>
              <w:bottom w:val="single" w:sz="8" w:color="CCEEFF"/>
            </w:tcBorders>
          </w:tcPr>
          <w:p>
            <w:pPr>
              <w:ind w:left="14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w:t>
            </w:r>
          </w:p>
        </w:tc>
      </w:tr>
      <w:tr>
        <w:trPr>
          <w:trHeight w:val="212"/>
        </w:trPr>
        <w:tc>
          <w:tcPr>
            <w:tcW w:w="82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28,482</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107,728</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77,074</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135,493</w:t>
            </w:r>
          </w:p>
        </w:tc>
      </w:tr>
      <w:tr>
        <w:trPr>
          <w:trHeight w:val="23"/>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 Description of Business and Organization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TaskUs, Inc. (“TaskUs” and,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provides digital outsourced services, focused on serving high-growth technology companies to represent, protect and grow their brands. The Company's global, omni-channel delivery model is focused on Digital Customer Experience, Content Security and Artificial Intelligence (AI) Services (formerly known as AI Operations). The Company has designed its platform to enable it to rapidly scale and benefit from its clients’ growth. Through its agile and responsive operational model, the Company delivers services from multiple delivery sites that span globally from the United States, Philippines, and other parts of the world.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major service offerings are described in more detail below:</w:t>
      </w:r>
    </w:p>
    <w:p>
      <w:pPr>
        <w:spacing w:after="0" w:line="115" w:lineRule="exact"/>
        <w:rPr>
          <w:sz w:val="20"/>
          <w:szCs w:val="20"/>
          <w:color w:val="auto"/>
        </w:rPr>
      </w:pPr>
    </w:p>
    <w:p>
      <w:pPr>
        <w:ind w:left="820" w:hanging="326"/>
        <w:spacing w:after="0" w:line="284" w:lineRule="auto"/>
        <w:tabs>
          <w:tab w:leader="none" w:pos="815" w:val="left"/>
        </w:tabs>
        <w:numPr>
          <w:ilvl w:val="2"/>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Digital Customer Experience</w:t>
      </w:r>
      <w:r>
        <w:rPr>
          <w:rFonts w:ascii="Times New Roman" w:cs="Times New Roman" w:eastAsia="Times New Roman" w:hAnsi="Times New Roman"/>
          <w:sz w:val="18"/>
          <w:szCs w:val="18"/>
          <w:color w:val="auto"/>
        </w:rPr>
        <w:t>: Principally consists of omni-channel customer care services primarily delivered through digital (non-voice)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channels.</w:t>
      </w:r>
    </w:p>
    <w:p>
      <w:pPr>
        <w:spacing w:after="0" w:line="50" w:lineRule="exact"/>
        <w:rPr>
          <w:rFonts w:ascii="Times New Roman" w:cs="Times New Roman" w:eastAsia="Times New Roman" w:hAnsi="Times New Roman"/>
          <w:sz w:val="18"/>
          <w:szCs w:val="18"/>
          <w:i w:val="1"/>
          <w:iCs w:val="1"/>
          <w:color w:val="auto"/>
        </w:rPr>
      </w:pPr>
    </w:p>
    <w:p>
      <w:pPr>
        <w:ind w:left="820" w:hanging="326"/>
        <w:spacing w:after="0" w:line="284" w:lineRule="auto"/>
        <w:tabs>
          <w:tab w:leader="none" w:pos="815"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Content Security</w:t>
      </w:r>
      <w:r>
        <w:rPr>
          <w:rFonts w:ascii="Times New Roman" w:cs="Times New Roman" w:eastAsia="Times New Roman" w:hAnsi="Times New Roman"/>
          <w:sz w:val="18"/>
          <w:szCs w:val="18"/>
          <w:color w:val="auto"/>
        </w:rPr>
        <w:t>: Principally consists of review and disposition of user and advertiser generated content for purposes which include removal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labeling of policy violating, offensive or misleading content.</w:t>
      </w:r>
    </w:p>
    <w:p>
      <w:pPr>
        <w:spacing w:after="0" w:line="50" w:lineRule="exact"/>
        <w:rPr>
          <w:rFonts w:ascii="Times New Roman" w:cs="Times New Roman" w:eastAsia="Times New Roman" w:hAnsi="Times New Roman"/>
          <w:sz w:val="18"/>
          <w:szCs w:val="18"/>
          <w:color w:val="auto"/>
        </w:rPr>
      </w:pPr>
    </w:p>
    <w:p>
      <w:pPr>
        <w:ind w:left="820" w:right="20" w:hanging="326"/>
        <w:spacing w:after="0" w:line="284" w:lineRule="auto"/>
        <w:tabs>
          <w:tab w:leader="none" w:pos="815"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Services</w:t>
      </w:r>
      <w:r>
        <w:rPr>
          <w:rFonts w:ascii="Times New Roman" w:cs="Times New Roman" w:eastAsia="Times New Roman" w:hAnsi="Times New Roman"/>
          <w:sz w:val="18"/>
          <w:szCs w:val="18"/>
          <w:color w:val="auto"/>
        </w:rPr>
        <w:t>: Principally consists of data labeling, annotation and transcription services performed for the purpose of training and tuning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algorithms through the process of machine learning.</w:t>
      </w:r>
    </w:p>
    <w:p>
      <w:pPr>
        <w:spacing w:after="0" w:line="26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420" w:hanging="250"/>
        <w:spacing w:after="0"/>
        <w:tabs>
          <w:tab w:leader="none" w:pos="420"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accounting and reporting policies of the Company are in accordance with accounting principles generally accepted in the United States of America (“US GAAP”). Our Annual Report on Form 10-K for the year ended December 31, 2021 (the "Annual Report"), as filed with the Securities and Exchange Commission (the “SEC”), includes a discussion of the significant accounting policies used in the preparation of our consolidated financial statements. There were no material changes to our significant accounting policies during the three months ended March 31, 2022.</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2021 included in the Annual Report. In the opinion of the Company, the accompanying unaudited condensed consolidated financial statements contain all adjustments, consisting of only normal recurring adjustments, necessary for a fair statement of its financial position as of March 31, 2022 and its results of operations, comprehensive income (loss) and shareholders’ equity for the three months ended March 31, 2022 and 2021, and cash flows for the three months ended March 31, 2022 and 2021. The condensed consolidated balance sheet as of December 31, 2021, was derived from audited annual financial statements but does not contain all of the footnote disclosures from the annual financial statements.</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Company’s June 2021 initial public offering (“IPO”), on June 10, 2021, the Company amended and restated its certificate of incorporation to effect a ten-for-one forward stock split of its outstanding common stock and authorized two classes of ownership interests. The accompanying financial statements and related notes to the financial statements give retroactive effect to the stock split for all periods presented.</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doubtful accounts and other receivables; the valuation of deferred tax assets; valuation of foreign currency exchange rate forward contracts; valuation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valuation and impairment of intangibles and goodwill and reserves for income tax uncertainties and other contingencies.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2022, the impact of the novel coronavirus (“COVID-19”) pandemic, including as a result of new strains and variants of the virus and uncertainty of acceptance of vaccines and their effectiveness, continues to unfold. As a result, many of our estimates and assumptions required increased judgement and carry a higher degree of variability and volatility. We continue to closely monitor the outbreak and the impact on our operations and liquidity. As events continue to evolve and additional information becomes available, our estimates may change materially in the future.</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 Principles of Consolidation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All significant intercompany balances and transactions have been eliminated in consolidation. The Company has no involvement with variable interest entities.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 Concentration Risk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Most of the Company’s clients are located in the United States. Clients outside of the United States are concentrated in Europe and Canada.</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months ended March 31, 2022 and 2021, the following clients represented greater than 10% of the Company’s service revenue:</w:t>
      </w:r>
    </w:p>
    <w:p>
      <w:pPr>
        <w:spacing w:after="0" w:line="165" w:lineRule="exact"/>
        <w:rPr>
          <w:sz w:val="20"/>
          <w:szCs w:val="20"/>
          <w:color w:val="auto"/>
        </w:rPr>
      </w:pPr>
    </w:p>
    <w:tbl>
      <w:tblPr>
        <w:tblLayout w:type="fixed"/>
        <w:tblInd w:w="304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3"/>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Service revenue percentage</w:t>
            </w:r>
          </w:p>
        </w:tc>
      </w:tr>
      <w:tr>
        <w:trPr>
          <w:trHeight w:val="23"/>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Borders>
              <w:bottom w:val="single" w:sz="8" w:color="auto"/>
            </w:tcBorders>
            <w:gridSpan w:val="3"/>
          </w:tcPr>
          <w:p>
            <w:pPr>
              <w:spacing w:after="0"/>
              <w:rPr>
                <w:sz w:val="2"/>
                <w:szCs w:val="2"/>
                <w:color w:val="auto"/>
              </w:rPr>
            </w:pPr>
          </w:p>
        </w:tc>
      </w:tr>
      <w:tr>
        <w:trPr>
          <w:trHeight w:val="190"/>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10"/>
        </w:trPr>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3"/>
              </w:rPr>
              <w:t>B</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bl>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2022 and December 31, 2021, the following clients represented greater than 10% of the Company’s accounts receivable:</w:t>
      </w:r>
    </w:p>
    <w:p>
      <w:pPr>
        <w:spacing w:after="0" w:line="151" w:lineRule="exact"/>
        <w:rPr>
          <w:sz w:val="20"/>
          <w:szCs w:val="20"/>
          <w:color w:val="auto"/>
        </w:rPr>
      </w:pPr>
    </w:p>
    <w:tbl>
      <w:tblPr>
        <w:tblLayout w:type="fixed"/>
        <w:tblInd w:w="304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3"/>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Accounts receivable percentage</w:t>
            </w:r>
          </w:p>
        </w:tc>
        <w:tc>
          <w:tcPr>
            <w:tcW w:w="0" w:type="dxa"/>
            <w:vAlign w:val="bottom"/>
          </w:tcPr>
          <w:p>
            <w:pPr>
              <w:spacing w:after="0"/>
              <w:rPr>
                <w:sz w:val="1"/>
                <w:szCs w:val="1"/>
                <w:color w:val="auto"/>
              </w:rPr>
            </w:pPr>
          </w:p>
        </w:tc>
      </w:tr>
      <w:tr>
        <w:trPr>
          <w:trHeight w:val="23"/>
        </w:trPr>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40" w:type="dxa"/>
            <w:vAlign w:val="bottom"/>
            <w:gridSpan w:val="2"/>
            <w:vMerge w:val="continue"/>
          </w:tcPr>
          <w:p>
            <w:pPr>
              <w:spacing w:after="0"/>
              <w:rPr>
                <w:sz w:val="16"/>
                <w:szCs w:val="16"/>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5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6"/>
        </w:trPr>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3"/>
        </w:trPr>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3"/>
              </w:rPr>
              <w:t>B</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Less than 10%</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3"/>
              </w:rPr>
              <w:t>C</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Less than 10%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principal operations, including the majority of its employees and the fixed assets owned by its wholly owned subsidiaries, are located in the Philippines.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 Recent Accounting Pronouncements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February 2016, the Financial Accounting Standards Board (the "FASB") issued Accounting Standards Update ("ASU") ASU 2016-02, Leases (Topic 842), which supersedes FASB Accounting Standards Codification ("ASC"), Leases (Topic 840). The standard is intended to increase the transparency and comparability among organizations by recognizing lease assets and lease liabilities on the balance sheet and disclosing key information about leasing arrangements. In June 2020, the FASB postponed the effective date for ASC 842 for private companies. This ASU will be effective for the Company beginning in fiscal year 2022, with early adoption permitted. The Company plans to adopt this standard during 2022, using the modified retrospective method and the effective date as the date of initial application. The Company currently expects to recognize right-of-use assets and lease liabilities of approximately $43 million to $51 million to the consolidated balance sheet. The Company expects to elect the "package of practical expedients," which permits the Company not to reassess under ASC842 any prior conclusions about lease identification, lease classification and initial direct costs. The Company does not expect to apply the short-term lease exception and will therefore recognize a right-of-use asset and lease liability for all leases. The Company does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 expect adoption of the lease standard to have a material impact on the consolidated statement of operations nor on its consolidated cash flow statements.</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Instruments—Credit Losses (Topic 326): Measurement of Credit Losses on Financial Instruments. The revised standard relates to measurement of credit losses on financial instruments, and requires financial assets measured at amortized cost to be presented at the net amount expected to be collected. The guidance replaces the incurred loss model with an expected loss model referred to as current expected credit loss ("CECL"). The CECL model requires us to measure lifetime expected credit losses for financial instruments held at the reporting date using historical experience, current conditions and reasonable supportable forecasts. The guidance expands the disclosure requirements regarding an entity’s assumptions, models, and methods for estimating credit losses and requires new disclosures of the amortized cost balance for each class of financial asset by credit quality indicator, disaggregated by the year of origination. This ASU will be effective for the Company beginning in fiscal year 2023 with early adoption permitted. The Company is currently evaluating the impact of adopting ASU 2016-13 on the Company’s consolidated financial statements.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revenues are derived from contracts with customers related to business outsourcing services that it provides. The following table presents the breakdown of the Company’s revenues by service offering: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Digital Customer Experience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159,731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99,711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Content Security</w:t>
            </w: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45,852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AI Services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34,097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17,033</w:t>
            </w:r>
          </w:p>
        </w:tc>
        <w:tc>
          <w:tcPr>
            <w:tcW w:w="0" w:type="dxa"/>
            <w:vAlign w:val="bottom"/>
          </w:tcPr>
          <w:p>
            <w:pPr>
              <w:spacing w:after="0"/>
              <w:rPr>
                <w:sz w:val="1"/>
                <w:szCs w:val="1"/>
                <w:color w:val="auto"/>
              </w:rPr>
            </w:pPr>
          </w:p>
        </w:tc>
      </w:tr>
      <w:tr>
        <w:trPr>
          <w:trHeight w:val="207"/>
        </w:trPr>
        <w:tc>
          <w:tcPr>
            <w:tcW w:w="8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239,680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152,871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120,080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84,578</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79,131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50,757</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40,469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17,536</w:t>
            </w:r>
          </w:p>
        </w:tc>
        <w:tc>
          <w:tcPr>
            <w:tcW w:w="0" w:type="dxa"/>
            <w:vAlign w:val="bottom"/>
          </w:tcPr>
          <w:p>
            <w:pPr>
              <w:spacing w:after="0"/>
              <w:rPr>
                <w:sz w:val="1"/>
                <w:szCs w:val="1"/>
                <w:color w:val="auto"/>
              </w:rPr>
            </w:pPr>
          </w:p>
        </w:tc>
      </w:tr>
      <w:tr>
        <w:trPr>
          <w:trHeight w:val="207"/>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239,680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152,871</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Accounts receivable, net of allowance for doubtful accounts includes $89.4 million and $75.5 million of unbilled revenues as of March 31, 2022 and December 31, 2021, respectively.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 Forward Contracts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transacts business in various foreign currencies and has international sales and expenses denominated in foreign currencies, subjecting the Company to foreign currency exchange rate risk. During 2022 and 2021, the Company entered into foreign currency exchange rate forward contracts, with two commercial banks as the counterparties, with maturities of generally 12 months or less, to reduce the volatility of cash flows primarily related to forecasted costs denominated in Philippine pesos. 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expense in the consolidated statements of operations. The forward contract payable resulting from changes in fair value was recorded under accounts payable and accrued liabilities.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settled forward contracts and realized and unrealized losses (gains) associated with our derivative contracts: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notional amount of settled forward contracts</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40,382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22,800</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Realized losses (gains) from settlement of forward contracts</w:t>
            </w:r>
          </w:p>
        </w:tc>
        <w:tc>
          <w:tcPr>
            <w:tcW w:w="900" w:type="dxa"/>
            <w:vAlign w:val="bottom"/>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80" w:type="dxa"/>
            <w:vAlign w:val="bottom"/>
          </w:tcPr>
          <w:p>
            <w:pPr>
              <w:spacing w:after="0"/>
              <w:rPr>
                <w:sz w:val="18"/>
                <w:szCs w:val="18"/>
                <w:color w:val="auto"/>
              </w:rPr>
            </w:pP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losses on forward contracts</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outstanding forward contracts: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6"/>
                <w:szCs w:val="16"/>
                <w:color w:val="auto"/>
              </w:rPr>
            </w:pPr>
          </w:p>
        </w:tc>
        <w:tc>
          <w:tcPr>
            <w:tcW w:w="132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notional amount of outstanding forward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152,980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127,200</w:t>
            </w: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implemented the fair value accounting standard for those assets and liabilities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spacing w:after="0" w:line="6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 March 31, 2022 and December 31, 2021 and indicates the fair value hierarchy of the valuation techniques utilized to determine such fair value: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1"/>
                <w:szCs w:val="11"/>
                <w:color w:val="auto"/>
              </w:rPr>
            </w:pPr>
          </w:p>
        </w:tc>
        <w:tc>
          <w:tcPr>
            <w:tcW w:w="1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1"/>
                <w:szCs w:val="11"/>
                <w:color w:val="auto"/>
              </w:rPr>
            </w:pPr>
          </w:p>
        </w:tc>
        <w:tc>
          <w:tcPr>
            <w:tcW w:w="122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1"/>
                <w:szCs w:val="11"/>
                <w:color w:val="auto"/>
              </w:rPr>
            </w:pPr>
          </w:p>
        </w:tc>
        <w:tc>
          <w:tcPr>
            <w:tcW w:w="12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1"/>
                <w:szCs w:val="11"/>
                <w:color w:val="auto"/>
              </w:rPr>
            </w:pPr>
          </w:p>
        </w:tc>
        <w:tc>
          <w:tcPr>
            <w:tcW w:w="1140" w:type="dxa"/>
            <w:vAlign w:val="bottom"/>
          </w:tcPr>
          <w:p>
            <w:pPr>
              <w:jc w:val="center"/>
              <w:ind w:right="225"/>
              <w:spacing w:after="0" w:line="13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5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6"/>
                <w:szCs w:val="16"/>
                <w:color w:val="auto"/>
              </w:rPr>
            </w:pPr>
          </w:p>
        </w:tc>
        <w:tc>
          <w:tcPr>
            <w:tcW w:w="114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14"/>
        </w:trPr>
        <w:tc>
          <w:tcPr>
            <w:tcW w:w="5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contracts payable</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3,552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9"/>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1"/>
                <w:szCs w:val="11"/>
                <w:color w:val="auto"/>
              </w:rPr>
            </w:pPr>
          </w:p>
        </w:tc>
        <w:tc>
          <w:tcPr>
            <w:tcW w:w="13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1"/>
                <w:szCs w:val="11"/>
                <w:color w:val="auto"/>
              </w:rPr>
            </w:pPr>
          </w:p>
        </w:tc>
        <w:tc>
          <w:tcPr>
            <w:tcW w:w="122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1"/>
                <w:szCs w:val="11"/>
                <w:color w:val="auto"/>
              </w:rPr>
            </w:pPr>
          </w:p>
        </w:tc>
        <w:tc>
          <w:tcPr>
            <w:tcW w:w="12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1"/>
                <w:szCs w:val="11"/>
                <w:color w:val="auto"/>
              </w:rPr>
            </w:pPr>
          </w:p>
        </w:tc>
        <w:tc>
          <w:tcPr>
            <w:tcW w:w="1140" w:type="dxa"/>
            <w:vAlign w:val="bottom"/>
          </w:tcPr>
          <w:p>
            <w:pPr>
              <w:jc w:val="center"/>
              <w:ind w:right="225"/>
              <w:spacing w:after="0" w:line="13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5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6"/>
                <w:szCs w:val="16"/>
                <w:color w:val="auto"/>
              </w:rPr>
            </w:pPr>
          </w:p>
        </w:tc>
        <w:tc>
          <w:tcPr>
            <w:tcW w:w="114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contracts payable</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2,793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pacing w:after="0" w:line="280" w:lineRule="exact"/>
        <w:rPr>
          <w:sz w:val="20"/>
          <w:szCs w:val="20"/>
          <w:color w:val="auto"/>
        </w:rPr>
      </w:pPr>
    </w:p>
    <w:p>
      <w:pPr>
        <w:ind w:left="520" w:hanging="188"/>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property and equipment, net as of March 31, 2022 and December 31, 2021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43,678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38,024</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 and computers</w:t>
            </w: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90,463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81,679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10,892</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8,585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8,405</w:t>
            </w:r>
          </w:p>
        </w:tc>
        <w:tc>
          <w:tcPr>
            <w:tcW w:w="0" w:type="dxa"/>
            <w:vAlign w:val="bottom"/>
          </w:tcPr>
          <w:p>
            <w:pPr>
              <w:spacing w:after="0"/>
              <w:rPr>
                <w:sz w:val="1"/>
                <w:szCs w:val="1"/>
                <w:color w:val="auto"/>
              </w:rPr>
            </w:pPr>
          </w:p>
        </w:tc>
      </w:tr>
      <w:tr>
        <w:trPr>
          <w:trHeight w:val="207"/>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26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159,419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143,814</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(63,768)</w:t>
            </w:r>
          </w:p>
        </w:tc>
        <w:tc>
          <w:tcPr>
            <w:tcW w:w="0" w:type="dxa"/>
            <w:vAlign w:val="bottom"/>
          </w:tcPr>
          <w:p>
            <w:pPr>
              <w:spacing w:after="0"/>
              <w:rPr>
                <w:sz w:val="1"/>
                <w:szCs w:val="1"/>
                <w:color w:val="auto"/>
              </w:rPr>
            </w:pPr>
          </w:p>
        </w:tc>
      </w:tr>
      <w:tr>
        <w:trPr>
          <w:trHeight w:val="207"/>
        </w:trPr>
        <w:tc>
          <w:tcPr>
            <w:tcW w:w="82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87,639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80,046</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Company’s principal operations are in the Philippines where the majority of property and equipment resides under its wholly owned subsidiaries. The table below presents the Company’s total property and equipment by geographic location as of March 31, 2022 and December 31, 2021: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50,223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49,825</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11,427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25,989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19,948</w:t>
            </w:r>
          </w:p>
        </w:tc>
        <w:tc>
          <w:tcPr>
            <w:tcW w:w="0" w:type="dxa"/>
            <w:vAlign w:val="bottom"/>
          </w:tcPr>
          <w:p>
            <w:pPr>
              <w:spacing w:after="0"/>
              <w:rPr>
                <w:sz w:val="1"/>
                <w:szCs w:val="1"/>
                <w:color w:val="auto"/>
              </w:rPr>
            </w:pPr>
          </w:p>
        </w:tc>
      </w:tr>
      <w:tr>
        <w:trPr>
          <w:trHeight w:val="207"/>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87,639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80,046</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520" w:hanging="188"/>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21" w:lineRule="exact"/>
        <w:rPr>
          <w:rFonts w:ascii="Times New Roman" w:cs="Times New Roman" w:eastAsia="Times New Roman" w:hAnsi="Times New Roman"/>
          <w:sz w:val="18"/>
          <w:szCs w:val="18"/>
          <w:b w:val="1"/>
          <w:bCs w:val="1"/>
          <w:color w:val="auto"/>
        </w:rPr>
      </w:pPr>
    </w:p>
    <w:p>
      <w:pPr>
        <w:jc w:val="both"/>
        <w:ind w:left="500" w:right="3540"/>
        <w:spacing w:after="0" w:line="41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carrying amount of goodwill as of March 31, 2022 and December 31, 2021 was $195.7 million. The components of intangible assets as of March 31, 2022 and December 31, 2021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200" w:type="dxa"/>
            <w:vAlign w:val="bottom"/>
            <w:vMerge w:val="restart"/>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Life</w:t>
            </w: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vMerge w:val="continue"/>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Intangibles,</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03"/>
              <w:spacing w:after="0" w:line="129" w:lineRule="exact"/>
              <w:rPr>
                <w:sz w:val="20"/>
                <w:szCs w:val="20"/>
                <w:color w:val="auto"/>
              </w:rPr>
            </w:pPr>
            <w:r>
              <w:rPr>
                <w:rFonts w:ascii="Times New Roman" w:cs="Times New Roman" w:eastAsia="Times New Roman" w:hAnsi="Times New Roman"/>
                <w:sz w:val="14"/>
                <w:szCs w:val="14"/>
                <w:b w:val="1"/>
                <w:bCs w:val="1"/>
                <w:color w:val="auto"/>
              </w:rPr>
              <w:t>Intangibles,</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Intangibles,</w:t>
            </w: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83"/>
              <w:spacing w:after="0" w:line="129" w:lineRule="exact"/>
              <w:rPr>
                <w:sz w:val="20"/>
                <w:szCs w:val="20"/>
                <w:color w:val="auto"/>
              </w:rPr>
            </w:pPr>
            <w:r>
              <w:rPr>
                <w:rFonts w:ascii="Times New Roman" w:cs="Times New Roman" w:eastAsia="Times New Roman" w:hAnsi="Times New Roman"/>
                <w:sz w:val="14"/>
                <w:szCs w:val="14"/>
                <w:b w:val="1"/>
                <w:bCs w:val="1"/>
                <w:color w:val="auto"/>
              </w:rPr>
              <w:t>Intangibles,</w:t>
            </w:r>
          </w:p>
        </w:tc>
        <w:tc>
          <w:tcPr>
            <w:tcW w:w="0" w:type="dxa"/>
            <w:vAlign w:val="bottom"/>
          </w:tcPr>
          <w:p>
            <w:pPr>
              <w:spacing w:after="0"/>
              <w:rPr>
                <w:sz w:val="1"/>
                <w:szCs w:val="1"/>
                <w:color w:val="auto"/>
              </w:rPr>
            </w:pPr>
          </w:p>
        </w:tc>
      </w:tr>
      <w:tr>
        <w:trPr>
          <w:trHeight w:val="196"/>
        </w:trPr>
        <w:tc>
          <w:tcPr>
            <w:tcW w:w="2040" w:type="dxa"/>
            <w:vAlign w:val="bottom"/>
            <w:vMerge w:val="continue"/>
          </w:tcPr>
          <w:p>
            <w:pPr>
              <w:spacing w:after="0"/>
              <w:rPr>
                <w:sz w:val="17"/>
                <w:szCs w:val="17"/>
                <w:color w:val="auto"/>
              </w:rPr>
            </w:pPr>
          </w:p>
        </w:tc>
        <w:tc>
          <w:tcPr>
            <w:tcW w:w="1200" w:type="dxa"/>
            <w:vAlign w:val="bottom"/>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08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200" w:type="dxa"/>
            <w:vAlign w:val="bottom"/>
            <w:tcBorders>
              <w:top w:val="single" w:sz="8" w:color="CCEEFF"/>
            </w:tcBorders>
            <w:shd w:val="clear" w:color="auto" w:fill="CCEEFF"/>
          </w:tcPr>
          <w:p>
            <w:pPr>
              <w:jc w:val="center"/>
              <w:ind w:left="164"/>
              <w:spacing w:after="0"/>
              <w:rPr>
                <w:sz w:val="20"/>
                <w:szCs w:val="20"/>
                <w:color w:val="auto"/>
              </w:rPr>
            </w:pPr>
            <w:r>
              <w:rPr>
                <w:rFonts w:ascii="Times New Roman" w:cs="Times New Roman" w:eastAsia="Times New Roman" w:hAnsi="Times New Roman"/>
                <w:sz w:val="16"/>
                <w:szCs w:val="16"/>
                <w:color w:val="auto"/>
                <w:w w:val="99"/>
              </w:rPr>
              <w:t>15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184,612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188,625</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200" w:type="dxa"/>
            <w:vAlign w:val="bottom"/>
            <w:tcBorders>
              <w:bottom w:val="single" w:sz="8" w:color="CCEEFF"/>
            </w:tcBorders>
          </w:tcPr>
          <w:p>
            <w:pPr>
              <w:jc w:val="center"/>
              <w:ind w:left="164"/>
              <w:spacing w:after="0"/>
              <w:rPr>
                <w:sz w:val="20"/>
                <w:szCs w:val="20"/>
                <w:color w:val="auto"/>
              </w:rPr>
            </w:pPr>
            <w:r>
              <w:rPr>
                <w:rFonts w:ascii="Times New Roman" w:cs="Times New Roman" w:eastAsia="Times New Roman" w:hAnsi="Times New Roman"/>
                <w:sz w:val="16"/>
                <w:szCs w:val="16"/>
                <w:color w:val="auto"/>
                <w:w w:val="99"/>
              </w:rPr>
              <w:t>15</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32,823</w:t>
            </w:r>
          </w:p>
        </w:tc>
        <w:tc>
          <w:tcPr>
            <w:tcW w:w="0" w:type="dxa"/>
            <w:vAlign w:val="bottom"/>
          </w:tcPr>
          <w:p>
            <w:pPr>
              <w:spacing w:after="0"/>
              <w:rPr>
                <w:sz w:val="1"/>
                <w:szCs w:val="1"/>
                <w:color w:val="auto"/>
              </w:rPr>
            </w:pPr>
          </w:p>
        </w:tc>
      </w:tr>
      <w:tr>
        <w:trPr>
          <w:trHeight w:val="234"/>
        </w:trPr>
        <w:tc>
          <w:tcPr>
            <w:tcW w:w="2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(65,963)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221,448</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188"/>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balances of current and non-current portions of debt consist of the following as of March 31, 2022 and December 31,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184,275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188,212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200,025</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39,878</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Debt financing fees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0" w:type="dxa"/>
            <w:vAlign w:val="bottom"/>
          </w:tcPr>
          <w:p>
            <w:pPr>
              <w:spacing w:after="0"/>
              <w:rPr>
                <w:sz w:val="1"/>
                <w:szCs w:val="1"/>
                <w:color w:val="auto"/>
              </w:rPr>
            </w:pPr>
          </w:p>
        </w:tc>
      </w:tr>
      <w:tr>
        <w:trPr>
          <w:trHeight w:val="207"/>
        </w:trPr>
        <w:tc>
          <w:tcPr>
            <w:tcW w:w="3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52,447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183,441</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235,888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51,135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187,240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238,375</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2019 Credit Agreement</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September 25, 2019, the Company entered into a credit agreement (the “2019 Credit Agreement”) that included a $210.0 million term loan (the “Term Loan Facility”) and a $40.0 million revolving credit facility (the “Revolving Credit Facility” and, together with the Term Loan Facility, the “2019 Credit Facilities”). On April 30, 2021, the Company entered into Amendment No. 1 to its 2019 Credit Agreement with the existing lenders providing for $50.0 million incremental revolving credit commitments on the same terms as our existing revolving credit facility.</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Principal payments on the Term Loan Facility are due quarterly in arrears equal to installments in an aggregate annual amount equal to (i) 1.0% per annum of the original principal amount in the first year, (ii) 2.5% per annum of the original principal amount in the second year, (iii) 5.0% per annum of the original principal amount in the third year, (iv) 7.5% per annum of the original principal amount in the fourth year and (v) 10.0% per annum of the original principal amount in the fifth year, with the remaining principal due in a lump sum at the maturity date of September 25, 2024. The interest rate in effect with respect to the Term Loan Facility as of March 31, 2022 was 2.707% per annum.</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Revolving Credit Facility provides the Company with access to a $15.0 million letter of credit facility and a $5.0 million swing line facility, each of which, to the extent used, reduces borrowing availability under the Revolving Credit Facility. The Revolving Credit Facility expires on September 25, 2024, and requires a commitment fee of 0.4% on undrawn commitments paid quarterly in arrears. As of March 31, 2022, the interest rate in effect was 2.707% on outstanding borrowings under the Revolving Credit Facility. As of March 31, 2022, the Company had $50.1 million of borrowing availability under the Revolving Credit Facility.</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2019 Credit Agreement contains certain restrictive financial covenants and also limits additional borrowings, capital expenditures, and distributions. The Company was in compliance with these covenants as of March 31, 2022. Substantially all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of the Company's direct wholly owned subsidiary TU Midco, Inc. and its material domestic subsidiaries are pledged as collateral under this agreement, subject to certain customary exceptions.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claims, and litigation arising in the ordinary course of business. Although the outcomes of such matters cannot be predicted with certainty, we believe that resolution of all such pending matters will not, either individually or in the aggregate, have a material adverse effect on the Company’s business, operating results, cash flows, or financial condition.</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February 23, 2022, 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alleges that the registration statement filed in connection with the Company’s IPO and the Company’s second and third quarter 2021 earnings calls contained materially false and misleading information in violation of the federal securities laws. The complaint seeks unspecified damages and an award of costs and expenses, including reasonable attorneys’ fees, as well as equitable relief. We believe that the lawsuit is without merit and intend to defend the lawsuit vigorously. We cannot predict at this point the length of time that this action will be ongoing or the liability, if any, which may arise therefrom.</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 Employee Compensation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we granted 314,998 restricted stock units (the “RSUs”) under the 2021 Omnibus Incentive Plan (the “2021 Plan”) with a weighted-average grant date fair value of $33.29. The majority of the RSUs vest ratably over a four-year period, subject to continued service.</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we granted 153,398 options under the 2021 Plan with a weighted-average exercise price of $32.99 and a weighted-average grant-date fair value of $11.58. The majority of the stock options vest ratably over a three to four-year period, subject to continued service.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recognize stock-based compensation expense for all awards using a graded vesting method. The following table summarizes the components of stock-based compensation expense recognized for the periods presented: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18,902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19,605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2022, there was $18.5 million, $87.9 million and $8.6 million of unrecognized compensation expense related to the Company’s unvested stock options, RSUs and performance stock units ("PSUs"), respectively, that is expected to be recognized over a weighted-average period of 1.6 years, 2.0 years and 2.0 years.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recorded provision for (benefit from) income taxes of $6.3 million and $3.6 million in the three months ended March 31, 2022 and 2021, respectively. The effective tax rate was 35.3% and 17.7% for the three months ended March 31, 2022 and 2021. The difference between the effective tax rates and the 21% federal statutory rate in the three months ended March 31, 2022 was primarily due to global intangible low-taxed income (“GILTI”) inclusion, Base Erosion and Anti-Abuse Tax ("BEAT"), tax benefits of income tax holidays in foreign jurisdiction, and nondeductible compensation of officers. The difference between the effective tax rate and the 21% federal statutory rate in the three months ended March 31, 2021 was primarily due to GILTI inclusion, foreign-derived intangible income ("FDII") deduction, tax benefits of income tax holidays in foreign jurisdiction and unrecognized tax benefits.</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is subject to income tax in the United States federal, state and various foreign jurisdictions. As of March 31, 2022, the tax years 2017 to 2020 are subject to examination by tax authorities.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practice and intention are to indefinitely reinvest the earnings of its non-U.S. subsidiaries. Determination of the amount of any unrecognized deferred income tax liability on the temporary difference is not practicable because of the complexities of the hypothetical calculation.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 The accompanying financial statements and related notes to the financial statements give retroactive effect to the stock split for all periods presented. See Note 2(a), "Basis of Presentation" for additional information.</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computation of basic net income (loss) per share (“EPS”) is based on the weighted-average number of shares that were outstanding during the period, including shares of common stock that are issuable at the end of the reporting period. The computation of diluted EPS is based on the number of basic weighted-average shares outstanding plus the number of common shares that would be issued assuming the exercise of all potentially dilutive common stock equivalents. Common stock equivalents consist of shares issuable upon the exercise of stock options and vesting of RSUs and PSUs.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EPS for the three months ended March 31,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thousands,except share and per share data)</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97,481,412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91,737,020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6,640,614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104,122,026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91,737,020</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excluded 1,152,816 potential common stock equivalents from the computation of diluted EPS for the three months ended March 31, 2022, because the effect would have been anti-dilutive. As of March 31, 2022, there were 5,292,857 potential common stock equivalents outstanding, with market conditions which were not met at that date, that were excluded from the calculation of diluted EPS.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 Draw</w:t>
      </w:r>
    </w:p>
    <w:p>
      <w:pPr>
        <w:spacing w:after="0" w:line="1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April 12, 2022, the Company drew $32.5 million on its Revolving Credit Facility at an effective interest rate of 2.66% to fund cash payments relating to its acquisition of heloo. After the draw, the Company had $17.6 million of borrowing availability under the Revolving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w:t>
      </w:r>
    </w:p>
    <w:p>
      <w:pPr>
        <w:spacing w:after="0" w:line="92"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On April 15, 2022, the Company acquired all of the equity interests of Parsec d.o.o. and Q Experience d.o.o. ("heloo"), a Croatia-based digital customer experience solutions provider to European technology companies supporting 20 languages across seven additional Eastern European countries, including Bosnia, Serbia, and Slovenia. The Company believes this acquisition will be complementary to its growth strategy by expanding its global delivery footprint with a suite of multi-lingual, cost-competitive Digital Customer Experience services. Under the terms of the sale and purchase agreement, the Company acquired heloo in exchange for approximately $24 million in cash, subject to working capital adjustments, plus 200,103 shares of the Company's Class A common stock and up to approximately $24 million in additional consideration with payment contingent upon the satisfaction of certain conditions. The closing cash consideration for the acquisition was funded by the April 12, 2022 draw under the Revolving Credit Facility. The Company also granted 90,030 RSUs to certain employees of heloo. The Company is in the process of finalizing its accounting for this transaction and expects to complete its preliminary allocation of the purchase consideration to the fair value of the assets acquired and liabilities assumed by the end of the second quarter of 2022.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2021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This Quarterly Report includes certain historical consolidated financial and other data for TaskUs, Inc. (“we,” “us,” “our” or the “Company”).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discussion provides a narrative of our results of operations and financial condition for the three months ended March 31, 2022 and 2021.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provide digital outsourced services, focused on serving high-growth technology companies to represent, protect and grow their brands. Our global, omni-channel delivery model is focused on providing our clients three key services – Digital Customer Experience, Content Security and Artificial Intelligence (“AI”) Services (formerly known as AI Operations). We have designed our platform to enable us to rapidly scale and benefit from our clients’ growth. We believe our ability to deliver “ridiculously good” outsourcing will enable us to continue to grow our client base.</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Financial Highlights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we recorded service revenue of $239.7 million, a 56.8% increase from $152.9 million for the three months ended March 31, 2021.</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income for the three months ended March 31, 2022 decreased to $11.6 million from $16.5 million for the three months ended March 31, 2021. This decrease included non-cash stock-based compensation expense which we began recognizing upon our initial public offering ("IPO"). Adjusted Net Income for the three months ended March 31, 2022 increased 24.0% to $35.0 million from $28.2 million for the three months ended March 31, 2021. Adjusted EBITDA for the three months ended March 31, 2022 increased 36.9% to $54.1 million from $39.5 million for the three months ended March 31, 2021.</w:t>
      </w:r>
    </w:p>
    <w:p>
      <w:pPr>
        <w:spacing w:after="0" w:line="75" w:lineRule="exact"/>
        <w:rPr>
          <w:sz w:val="20"/>
          <w:szCs w:val="20"/>
          <w:color w:val="auto"/>
        </w:rPr>
      </w:pPr>
    </w:p>
    <w:p>
      <w:pPr>
        <w:ind w:right="1960" w:firstLine="486"/>
        <w:spacing w:after="0" w:line="375" w:lineRule="auto"/>
        <w:rPr>
          <w:sz w:val="20"/>
          <w:szCs w:val="20"/>
          <w:color w:val="auto"/>
        </w:rPr>
      </w:pPr>
      <w:r>
        <w:rPr>
          <w:rFonts w:ascii="Times New Roman" w:cs="Times New Roman" w:eastAsia="Times New Roman" w:hAnsi="Times New Roman"/>
          <w:sz w:val="18"/>
          <w:szCs w:val="18"/>
          <w:color w:val="auto"/>
        </w:rPr>
        <w:t xml:space="preserve">The operating results in any period are not necessarily indicative of the results that may be expected for any future period. </w:t>
      </w:r>
      <w:r>
        <w:rPr>
          <w:rFonts w:ascii="Times New Roman" w:cs="Times New Roman" w:eastAsia="Times New Roman" w:hAnsi="Times New Roman"/>
          <w:sz w:val="18"/>
          <w:szCs w:val="18"/>
          <w:b w:val="1"/>
          <w:bCs w:val="1"/>
          <w:i w:val="1"/>
          <w:iCs w:val="1"/>
          <w:color w:val="auto"/>
        </w:rPr>
        <w:t>Subsequent Events</w:t>
      </w:r>
    </w:p>
    <w:p>
      <w:pPr>
        <w:spacing w:after="0" w:line="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For a description of subsequent events, see Note 12, "Subsequent Events" in the Notes to Unaudited Condensed Consolidated Financial Statements included in this Quarterly Report.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set forth certain historical consolidated financial information for the three months ended March 31,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270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239,680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152,871</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86,809</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56.8 %</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services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53,252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60.5 %</w:t>
            </w:r>
          </w:p>
        </w:tc>
        <w:tc>
          <w:tcPr>
            <w:tcW w:w="0" w:type="dxa"/>
            <w:vAlign w:val="bottom"/>
          </w:tcPr>
          <w:p>
            <w:pPr>
              <w:spacing w:after="0"/>
              <w:rPr>
                <w:sz w:val="1"/>
                <w:szCs w:val="1"/>
                <w:color w:val="auto"/>
              </w:rPr>
            </w:pP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32,749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104.0 %</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0" w:type="dxa"/>
            <w:vAlign w:val="bottom"/>
          </w:tcPr>
          <w:p>
            <w:pPr>
              <w:spacing w:after="0"/>
              <w:rPr>
                <w:sz w:val="1"/>
                <w:szCs w:val="1"/>
                <w:color w:val="auto"/>
              </w:rPr>
            </w:pP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207"/>
        </w:trPr>
        <w:tc>
          <w:tcPr>
            <w:tcW w:w="5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130,470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68.0 %</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39.7 %</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7"/>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77.4 %</w:t>
            </w:r>
          </w:p>
        </w:tc>
        <w:tc>
          <w:tcPr>
            <w:tcW w:w="0" w:type="dxa"/>
            <w:vAlign w:val="bottom"/>
          </w:tcPr>
          <w:p>
            <w:pPr>
              <w:spacing w:after="0"/>
              <w:rPr>
                <w:sz w:val="1"/>
                <w:szCs w:val="1"/>
                <w:color w:val="auto"/>
              </w:rPr>
            </w:pPr>
          </w:p>
        </w:tc>
      </w:tr>
      <w:tr>
        <w:trPr>
          <w:trHeight w:val="212"/>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Service revenue for the three months ended March 31, 2022 and 2021 was $239.7 million and $152.9 million, respectively. Service revenue for the three months ended March 31, 2022 increased by $86.8 million or 56.8% when compared to the three months ended March 31, 2021.</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Service revenue by service offering</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breakdown of our service revenue by service offering for each period: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270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Digital Customer Experience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159,731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99,711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60,020</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60.2 %</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Content Security</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9,725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AI Services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17,064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100.2 %</w:t>
            </w:r>
          </w:p>
        </w:tc>
        <w:tc>
          <w:tcPr>
            <w:tcW w:w="0" w:type="dxa"/>
            <w:vAlign w:val="bottom"/>
          </w:tcPr>
          <w:p>
            <w:pPr>
              <w:spacing w:after="0"/>
              <w:rPr>
                <w:sz w:val="1"/>
                <w:szCs w:val="1"/>
                <w:color w:val="auto"/>
              </w:rPr>
            </w:pPr>
          </w:p>
        </w:tc>
      </w:tr>
      <w:tr>
        <w:trPr>
          <w:trHeight w:val="212"/>
        </w:trPr>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 revenue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152,871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86,809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56.8 %</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year over year growth in Digital Customer Experience, AI Services and Content Security contributed 39.2%, 11.2% and 6.4%, respectively, of the total increase of 56.8% for the three months ended March 31, 2022. The 60.2% growth in Digital Customer Experience was primarily driven by an increase in volume of services to our existing customers and new customer wins. The 100.2% growth in AI Services was driven by an increase in volume of services to our existing customers and new customer wins. The 26.9% growth in Content Security was primarily driven by an increase in volume of services to our existing customers.</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Service revenue by delivery geography</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majority of our service revenues are derived from contracts with clients who are either located in the United States, or with clients who are located outside of the United States but whereby the contract specifies payment in United States dollars. However, we deliver our services from multiple locations around the world.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breakdown of our service revenue by geographical location, based on where the services are provided, for each period: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270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120,080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35,502</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42.0 %</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28,374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55.9 %</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22,933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130.8 %</w:t>
            </w:r>
          </w:p>
        </w:tc>
        <w:tc>
          <w:tcPr>
            <w:tcW w:w="0" w:type="dxa"/>
            <w:vAlign w:val="bottom"/>
          </w:tcPr>
          <w:p>
            <w:pPr>
              <w:spacing w:after="0"/>
              <w:rPr>
                <w:sz w:val="1"/>
                <w:szCs w:val="1"/>
                <w:color w:val="auto"/>
              </w:rPr>
            </w:pPr>
          </w:p>
        </w:tc>
      </w:tr>
      <w:tr>
        <w:trPr>
          <w:trHeight w:val="212"/>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 revenue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152,871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86,809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56.8 %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generated from services provided from our delivery sites in the Philippines grew from expansion in all three of our service offerings, Digital Customer Experience, Content Security and AI Services, which contributed 30.0%, 7.4%, and 4.6% of the total increase of 42.0% in the Philippines, respectively.</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generated from services provided from our delivery sites in the United States grew primarily from expansion in two of our service offerings, Digital Customer Experience and AI Services, which contributed 42.6% and 13.2% of the total increase of 55.9% in the United States, respectively, while Content Security remained mostly flat, contributing 0.1%, due to certain clients electing to shift work to the Philippines. We expect this shift to continue through the rest of the year as we work to deliver service out of our clients' optimal geography, which allows us to serve clients better in the long-term.</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generated from services provided from our delivery sites in the Rest of World grew primarily from expansion in India and Latin America.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Cost of services for the three months ended March 31, 2022 and 2021 was $141.3 million and $88.0 million, respectively. Cost of services for the three months ended March 31, 2022 increased by $53.3 million, or 60.5%, when compared to the three months ended March 31, 2021. The increase was primarily driven by personnel costs of $46.2 million related to an increase in headcount to meet the demand in services from our clients. The remaining increase included costs associated with site expansions, investments in software, as well as recruiting and professional development costs to support revenue growth as we expand into new geographies.</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March 31, 2022 and 2021 was $64.2 million and $31.5 million, respectively. Selling, general, and administrative expense for the three months ended March 31, 2022 increased by $32.7 million, or 104.0%, when compared to the three months ended March 31, 2021. The increase was primarily driven by higher personnel costs of $26.7 million due primarily to stock-based compensation expense for equity-classified awards of $18.9 million and increased headcount across functions in support of our growth. The remaining increase included investments in software, insurance expense and recruiting and professional development.</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for the three months ended March 31, 2022 and 2021 was $8.9 million and $6.2 million, respectively. The increase in depreciation is a result of capital expenditures for additional technology and computers in support of our company-wide work-from-home policy, as well as leasehold improvements associated with site expansions to support revenue growth.</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for the three months ended March 31, 2022 and 2021 was $4.7 million. Amortization can be attributed to the recognition of client relationship and trade name intangible assets recognized in connection with the Blackstone Acquisition that are being amortized on a straight-line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expense for the three months ended March 31, 2022 and 2021 was $1.1 million and $0.8 million, respectively. Changes are driven by our exposure to foreign currency exchange risk resulting from our operations in foreign geographies, primarily the Philippines, offset by economic hedges using foreign currency exchange rate forward contracts.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expenses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Financing expense for the three months ended March 31, 2022 and 2021 was $1.6 million and $1.6 million, respectively. Changes in financing expense are primarily driven by the the rate of LIBOR used to calculate the interest rate of the term loan. See “—Liquidity and Capital Resources— Indebtedness—2019 Credit Agreement” for additional discussion on term loan.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Provision for income taxes for the three months ended March 31, 2022 and 2021 was $6.3 million and $3.6 million, respectively. Our effective tax rate for the three months ended March 31, 2022 and 2021 was 35.3% and 17.7%, respectively. There are certain items included within the provision for income taxes calculation which are directly related to the IPO and not expected to recur in future periods, including equity awards made to officers which are not deductible under Section 162(m) of the Internal Revenue Code. Additionally, there are costs related to the issuance of stock-based compensation included within the provision for income taxes calculation. If those costs directly related to the IPO and stock-based compensation expense are removed, the provision for income taxes would have been $8.7 million and the effective tax rate would have been 23.1% for the three months ended March 31,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Top Clients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table below sets forth the percentage of our total service revenue derived from our largest clients for the three months ended March 31, 2022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3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Top ten clients</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10"/>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Top twenty clients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r>
    </w:tbl>
    <w:p>
      <w:pPr>
        <w:spacing w:after="0" w:line="19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we generated 24% and 29%, respectively, of our service revenue from our largest client, and we generated 10% and 11%, respectively, of our service revenue from our second largest client.</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identify and target high growth industry verticals and clients. Our strategy is to acquire new clients and further grow with our existing ones in order to achieve meaningful client and revenue diversification over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Item 3., “Quantitative and Qualitative Disclosures About Market Risk” for additional information on how foreign currency impacts our financial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use Adjusted Net Income, Adjusted Earnings Per Share (“EPS”), EBITDA and Adjusted EBITDA as key profitability measures to assess the performance of our business.</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Each of the profitability measures described below are not recognized under GAAP and do not purport to be an alternative to net income as a measure of our performance. Such measures have limitations as analytical tools, and you should not consider any of such measures in isolation or as substitutes for our results as reported under GAAP.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 from Adjusted Net Income amortization of intangible assets, transaction costs, the effect of foreign currency gains and losses, losses on disposals of assets, COVID-19 related expenses, natural disaster costs, stock-based compensation expense and employer payroll tax associated with equity-classified awards and the related effect on income taxes of certain pre-tax adjustments, which include costs that are required to be expensed in accordance with GAAP. Our management believes that the inclusion of supplementary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adjustments to net income applied in presenting Adjusted Net Income are appropriate to provide additional information to investors about certain material non-cash items and about unusual items that we do not expect to continue at the same level in the future.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net income, the most directly comparable GAAP measure, to Adjusted Net Income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4,711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4,712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Transaction costs</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Foreign currency losses</w:t>
            </w:r>
            <w:r>
              <w:rPr>
                <w:rFonts w:ascii="Times New Roman" w:cs="Times New Roman" w:eastAsia="Times New Roman" w:hAnsi="Times New Roman"/>
                <w:sz w:val="21"/>
                <w:szCs w:val="21"/>
                <w:color w:val="auto"/>
                <w:vertAlign w:val="superscript"/>
              </w:rPr>
              <w:t>(2)</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COVID-19 related expenses</w:t>
            </w:r>
            <w:r>
              <w:rPr>
                <w:rFonts w:ascii="Times New Roman" w:cs="Times New Roman" w:eastAsia="Times New Roman" w:hAnsi="Times New Roman"/>
                <w:sz w:val="21"/>
                <w:szCs w:val="21"/>
                <w:color w:val="auto"/>
                <w:vertAlign w:val="superscript"/>
              </w:rPr>
              <w:t>(3)</w:t>
            </w:r>
          </w:p>
        </w:tc>
        <w:tc>
          <w:tcPr>
            <w:tcW w:w="3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Natural disaster costs</w:t>
            </w:r>
            <w:r>
              <w:rPr>
                <w:rFonts w:ascii="Times New Roman" w:cs="Times New Roman" w:eastAsia="Times New Roman" w:hAnsi="Times New Roman"/>
                <w:sz w:val="21"/>
                <w:szCs w:val="21"/>
                <w:color w:val="auto"/>
                <w:vertAlign w:val="superscript"/>
              </w:rPr>
              <w:t>(4)</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Stock-based compensation expense</w:t>
            </w:r>
            <w:r>
              <w:rPr>
                <w:rFonts w:ascii="Times New Roman" w:cs="Times New Roman" w:eastAsia="Times New Roman" w:hAnsi="Times New Roman"/>
                <w:sz w:val="21"/>
                <w:szCs w:val="21"/>
                <w:color w:val="auto"/>
                <w:vertAlign w:val="superscript"/>
              </w:rPr>
              <w:t>(5)</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19,688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Tax impacts of adjustments</w:t>
            </w:r>
            <w:r>
              <w:rPr>
                <w:rFonts w:ascii="Times New Roman" w:cs="Times New Roman" w:eastAsia="Times New Roman" w:hAnsi="Times New Roman"/>
                <w:sz w:val="21"/>
                <w:szCs w:val="21"/>
                <w:color w:val="auto"/>
                <w:vertAlign w:val="superscript"/>
              </w:rPr>
              <w:t>(6)</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9"/>
        </w:trPr>
        <w:tc>
          <w:tcPr>
            <w:tcW w:w="5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Net Income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34,965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28,198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Net Income Margin</w:t>
            </w:r>
            <w:r>
              <w:rPr>
                <w:rFonts w:ascii="Times New Roman" w:cs="Times New Roman" w:eastAsia="Times New Roman" w:hAnsi="Times New Roman"/>
                <w:sz w:val="21"/>
                <w:szCs w:val="21"/>
                <w:color w:val="auto"/>
                <w:vertAlign w:val="superscript"/>
              </w:rPr>
              <w:t>(7)</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Adjusted Net Income Margin</w:t>
            </w:r>
            <w:r>
              <w:rPr>
                <w:rFonts w:ascii="Times New Roman" w:cs="Times New Roman" w:eastAsia="Times New Roman" w:hAnsi="Times New Roman"/>
                <w:sz w:val="21"/>
                <w:szCs w:val="21"/>
                <w:color w:val="auto"/>
                <w:vertAlign w:val="superscript"/>
              </w:rPr>
              <w:t>(7)</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60" w:hanging="434"/>
        <w:spacing w:after="0"/>
        <w:tabs>
          <w:tab w:leader="none" w:pos="46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Represents non-recurring professional service fees related to the acquisition of heloo in 2022 and the preparation for public offerings that have been expensed during the period in 2021.</w:t>
      </w:r>
    </w:p>
    <w:p>
      <w:pPr>
        <w:spacing w:after="0" w:line="30" w:lineRule="exact"/>
        <w:rPr>
          <w:rFonts w:ascii="Times New Roman" w:cs="Times New Roman" w:eastAsia="Times New Roman" w:hAnsi="Times New Roman"/>
          <w:sz w:val="29"/>
          <w:szCs w:val="29"/>
          <w:color w:val="auto"/>
          <w:vertAlign w:val="superscript"/>
        </w:rPr>
      </w:pPr>
    </w:p>
    <w:p>
      <w:pPr>
        <w:ind w:left="460" w:right="20" w:hanging="434"/>
        <w:spacing w:after="0" w:line="229" w:lineRule="auto"/>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foreign currency losses include the effect of fair market value changes of forward contracts and remeasurement of U.S. dollar-denominated accounts to foreign currency.</w:t>
      </w:r>
    </w:p>
    <w:p>
      <w:pPr>
        <w:spacing w:after="0" w:line="14" w:lineRule="exact"/>
        <w:rPr>
          <w:rFonts w:ascii="Times New Roman" w:cs="Times New Roman" w:eastAsia="Times New Roman" w:hAnsi="Times New Roman"/>
          <w:sz w:val="14"/>
          <w:szCs w:val="14"/>
          <w:color w:val="auto"/>
        </w:rPr>
      </w:pPr>
    </w:p>
    <w:p>
      <w:pPr>
        <w:ind w:left="460" w:right="40" w:hanging="434"/>
        <w:spacing w:after="0" w:line="241" w:lineRule="auto"/>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expenses incurred related to the transition to a virtual operating model and incentive and leave pay granted to employees that are directly attributable to the COVID-19 pandemic.</w:t>
      </w:r>
    </w:p>
    <w:p>
      <w:pPr>
        <w:spacing w:after="0" w:line="14" w:lineRule="exact"/>
        <w:rPr>
          <w:rFonts w:ascii="Times New Roman" w:cs="Times New Roman" w:eastAsia="Times New Roman" w:hAnsi="Times New Roman"/>
          <w:sz w:val="14"/>
          <w:szCs w:val="14"/>
          <w:color w:val="auto"/>
        </w:rPr>
      </w:pPr>
    </w:p>
    <w:p>
      <w:pPr>
        <w:ind w:left="460" w:right="20" w:hanging="434"/>
        <w:spacing w:after="0" w:line="241" w:lineRule="auto"/>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one-time costs associated with emergency housing, transportation costs and bonuses for our employees in connection with the natural disaster related to the severe winter storm in Texas in February 2021.</w:t>
      </w:r>
    </w:p>
    <w:p>
      <w:pPr>
        <w:spacing w:after="0" w:line="14"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stock-based compensation expense and employer payroll tax associated with equity-classified awards.</w:t>
      </w:r>
    </w:p>
    <w:p>
      <w:pPr>
        <w:spacing w:after="0" w:line="41"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tax impacts of adjustments to net income which resulted in a tax benefit during the period, including stock-based compensation expense after the IPO.</w:t>
      </w:r>
    </w:p>
    <w:p>
      <w:pPr>
        <w:spacing w:after="0" w:line="41"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Margin represents net income divided by service revenue and Adjusted Net Income Margin represents Adjusted Net Income divided by service revenue.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EPS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including the impact of any potentially dilutive common stock equivalents that are anti-dilutive to GAAP net income (loss) per share – diluted (“GAAP diluted EPS”) but dilutive to Adjusted EPS.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GAAP diluted EPS, the most directly comparable GAAP measure, to Adjusted EPS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diluted EPS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216"/>
        </w:trPr>
        <w:tc>
          <w:tcPr>
            <w:tcW w:w="82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Per share adjustments to net income</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32"/>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Adjusted EPS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104,122,026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91,737,020</w:t>
            </w:r>
          </w:p>
        </w:tc>
      </w:tr>
    </w:tbl>
    <w:p>
      <w:pPr>
        <w:spacing w:after="0" w:line="166" w:lineRule="exact"/>
        <w:rPr>
          <w:sz w:val="20"/>
          <w:szCs w:val="20"/>
          <w:color w:val="auto"/>
        </w:rPr>
      </w:pPr>
    </w:p>
    <w:p>
      <w:pPr>
        <w:ind w:left="460" w:right="20" w:hanging="434"/>
        <w:spacing w:after="0" w:line="182" w:lineRule="auto"/>
        <w:tabs>
          <w:tab w:leader="none" w:pos="46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Reflects the aggregate adjustments made to reconcile net income to Adjusted Net Income, as noted in the above table, divided by the GAAP diluted weighted-average number of shares outstanding for the relevant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 from Adjusted EBITDA transaction costs, the effect of foreign currency gains and losses, losses on disposals of assets, COVID-19 related expenses, natural disaster costs and stock-based compensation expense and employer payroll tax associated with equity-classified awards,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the most directly comparable GAAP measure, to EBITDA and Adjusted EBITDA for the three months ended March 31, 2022 and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77.4 %</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8,901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6,203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5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EBITDA</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33,113</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32,562</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Transaction costs</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Foreign currency losses</w:t>
            </w:r>
            <w:r>
              <w:rPr>
                <w:rFonts w:ascii="Times New Roman" w:cs="Times New Roman" w:eastAsia="Times New Roman" w:hAnsi="Times New Roman"/>
                <w:sz w:val="21"/>
                <w:szCs w:val="21"/>
                <w:color w:val="auto"/>
                <w:vertAlign w:val="superscript"/>
              </w:rPr>
              <w:t>(2)</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COVID-19 related expenses</w:t>
            </w:r>
            <w:r>
              <w:rPr>
                <w:rFonts w:ascii="Times New Roman" w:cs="Times New Roman" w:eastAsia="Times New Roman" w:hAnsi="Times New Roman"/>
                <w:sz w:val="21"/>
                <w:szCs w:val="21"/>
                <w:color w:val="auto"/>
                <w:vertAlign w:val="superscript"/>
              </w:rPr>
              <w:t>(3)</w:t>
            </w:r>
          </w:p>
        </w:tc>
        <w:tc>
          <w:tcPr>
            <w:tcW w:w="3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Natural disaster costs</w:t>
            </w:r>
            <w:r>
              <w:rPr>
                <w:rFonts w:ascii="Times New Roman" w:cs="Times New Roman" w:eastAsia="Times New Roman" w:hAnsi="Times New Roman"/>
                <w:sz w:val="21"/>
                <w:szCs w:val="21"/>
                <w:color w:val="auto"/>
                <w:vertAlign w:val="superscript"/>
              </w:rPr>
              <w:t>(4)</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Stock-based compensation expense</w:t>
            </w:r>
            <w:r>
              <w:rPr>
                <w:rFonts w:ascii="Times New Roman" w:cs="Times New Roman" w:eastAsia="Times New Roman" w:hAnsi="Times New Roman"/>
                <w:sz w:val="21"/>
                <w:szCs w:val="21"/>
                <w:color w:val="auto"/>
                <w:vertAlign w:val="superscript"/>
              </w:rPr>
              <w:t>(5)</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19,688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19,688</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54,131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39,541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230" w:lineRule="exact"/>
              <w:rPr>
                <w:sz w:val="20"/>
                <w:szCs w:val="20"/>
                <w:color w:val="auto"/>
              </w:rPr>
            </w:pPr>
            <w:r>
              <w:rPr>
                <w:rFonts w:ascii="Times New Roman" w:cs="Times New Roman" w:eastAsia="Times New Roman" w:hAnsi="Times New Roman"/>
                <w:sz w:val="16"/>
                <w:szCs w:val="16"/>
                <w:color w:val="auto"/>
              </w:rPr>
              <w:t>Net Income Margin</w:t>
            </w:r>
            <w:r>
              <w:rPr>
                <w:rFonts w:ascii="Times New Roman" w:cs="Times New Roman" w:eastAsia="Times New Roman" w:hAnsi="Times New Roman"/>
                <w:sz w:val="21"/>
                <w:szCs w:val="21"/>
                <w:color w:val="auto"/>
                <w:vertAlign w:val="superscript"/>
              </w:rPr>
              <w:t>(6)</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Adjusted EBITDA Margin</w:t>
            </w:r>
            <w:r>
              <w:rPr>
                <w:rFonts w:ascii="Times New Roman" w:cs="Times New Roman" w:eastAsia="Times New Roman" w:hAnsi="Times New Roman"/>
                <w:sz w:val="21"/>
                <w:szCs w:val="21"/>
                <w:color w:val="auto"/>
                <w:vertAlign w:val="superscript"/>
              </w:rPr>
              <w:t>(6)</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60" w:hanging="434"/>
        <w:spacing w:after="0"/>
        <w:tabs>
          <w:tab w:leader="none" w:pos="46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Represents non-recurring professional service fees related to the acquisition of heloo in 2022 and the preparation for public offerings that have been expensed during the period in 2021.</w:t>
      </w:r>
    </w:p>
    <w:p>
      <w:pPr>
        <w:spacing w:after="0" w:line="30" w:lineRule="exact"/>
        <w:rPr>
          <w:rFonts w:ascii="Times New Roman" w:cs="Times New Roman" w:eastAsia="Times New Roman" w:hAnsi="Times New Roman"/>
          <w:sz w:val="29"/>
          <w:szCs w:val="29"/>
          <w:color w:val="auto"/>
          <w:vertAlign w:val="superscript"/>
        </w:rPr>
      </w:pPr>
    </w:p>
    <w:p>
      <w:pPr>
        <w:ind w:left="460" w:right="20" w:hanging="434"/>
        <w:spacing w:after="0" w:line="229" w:lineRule="auto"/>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foreign currency losses include the effect of fair market value changes of forward contracts and remeasurement of U.S. dollar-denominated accounts to foreign currency.</w:t>
      </w:r>
    </w:p>
    <w:p>
      <w:pPr>
        <w:spacing w:after="0" w:line="14" w:lineRule="exact"/>
        <w:rPr>
          <w:rFonts w:ascii="Times New Roman" w:cs="Times New Roman" w:eastAsia="Times New Roman" w:hAnsi="Times New Roman"/>
          <w:sz w:val="14"/>
          <w:szCs w:val="14"/>
          <w:color w:val="auto"/>
        </w:rPr>
      </w:pPr>
    </w:p>
    <w:p>
      <w:pPr>
        <w:ind w:left="460" w:right="40" w:hanging="434"/>
        <w:spacing w:after="0" w:line="241" w:lineRule="auto"/>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expenses incurred related to the transition to a virtual operating model and incentive and leave pay granted to employees that are directly attributable to the COVID-19 pandemic.</w:t>
      </w:r>
    </w:p>
    <w:p>
      <w:pPr>
        <w:spacing w:after="0" w:line="14" w:lineRule="exact"/>
        <w:rPr>
          <w:rFonts w:ascii="Times New Roman" w:cs="Times New Roman" w:eastAsia="Times New Roman" w:hAnsi="Times New Roman"/>
          <w:sz w:val="14"/>
          <w:szCs w:val="14"/>
          <w:color w:val="auto"/>
        </w:rPr>
      </w:pPr>
    </w:p>
    <w:p>
      <w:pPr>
        <w:ind w:left="460" w:right="20" w:hanging="434"/>
        <w:spacing w:after="0" w:line="241" w:lineRule="auto"/>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one-time costs associated with emergency housing, transportation costs and bonuses for our employees in connection with the natural disaster related to the severe winter storm in Texas in February 2021.</w:t>
      </w:r>
    </w:p>
    <w:p>
      <w:pPr>
        <w:spacing w:after="0" w:line="14"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stock-based compensation expense and employer payroll tax associated with equity-classified awards.</w:t>
      </w:r>
    </w:p>
    <w:p>
      <w:pPr>
        <w:spacing w:after="0" w:line="41"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Margin represents net income divided by service revenue and Adjusted Net Income Margin represents Adjusted Net Income divided by service revenue.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2022, our principal sources of liquidity were cash and cash equivalents totaling $77.1 million, which were held for working capital purposes, as well as the available balance of our 2019 Credit Facilities, described further below. Historically, we have made investments in supporting the growth of our business, which were enabled in part by our positive cash flows from operations during these periods. We expect to continue to make similar investments in the future.</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financed our operations primarily through cash received from operations. We believe our existing cash and cash equivalents and our 2019 Credit Facilities will be sufficient to meet our working capital and capital expenditure needs for at least the next 12 months. Our future capital requirements will depend on several factors, including but not limited to our obligation to repay any amounts outstanding under our 2019 Credit Facilities, our revenue growth rate, timing of client billing and collections, the timing of expansion into new geographies, variability in the cost of delivering services in our geographies, the timing and extent of spending on technology innovation, the extent of our sales and marketing activities, and the introduction of new and enhanced service offerings and the continuing market adoption of our platform.</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desired, our business, financial condition and results of operations could be adversely affected.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Although we are not currently a party to any material definitive agreement regarding potential investments in, or acquisitions of, complementary businesses, applications or technologies, we may enter into these types of arrangements, which could reduce our cash and cash equivalents, require us to seek additional equity or debt financing or repatriate cash generated by our international operations that could cause us to incur withholding taxes on any distributions. Additional funds from financing arrangements may not be available on terms favorable to us or at all.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market conditions warrant, we and certain of our equity holders, including Blackstone and their respective affiliates, may from time to time seek to purchase our outstanding debt securities or loans, including borrowings under our 2019 Credit Facilities, in privately negotiated or open market transactions, by tender offer or otherwise.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2022, our total indebtedness, net of debt financing fees was $235.9 million, including outstanding borrowings under our Revolving Credit Facility (as defined below) of $39.9 million.</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2019 Credit Agreement</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September 25, 2019, we entered into a credit agreement (the “2019 Credit Agreement”) that included a $210 million term loan (the “Term Loan Facility”) and a $40 million revolving credit facility (the “Revolving Credit Facility” and, together with the Term Loan Facility, the “2019 Credit Facilities”). On April 30, 2021, the Company entered into Amendment No. 1 to its 2019 Credit Agreement with the existing lenders providing for $50.0 million incremental revolving credit commitments on the same terms as our existing revolving credit facility. We accounted for this amendment as a debt modification and recorded $0.3 million of debt financing fees which will be amortized, along with previously deferred fees, over the remaining term of the facility.</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Term Loan Facility matures on September 25, 2024 and requires quarterly principal payments of 0.25% of the original principal amount per quarter through September 30, 2020, 0.625% of the original principal amount through September 30, 2021, 1.25% of the original principal amount through September 30, 2022, 1.875% of the original principal amount through September 30, 2023 and 2.50% of the original principal amount thereafter, with any remaining principal due in a lump sum at the maturity date. As of March 31, 2022, $197.4 million was outstanding under the Term Loan Facility. The interest rate in effect for the Term Loan Facility was 2.707% as of March 31, 2022.</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Revolving Credit Facility matures on September 25, 2024 and requires a commitment fee of 0.4% on undrawn commitments paid quarterly in arrears. As of March 31, 2022, the interest rate in effect was 2.707% on $39.9 million of outstanding borrowings under the Revolving Credit Facility. As of March 31, 2022, we had $50.1 million of borrowing availability under the Revolving Credit Facility.</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2019 Credit Agreement contains certain affirmative and negative covenants applicable to us and our restricted subsidiaries, including, among other things, limitations on our Consolidated Total Net Leverage Ratio (as defined in the 2019 Credit Agreement) and restrictions on changes in the nature of our business, acquisitions and other investments, indebtedness, liens, fundamental changes, dispositions, prepayment of other indebtedness, repurchases of stock, cash dividends, and other distributions. The 2019 Credit Facilities are guaranteed by our material domestic subsidiaries and are secured by substantially all of our tangible and intangible assets, including our intellectual property, and the equity interests of our subsidiaries, subject to certain exceptions.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See Note 7, “Long-Term Debt” in the Notes to Unaudited Condensed Consolidated Financial Statements included in this Quarterly Report for additional information regarding our debt.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our consolidated cash flows from operating, investing and financing activities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36,890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39,922</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(10,127)</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2022 was $36.9 million compared to net cash provided by operating activities of $39.9 million for the three months ended March 31, 2021. Net cash provided by operating activities for the three months ended March 31, 2022 reflects the net income of $11.6 million, as well as the add back for non-cash charges totaling $34.6 million, primarily driven by $19.6 million in stock-based compensation expense, $8.9 million of depreciation and $4.7 million of amortization related to intangibles. These changes were partially offset by changes in operating assets and liabilities of $9.3 million. Net cash provided by operating activities for the three months ended March 31, 2021 reflects the net income of $16.5 million, the add back for non-cash charges totaling $13.1 million, primarily driven by $6.2 million of depreciation and $4.7 million of amortization related to intangibles, as well as changes in operating assets and liabilities of $10.3 million.</w:t>
      </w:r>
    </w:p>
    <w:p>
      <w:pPr>
        <w:spacing w:after="0" w:line="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2022 was $17.8 million compared to net cash used in investing activities of $10.1 million for the three months ended March 31, 2021. Net cash used in investing activities primarily consisted of investments in technology and computers as well as build-out costs associated with site expansions to support revenue growth.</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2022 was $4.1 million compared to net cash used in financing activities of $1.3 million for the three months ended March 31, 2021. Net cash used in financing activities for the three months ended March 31, 2022 consisted of payments on long-term debt and payments for taxes related to net share settlement of equity awards. Net cash used in financing activities for the three months ended March 31, 2021 consisted primarily of payments on long-term debt.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Except as described in Note 2, “Summary of Significant Accounting Policies” in the Notes to Unaudited Condensed Consolidated Financial Statements, there have been no material changes to our critical accounting policies or in the underlying accounting assumptions and estimates used in such policies as reported in our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recent accounting pronouncements adopted and under evaluation, refer to Note 2, “Summary of Significant Accounting Policies” in the Notes to Unaudited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activities expose us to a variety of financial risks: market risk (includes foreign currency), interest rate risk and credit risk.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Our exposure to market risk arises principally from exchange rate risk. Although substantially all of our revenues are denominated in U.S. dollars, a substantial portion of our expenses were incurred and paid in the Philippine peso in the three months ended March 31, 2022 and 2021. We also incur expenses in U.S. dollars, and currencies of the other countries in which we have operations. The exchange rates among the Philippine peso and the U.S. dollar have changed substantially in recent years and may fluctuate substantially in the future.</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average exchange rate of the Philippine peso against the U.S. dollar increased from 48.30 pesos during the three months ended March 31, 2021 to 51.56 pesos during the three months ended March 31, 2022, representing a depreciation of the Philippine peso of 6.7%. Based upon our level of operations during the three months ended March 31, 2022 and excluding any forward contract arrangements that we had in place during that period, a 10% appreciation/depreciation in the Philippine Peso against the U.S. dollar would have increased or decreased our expenses incurred and paid in the Philippine Peso by approximately $9.0 million or $7.3 million, respectively, in the three months ended March 31, 2022.</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These derivatives have not been designated as hedges under ASC No. Topic 815,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Changes in the fair value of these derivatives are recognized in the consolidated statements of operations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other expense.</w:t>
      </w:r>
    </w:p>
    <w:p>
      <w:pPr>
        <w:spacing w:after="0" w:line="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we realized losses (gains) of $1.4 million and $(0.7) million, respectively, resulting from the settlement of forward contracts were included within other expense.</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we had outstanding forward contracts. The forward contract payable resulting from changes in fair value was recorded under accounts payable and accrued liabilities. For the three months ended March 31, 2022 and 2021, the unrealized losses on the forward contracts of $0.8 million and $1.8 million, respectively, were included within other expense.</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exposure to market risk is influenced by the changes in interest rates paid on any outstanding balance on our borrowings, mainly under our 2019 Credit Facilities. All of our borrowings outstanding under the 2019 Credit Facilities as of March 31, 2022 accrue interest at LIBOR plus 2.25%. Our total principal balance outstanding as of March 31, 2022 was $237.3 million. Based on the outstanding balances and interest rates under the 2019 Credit Facilities as of March 31, 2022, a hypothetical 10% increase or decrease in LIBOR would cause an increase or decrease in interest expense of approximately $0.1 million over the next 12 months.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2022, we had accounts receivable, net of allowance for doubtful accounts, of $172.4 million, of which $52.5 million was owed by two of our clients. Collectively, these clients represented approximately 30% of our gross accounts receivable as of March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design and operation of the Company’s disclosure controls and procedures as of March 31, 2022. Based upon that evaluation, the Company’s Chief Executive Officer and Chief Financial Officer concluded that, as of March 31, 2022, the design and operation of the Company’s disclosure controls and procedures were effective to accomplish their objectives at the reasonable assurance level.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60" w:firstLine="486"/>
        <w:spacing w:after="0" w:line="275"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Note 8, “Commitments and Contingencies” in the Notes to Unaudited Condensed Consolidated Financial Statements included in this Quarterly Report and is incorporated by reference into this Item 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 on Form 10-Q.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740" w:type="dxa"/>
            <w:vAlign w:val="bottom"/>
            <w:gridSpan w:val="15"/>
          </w:tcPr>
          <w:p>
            <w:pPr>
              <w:ind w:left="154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0" w:type="dxa"/>
            <w:vAlign w:val="bottom"/>
          </w:tcPr>
          <w:p>
            <w:pPr>
              <w:spacing w:after="0"/>
              <w:rPr>
                <w:sz w:val="1"/>
                <w:szCs w:val="1"/>
                <w:color w:val="auto"/>
              </w:rPr>
            </w:pPr>
          </w:p>
        </w:tc>
      </w:tr>
      <w:tr>
        <w:trPr>
          <w:trHeight w:val="272"/>
        </w:trPr>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0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10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100" w:type="dxa"/>
            <w:vAlign w:val="bottom"/>
            <w:gridSpan w:val="18"/>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Second Amended and Restated Certificate of Incorporation of TaskUs, Inc., dated as of June 10, 2021 (incorporated by reference to Exhibit</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on June 15,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00" w:type="dxa"/>
            <w:vAlign w:val="bottom"/>
            <w:gridSpan w:val="18"/>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Second Amended and Restated Bylaws of TaskUs, Inc., dated as of June 10, 2021 (incorporated by reference to Exhibit 3.2 to the</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3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Company’s Current Report on Form 8-K filed on June 15, 2021).</w:t>
              </w:r>
            </w:hyperlink>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4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Pay Change Memo, dated April 2, 2021, for Bryce Maddock.</w:t>
            </w:r>
          </w:p>
        </w:tc>
        <w:tc>
          <w:tcPr>
            <w:tcW w:w="260" w:type="dxa"/>
            <w:vAlign w:val="bottom"/>
            <w:tcBorders>
              <w:top w:val="single" w:sz="8" w:color="0000FF"/>
            </w:tcBorders>
          </w:tcPr>
          <w:p>
            <w:pPr>
              <w:spacing w:after="0"/>
              <w:rPr>
                <w:sz w:val="24"/>
                <w:szCs w:val="24"/>
                <w:color w:val="auto"/>
              </w:rPr>
            </w:pPr>
          </w:p>
        </w:tc>
        <w:tc>
          <w:tcPr>
            <w:tcW w:w="5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Founder Employment Agreement, dated as of June 2, 2015, by and between Jaspar Weir and TaskUs Holdings, Inc. (formerly known as</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78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TaskUs, Inc.).</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Pay Change Memo, dated April 2, 2021, for Jaspar Weir.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Merit Memo, dated February 18, 2021, for Jarrod Johnson.</w:t>
            </w:r>
          </w:p>
        </w:tc>
        <w:tc>
          <w:tcPr>
            <w:tcW w:w="586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6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Agreement under TaskUs, Inc. 2021 Omnibus Incentive Plan.</w:t>
            </w:r>
          </w:p>
        </w:tc>
        <w:tc>
          <w:tcPr>
            <w:tcW w:w="344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Option Agreement under TaskUs, Inc. 2021 Omnibus Incentive Plan.</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240" w:type="dxa"/>
            <w:vAlign w:val="bottom"/>
            <w:gridSpan w:val="6"/>
            <w:shd w:val="clear" w:color="auto" w:fill="0000FF"/>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Exchange Act Rules 13a-14(a) and 15d-14(a), as adopted pursuant to Section 302 of</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8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5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 as adopted pursuant to Section 302 of</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4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5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8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020" w:type="dxa"/>
            <w:vAlign w:val="bottom"/>
            <w:gridSpan w:val="1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9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right="3580" w:firstLine="26"/>
        <w:spacing w:after="0" w:line="315" w:lineRule="auto"/>
        <w:tabs>
          <w:tab w:leader="none" w:pos="11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Furnished herewith.</w:t>
      </w:r>
    </w:p>
    <w:p>
      <w:pPr>
        <w:spacing w:after="0" w:line="2"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TASKUS, INC.</w:t>
            </w:r>
          </w:p>
        </w:tc>
      </w:tr>
      <w:tr>
        <w:trPr>
          <w:trHeight w:val="234"/>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10, 2022</w:t>
            </w:r>
          </w:p>
        </w:tc>
        <w:tc>
          <w:tcPr>
            <w:tcW w:w="25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Balaji Sekar</w:t>
            </w:r>
          </w:p>
        </w:tc>
      </w:tr>
      <w:tr>
        <w:trPr>
          <w:trHeight w:val="218"/>
        </w:trPr>
        <w:tc>
          <w:tcPr>
            <w:tcW w:w="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Balaji Sekar</w:t>
            </w:r>
          </w:p>
        </w:tc>
      </w:tr>
      <w:tr>
        <w:trPr>
          <w:trHeight w:val="230"/>
        </w:trPr>
        <w:tc>
          <w:tcPr>
            <w:tcW w:w="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4"/>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10, 2022</w:t>
            </w:r>
          </w:p>
        </w:tc>
        <w:tc>
          <w:tcPr>
            <w:tcW w:w="25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Amaya</w:t>
            </w:r>
          </w:p>
        </w:tc>
      </w:tr>
      <w:tr>
        <w:trPr>
          <w:trHeight w:val="218"/>
        </w:trPr>
        <w:tc>
          <w:tcPr>
            <w:tcW w:w="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Amaya</w:t>
            </w:r>
          </w:p>
        </w:tc>
      </w:tr>
      <w:tr>
        <w:trPr>
          <w:trHeight w:val="229"/>
        </w:trPr>
        <w:tc>
          <w:tcPr>
            <w:tcW w:w="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President—Finance</w:t>
            </w:r>
          </w:p>
        </w:tc>
      </w:tr>
      <w:tr>
        <w:trPr>
          <w:trHeight w:val="234"/>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905"/>
        </w:trPr>
        <w:tc>
          <w:tcPr>
            <w:tcW w:w="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w:t>
            </w:r>
          </w:p>
        </w:tc>
        <w:tc>
          <w:tcPr>
            <w:tcW w:w="514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0" w:name="page31"/>
    <w:bookmarkEnd w:id="30"/>
    <w:p>
      <w:pPr>
        <w:spacing w:after="0" w:line="68"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11350" cy="420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9113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460"/>
        <w:spacing w:after="0"/>
        <w:rPr>
          <w:sz w:val="20"/>
          <w:szCs w:val="20"/>
          <w:color w:val="auto"/>
        </w:rPr>
      </w:pPr>
      <w:r>
        <w:rPr>
          <w:rFonts w:ascii="Arial" w:cs="Arial" w:eastAsia="Arial" w:hAnsi="Arial"/>
          <w:sz w:val="20"/>
          <w:szCs w:val="20"/>
          <w:b w:val="1"/>
          <w:bCs w:val="1"/>
          <w:color w:val="auto"/>
        </w:rPr>
        <w:t>CONFIDENTIAL</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April 2, 2021</w:t>
      </w: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Change Memo</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Dear Bryce,</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In light of the continuing COVID-19 pandemic, you agree to accept a reduced base salary to</w:t>
      </w:r>
    </w:p>
    <w:p>
      <w:pPr>
        <w:jc w:val="both"/>
        <w:ind w:left="160"/>
        <w:spacing w:after="0" w:line="225" w:lineRule="auto"/>
        <w:rPr>
          <w:sz w:val="20"/>
          <w:szCs w:val="20"/>
          <w:color w:val="auto"/>
        </w:rPr>
      </w:pPr>
      <w:r>
        <w:rPr>
          <w:rFonts w:ascii="Arial" w:cs="Arial" w:eastAsia="Arial" w:hAnsi="Arial"/>
          <w:sz w:val="20"/>
          <w:szCs w:val="20"/>
          <w:color w:val="auto"/>
        </w:rPr>
        <w:t>$30,000.00 effective December 21, 2020. You agree that you will reimburse TaskUs the overpayment of salary that you received between 12/21/2020 through 3/28/2021. The TaskUs Payroll team will provide repayment options, as well as applicable amendments for previous pay periods.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Below you will find details of this change:</w:t>
      </w:r>
    </w:p>
    <w:p>
      <w:pPr>
        <w:spacing w:after="0" w:line="272"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2180" w:type="dxa"/>
            <w:vAlign w:val="bottom"/>
          </w:tcPr>
          <w:p>
            <w:pPr>
              <w:ind w:left="1180"/>
              <w:spacing w:after="0"/>
              <w:rPr>
                <w:sz w:val="20"/>
                <w:szCs w:val="20"/>
                <w:color w:val="auto"/>
              </w:rPr>
            </w:pPr>
            <w:r>
              <w:rPr>
                <w:rFonts w:ascii="Arial" w:cs="Arial" w:eastAsia="Arial" w:hAnsi="Arial"/>
                <w:sz w:val="18"/>
                <w:szCs w:val="18"/>
                <w:color w:val="auto"/>
              </w:rPr>
              <w:t>CEO</w:t>
            </w: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Current Base Salary</w:t>
            </w:r>
          </w:p>
        </w:tc>
        <w:tc>
          <w:tcPr>
            <w:tcW w:w="2180" w:type="dxa"/>
            <w:vAlign w:val="bottom"/>
          </w:tcPr>
          <w:p>
            <w:pPr>
              <w:ind w:left="1180"/>
              <w:spacing w:after="0"/>
              <w:rPr>
                <w:sz w:val="20"/>
                <w:szCs w:val="20"/>
                <w:color w:val="auto"/>
              </w:rPr>
            </w:pPr>
            <w:r>
              <w:rPr>
                <w:rFonts w:ascii="Arial" w:cs="Arial" w:eastAsia="Arial" w:hAnsi="Arial"/>
                <w:sz w:val="18"/>
                <w:szCs w:val="18"/>
                <w:color w:val="auto"/>
                <w:w w:val="97"/>
              </w:rPr>
              <w:t>$350,000.00</w:t>
            </w: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Effective as of 12/21/2020</w:t>
            </w:r>
          </w:p>
        </w:tc>
        <w:tc>
          <w:tcPr>
            <w:tcW w:w="2180" w:type="dxa"/>
            <w:vAlign w:val="bottom"/>
          </w:tcPr>
          <w:p>
            <w:pPr>
              <w:ind w:left="1180"/>
              <w:spacing w:after="0"/>
              <w:rPr>
                <w:sz w:val="20"/>
                <w:szCs w:val="20"/>
                <w:color w:val="auto"/>
              </w:rPr>
            </w:pPr>
            <w:r>
              <w:rPr>
                <w:rFonts w:ascii="Arial" w:cs="Arial" w:eastAsia="Arial" w:hAnsi="Arial"/>
                <w:sz w:val="18"/>
                <w:szCs w:val="18"/>
                <w:b w:val="1"/>
                <w:bCs w:val="1"/>
                <w:color w:val="auto"/>
              </w:rPr>
              <w:t>$30,000.00</w:t>
            </w:r>
          </w:p>
        </w:tc>
      </w:tr>
      <w:tr>
        <w:trPr>
          <w:trHeight w:val="247"/>
        </w:trPr>
        <w:tc>
          <w:tcPr>
            <w:tcW w:w="336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2180" w:type="dxa"/>
            <w:vAlign w:val="bottom"/>
          </w:tcPr>
          <w:p>
            <w:pPr>
              <w:ind w:left="1180"/>
              <w:spacing w:after="0"/>
              <w:rPr>
                <w:sz w:val="20"/>
                <w:szCs w:val="20"/>
                <w:color w:val="auto"/>
              </w:rPr>
            </w:pPr>
            <w:r>
              <w:rPr>
                <w:rFonts w:ascii="Arial" w:cs="Arial" w:eastAsia="Arial" w:hAnsi="Arial"/>
                <w:sz w:val="18"/>
                <w:szCs w:val="18"/>
                <w:b w:val="1"/>
                <w:bCs w:val="1"/>
                <w:color w:val="auto"/>
              </w:rPr>
              <w:t>$0.00</w:t>
            </w:r>
          </w:p>
        </w:tc>
      </w:tr>
    </w:tbl>
    <w:p>
      <w:pPr>
        <w:spacing w:after="0" w:line="290" w:lineRule="exact"/>
        <w:rPr>
          <w:sz w:val="20"/>
          <w:szCs w:val="20"/>
          <w:color w:val="auto"/>
        </w:rPr>
      </w:pPr>
    </w:p>
    <w:p>
      <w:pPr>
        <w:ind w:left="160"/>
        <w:spacing w:after="0" w:line="213" w:lineRule="auto"/>
        <w:rPr>
          <w:sz w:val="20"/>
          <w:szCs w:val="20"/>
          <w:color w:val="auto"/>
        </w:rPr>
      </w:pPr>
      <w:r>
        <w:rPr>
          <w:rFonts w:ascii="Arial" w:cs="Arial" w:eastAsia="Arial" w:hAnsi="Arial"/>
          <w:sz w:val="20"/>
          <w:szCs w:val="20"/>
          <w:color w:val="auto"/>
        </w:rPr>
        <w:t>Your ROTH contributions are currently set up for a 5% deduction of your base salary. In order to obtain the $17,500.00 at year end, your ROTH deduction should be changed to 58.33%. It is highly recommended that you review your contributions</w:t>
      </w:r>
    </w:p>
    <w:p>
      <w:pPr>
        <w:spacing w:after="0" w:line="1" w:lineRule="exact"/>
        <w:rPr>
          <w:sz w:val="20"/>
          <w:szCs w:val="20"/>
          <w:color w:val="auto"/>
        </w:rPr>
      </w:pPr>
    </w:p>
    <w:p>
      <w:pPr>
        <w:ind w:left="160"/>
        <w:spacing w:after="0" w:line="232" w:lineRule="auto"/>
        <w:rPr>
          <w:sz w:val="20"/>
          <w:szCs w:val="20"/>
          <w:color w:val="auto"/>
        </w:rPr>
      </w:pPr>
      <w:r>
        <w:rPr>
          <w:rFonts w:ascii="Arial" w:cs="Arial" w:eastAsia="Arial" w:hAnsi="Arial"/>
          <w:sz w:val="20"/>
          <w:szCs w:val="20"/>
          <w:color w:val="auto"/>
        </w:rPr>
        <w:t xml:space="preserve">no later than April 8, 2021, and submit the necessary change on the mykplan site through ADP at </w:t>
      </w:r>
      <w:r>
        <w:rPr>
          <w:rFonts w:ascii="Arial" w:cs="Arial" w:eastAsia="Arial" w:hAnsi="Arial"/>
          <w:sz w:val="20"/>
          <w:szCs w:val="20"/>
          <w:u w:val="single" w:color="auto"/>
          <w:color w:val="0000FF"/>
        </w:rPr>
        <w:t>https://mykplan.adp.com/public/Login/index</w:t>
      </w:r>
      <w:r>
        <w:rPr>
          <w:rFonts w:ascii="Arial" w:cs="Arial" w:eastAsia="Arial" w:hAnsi="Arial"/>
          <w:sz w:val="20"/>
          <w:szCs w:val="20"/>
          <w:color w:val="000000"/>
        </w:rPr>
        <w:t>, or by calling 1-866-695-7526.</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Further, with the salary change, your Health Savings Account (HSA) deduction will need to be changed to $84.61 bi-weekly.</w:t>
      </w:r>
    </w:p>
    <w:p>
      <w:pPr>
        <w:ind w:left="160"/>
        <w:spacing w:after="0" w:line="225" w:lineRule="auto"/>
        <w:rPr>
          <w:sz w:val="20"/>
          <w:szCs w:val="20"/>
          <w:color w:val="auto"/>
        </w:rPr>
      </w:pPr>
      <w:r>
        <w:rPr>
          <w:rFonts w:ascii="Arial" w:cs="Arial" w:eastAsia="Arial" w:hAnsi="Arial"/>
          <w:sz w:val="20"/>
          <w:szCs w:val="20"/>
          <w:color w:val="auto"/>
        </w:rPr>
        <w:t>This will ensure you are still contributing the maximum for the year (2021) into your HSA. The TaskUs Benefits team will assist you with making this change to your HSA contributions.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9"/>
          <w:szCs w:val="19"/>
          <w:color w:val="auto"/>
        </w:rPr>
        <w:t>Additionally, your company paid life insurance is adjusted to $30,000.00, which is the maximum amount for your base salary.</w:t>
      </w:r>
    </w:p>
    <w:p>
      <w:pPr>
        <w:spacing w:after="0" w:line="227" w:lineRule="exact"/>
        <w:rPr>
          <w:sz w:val="20"/>
          <w:szCs w:val="20"/>
          <w:color w:val="auto"/>
        </w:rPr>
      </w:pPr>
    </w:p>
    <w:p>
      <w:pPr>
        <w:ind w:left="160" w:right="20"/>
        <w:spacing w:after="0" w:line="243" w:lineRule="auto"/>
        <w:rPr>
          <w:sz w:val="20"/>
          <w:szCs w:val="20"/>
          <w:color w:val="auto"/>
        </w:rPr>
      </w:pPr>
      <w:r>
        <w:rPr>
          <w:rFonts w:ascii="Arial" w:cs="Arial" w:eastAsia="Arial" w:hAnsi="Arial"/>
          <w:sz w:val="20"/>
          <w:szCs w:val="20"/>
          <w:color w:val="auto"/>
        </w:rPr>
        <w:t>You will be paid in accordance with TaskUs’ standard payroll practices and subject to all withholdings and deductions required by law. All other terms and conditions of your employment remain the same.</w:t>
      </w:r>
    </w:p>
    <w:p>
      <w:pPr>
        <w:spacing w:after="0" w:line="31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 have read and understand the forgoing provisions of this Memo. Agreed to and accepted by:</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/s/ Bryce Maddock</w:t>
            </w:r>
          </w:p>
        </w:tc>
        <w:tc>
          <w:tcPr>
            <w:tcW w:w="4160" w:type="dxa"/>
            <w:vAlign w:val="bottom"/>
          </w:tcPr>
          <w:p>
            <w:pPr>
              <w:ind w:left="20"/>
              <w:spacing w:after="0"/>
              <w:rPr>
                <w:sz w:val="20"/>
                <w:szCs w:val="20"/>
                <w:color w:val="auto"/>
              </w:rPr>
            </w:pPr>
            <w:r>
              <w:rPr>
                <w:rFonts w:ascii="Arial" w:cs="Arial" w:eastAsia="Arial" w:hAnsi="Arial"/>
                <w:sz w:val="18"/>
                <w:szCs w:val="18"/>
                <w:color w:val="auto"/>
              </w:rPr>
              <w:t>4/4/2021</w:t>
            </w:r>
          </w:p>
        </w:tc>
      </w:tr>
      <w:tr>
        <w:trPr>
          <w:trHeight w:val="232"/>
        </w:trPr>
        <w:tc>
          <w:tcPr>
            <w:tcW w:w="6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Bryce Maddock</w:t>
            </w:r>
          </w:p>
        </w:tc>
        <w:tc>
          <w:tcPr>
            <w:tcW w:w="820" w:type="dxa"/>
            <w:vAlign w:val="bottom"/>
          </w:tcPr>
          <w:p>
            <w:pPr>
              <w:spacing w:after="0"/>
              <w:rPr>
                <w:sz w:val="20"/>
                <w:szCs w:val="20"/>
                <w:color w:val="auto"/>
              </w:rPr>
            </w:pPr>
          </w:p>
        </w:tc>
        <w:tc>
          <w:tcPr>
            <w:tcW w:w="4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140"/>
          </w:cols>
          <w:pgMar w:left="320" w:top="1440" w:right="439" w:bottom="1440" w:gutter="0" w:footer="0" w:header="0"/>
        </w:sectPr>
      </w:pPr>
    </w:p>
    <w:bookmarkStart w:id="31" w:name="page32"/>
    <w:bookmarkEnd w:id="31"/>
    <w:p>
      <w:pPr>
        <w:spacing w:after="0" w:line="4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8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FOUNDER EMPLOYMENT AGREEMENT</w:t>
      </w:r>
    </w:p>
    <w:p>
      <w:pPr>
        <w:spacing w:after="0" w:line="200" w:lineRule="exact"/>
        <w:rPr>
          <w:sz w:val="20"/>
          <w:szCs w:val="20"/>
          <w:color w:val="auto"/>
        </w:rPr>
      </w:pPr>
    </w:p>
    <w:p>
      <w:pPr>
        <w:spacing w:after="0" w:line="255" w:lineRule="exact"/>
        <w:rPr>
          <w:sz w:val="20"/>
          <w:szCs w:val="20"/>
          <w:color w:val="auto"/>
        </w:rPr>
      </w:pPr>
    </w:p>
    <w:p>
      <w:pPr>
        <w:ind w:right="120" w:firstLine="65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THIS FOUNDER EMPLOYMENT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as of the 2nd 2nd day of June, 2015,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between Jaspar Weir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TASKUS,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desires to compensate the Executive for his services to the Company.</w:t>
      </w:r>
    </w:p>
    <w:p>
      <w:pPr>
        <w:spacing w:after="0" w:line="212" w:lineRule="exact"/>
        <w:rPr>
          <w:sz w:val="20"/>
          <w:szCs w:val="20"/>
          <w:color w:val="auto"/>
        </w:rPr>
      </w:pPr>
    </w:p>
    <w:p>
      <w:pPr>
        <w:ind w:right="20" w:firstLine="6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Executive wishes to be employed by the Company and provide services to the Company in return for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w:t>
      </w:r>
    </w:p>
    <w:p>
      <w:pPr>
        <w:spacing w:after="0" w:line="16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promises and covenants contained in this Agreement, the parties agree to the following:</w:t>
      </w:r>
    </w:p>
    <w:p>
      <w:pPr>
        <w:spacing w:after="0" w:line="221" w:lineRule="exact"/>
        <w:rPr>
          <w:sz w:val="20"/>
          <w:szCs w:val="20"/>
          <w:color w:val="auto"/>
        </w:rPr>
      </w:pPr>
    </w:p>
    <w:p>
      <w:pPr>
        <w:ind w:left="840" w:hanging="172"/>
        <w:spacing w:after="0"/>
        <w:tabs>
          <w:tab w:leader="none" w:pos="8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EMPLOYMENT BY THE COMPANY</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ind w:firstLine="130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Effective Date;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date of this Agreement will be the date first set forth above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xml:space="preserve">”). This Agreement will continue in effect through the date on which this Agreement is terminated pursuant to </w:t>
      </w: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30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terms set forth in this Agreement, the Company agrees to employ Executive in the 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[Chief Executive Officer][President] and the Executive hereby accepts such employment under the terms of this Agreement effective as of the Effective Date. During the term of his employment with the Company and except as otherwise contemplated by this Agreement, the Executive will devote his best efforts and all of his business time and attention (except for vacation periods and reasonable periods of illness or other incapacities permitted by the Company’s general employment policies) to the business of the Company.</w:t>
      </w:r>
    </w:p>
    <w:p>
      <w:pPr>
        <w:spacing w:after="0" w:line="181" w:lineRule="exact"/>
        <w:rPr>
          <w:sz w:val="20"/>
          <w:szCs w:val="20"/>
          <w:color w:val="auto"/>
        </w:rPr>
      </w:pPr>
    </w:p>
    <w:p>
      <w:pPr>
        <w:jc w:val="both"/>
        <w:ind w:firstLine="131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will serve in an executive capacity and will perform such duties as are assigned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by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131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Other Employment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employment relationship between the parties will also be governed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employment policies and practices of the Company, including those relating to protection of confidential information and assignment of inventions, except that when the terms of this Agreement differ from or are in conflict with the Company’s general employment policies or practices, this Agreement will control.</w:t>
      </w:r>
    </w:p>
    <w:p>
      <w:pPr>
        <w:spacing w:after="0" w:line="3" w:lineRule="exact"/>
        <w:rPr>
          <w:sz w:val="20"/>
          <w:szCs w:val="20"/>
          <w:color w:val="auto"/>
        </w:rPr>
      </w:pPr>
    </w:p>
    <w:p>
      <w:pPr>
        <w:ind w:left="1300" w:right="7100" w:hanging="642"/>
        <w:spacing w:after="0" w:line="457" w:lineRule="auto"/>
        <w:tabs>
          <w:tab w:leader="none" w:pos="832" w:val="left"/>
        </w:tabs>
        <w:numPr>
          <w:ilvl w:val="1"/>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COMPENSATION</w:t>
      </w:r>
      <w:r>
        <w:rPr>
          <w:rFonts w:ascii="Times New Roman" w:cs="Times New Roman" w:eastAsia="Times New Roman" w:hAnsi="Times New Roman"/>
          <w:sz w:val="17"/>
          <w:szCs w:val="17"/>
          <w:b w:val="1"/>
          <w:bCs w:val="1"/>
          <w:color w:val="auto"/>
        </w:rPr>
        <w:t xml:space="preserve">. 2.1 </w:t>
      </w:r>
      <w:r>
        <w:rPr>
          <w:rFonts w:ascii="Times New Roman" w:cs="Times New Roman" w:eastAsia="Times New Roman" w:hAnsi="Times New Roman"/>
          <w:sz w:val="17"/>
          <w:szCs w:val="17"/>
          <w:b w:val="1"/>
          <w:bCs w:val="1"/>
          <w:u w:val="single" w:color="auto"/>
          <w:color w:val="auto"/>
        </w:rPr>
        <w:t>Base Salary</w:t>
      </w:r>
      <w:r>
        <w:rPr>
          <w:rFonts w:ascii="Times New Roman" w:cs="Times New Roman" w:eastAsia="Times New Roman" w:hAnsi="Times New Roman"/>
          <w:sz w:val="17"/>
          <w:szCs w:val="17"/>
          <w:b w:val="1"/>
          <w:bCs w:val="1"/>
          <w:color w:val="auto"/>
        </w:rPr>
        <w:t>.</w:t>
      </w:r>
    </w:p>
    <w:p>
      <w:pPr>
        <w:spacing w:after="0" w:line="5" w:lineRule="exact"/>
        <w:rPr>
          <w:rFonts w:ascii="Times New Roman" w:cs="Times New Roman" w:eastAsia="Times New Roman" w:hAnsi="Times New Roman"/>
          <w:sz w:val="17"/>
          <w:szCs w:val="17"/>
          <w:b w:val="1"/>
          <w:bCs w:val="1"/>
          <w:color w:val="auto"/>
        </w:rPr>
      </w:pPr>
    </w:p>
    <w:p>
      <w:pPr>
        <w:ind w:firstLine="1959"/>
        <w:spacing w:after="0" w:line="266" w:lineRule="auto"/>
        <w:tabs>
          <w:tab w:leader="none" w:pos="2208"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will receive an initial annualized base salary for fiscal year 2015 of $175,000, subject to standard federal and state withholding requirements, payable in accordance with Company’s standard payroll practices.</w:t>
      </w:r>
    </w:p>
    <w:p>
      <w:pPr>
        <w:spacing w:after="0" w:line="162" w:lineRule="exact"/>
        <w:rPr>
          <w:rFonts w:ascii="Times New Roman" w:cs="Times New Roman" w:eastAsia="Times New Roman" w:hAnsi="Times New Roman"/>
          <w:sz w:val="18"/>
          <w:szCs w:val="18"/>
          <w:b w:val="1"/>
          <w:bCs w:val="1"/>
          <w:color w:val="auto"/>
        </w:rPr>
      </w:pPr>
    </w:p>
    <w:p>
      <w:pPr>
        <w:ind w:left="2220" w:hanging="261"/>
        <w:spacing w:after="0"/>
        <w:tabs>
          <w:tab w:leader="none" w:pos="2220"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Executive’s annualized base salary for fiscal year 2016 will increase to $250,000 in the event that</w:t>
      </w:r>
    </w:p>
    <w:p>
      <w:pPr>
        <w:spacing w:after="0" w:line="15" w:lineRule="exact"/>
        <w:rPr>
          <w:rFonts w:ascii="Times New Roman" w:cs="Times New Roman" w:eastAsia="Times New Roman" w:hAnsi="Times New Roman"/>
          <w:sz w:val="18"/>
          <w:szCs w:val="18"/>
          <w:b w:val="1"/>
          <w:bCs w:val="1"/>
          <w:color w:val="auto"/>
        </w:rPr>
      </w:pPr>
    </w:p>
    <w:p>
      <w:pPr>
        <w:jc w:val="both"/>
        <w:ind w:firstLine="5"/>
        <w:spacing w:after="0" w:line="234" w:lineRule="auto"/>
        <w:tabs>
          <w:tab w:leader="none" w:pos="2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revenues of the Company (including its predecessor TaskUs, LLC) and its subsidiaries for fiscal year 2015 (“</w:t>
      </w:r>
      <w:r>
        <w:rPr>
          <w:rFonts w:ascii="Times New Roman" w:cs="Times New Roman" w:eastAsia="Times New Roman" w:hAnsi="Times New Roman"/>
          <w:sz w:val="18"/>
          <w:szCs w:val="18"/>
          <w:b w:val="1"/>
          <w:bCs w:val="1"/>
          <w:i w:val="1"/>
          <w:iCs w:val="1"/>
          <w:color w:val="auto"/>
        </w:rPr>
        <w:t>2015 Revenue</w:t>
      </w:r>
      <w:r>
        <w:rPr>
          <w:rFonts w:ascii="Times New Roman" w:cs="Times New Roman" w:eastAsia="Times New Roman" w:hAnsi="Times New Roman"/>
          <w:sz w:val="18"/>
          <w:szCs w:val="18"/>
          <w:color w:val="auto"/>
        </w:rPr>
        <w:t>”) are at least $30,000,000 (“</w:t>
      </w:r>
      <w:r>
        <w:rPr>
          <w:rFonts w:ascii="Times New Roman" w:cs="Times New Roman" w:eastAsia="Times New Roman" w:hAnsi="Times New Roman"/>
          <w:sz w:val="18"/>
          <w:szCs w:val="18"/>
          <w:b w:val="1"/>
          <w:bCs w:val="1"/>
          <w:i w:val="1"/>
          <w:iCs w:val="1"/>
          <w:color w:val="auto"/>
        </w:rPr>
        <w:t>Revenue Target</w:t>
      </w:r>
      <w:r>
        <w:rPr>
          <w:rFonts w:ascii="Times New Roman" w:cs="Times New Roman" w:eastAsia="Times New Roman" w:hAnsi="Times New Roman"/>
          <w:sz w:val="18"/>
          <w:szCs w:val="18"/>
          <w:color w:val="auto"/>
        </w:rPr>
        <w:t xml:space="preserve">”) and (ii) the consolidated revenues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consolidated expenses of the Company (including its predecessor TaskUs, LLC) and its subsidiaries, excluding tax, interest, depreciation and amortization expenses, for fiscal year 2015 (“</w:t>
      </w:r>
      <w:r>
        <w:rPr>
          <w:rFonts w:ascii="Times New Roman" w:cs="Times New Roman" w:eastAsia="Times New Roman" w:hAnsi="Times New Roman"/>
          <w:sz w:val="18"/>
          <w:szCs w:val="18"/>
          <w:b w:val="1"/>
          <w:bCs w:val="1"/>
          <w:i w:val="1"/>
          <w:iCs w:val="1"/>
          <w:color w:val="auto"/>
        </w:rPr>
        <w:t>2015 EBITDA</w:t>
      </w:r>
      <w:r>
        <w:rPr>
          <w:rFonts w:ascii="Times New Roman" w:cs="Times New Roman" w:eastAsia="Times New Roman" w:hAnsi="Times New Roman"/>
          <w:sz w:val="18"/>
          <w:szCs w:val="18"/>
          <w:color w:val="auto"/>
        </w:rPr>
        <w:t>”) are at least $3,000,000 (“</w:t>
      </w:r>
      <w:r>
        <w:rPr>
          <w:rFonts w:ascii="Times New Roman" w:cs="Times New Roman" w:eastAsia="Times New Roman" w:hAnsi="Times New Roman"/>
          <w:sz w:val="18"/>
          <w:szCs w:val="18"/>
          <w:b w:val="1"/>
          <w:bCs w:val="1"/>
          <w:i w:val="1"/>
          <w:iCs w:val="1"/>
          <w:color w:val="auto"/>
        </w:rPr>
        <w:t>EBITDA Target</w:t>
      </w:r>
      <w:r>
        <w:rPr>
          <w:rFonts w:ascii="Times New Roman" w:cs="Times New Roman" w:eastAsia="Times New Roman" w:hAnsi="Times New Roman"/>
          <w:sz w:val="18"/>
          <w:szCs w:val="18"/>
          <w:color w:val="auto"/>
        </w:rPr>
        <w:t>”), in each case as measured in United States dollars, determined in accordance with generally accepted accounting principles of the United States, consistently applied, and as reflected in the Company’s 2015 audited financial statements. For the avoidance of doubt, any value-added tax incurred by the subsidiaries of the Company that is expensed in the 2015 audited</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financial statements shall be excluded from the calculation of consolidated expenses of the Company for purposes of clause (ii) of this </w:t>
      </w:r>
      <w:r>
        <w:rPr>
          <w:rFonts w:ascii="Times New Roman" w:cs="Times New Roman" w:eastAsia="Times New Roman" w:hAnsi="Times New Roman"/>
          <w:sz w:val="18"/>
          <w:szCs w:val="18"/>
          <w:b w:val="1"/>
          <w:bCs w:val="1"/>
          <w:color w:val="auto"/>
        </w:rPr>
        <w:t>Section 2.1(b).</w:t>
      </w:r>
    </w:p>
    <w:p>
      <w:pPr>
        <w:spacing w:after="0" w:line="162" w:lineRule="exact"/>
        <w:rPr>
          <w:sz w:val="20"/>
          <w:szCs w:val="20"/>
          <w:color w:val="auto"/>
        </w:rPr>
      </w:pPr>
    </w:p>
    <w:p>
      <w:pPr>
        <w:jc w:val="both"/>
        <w:ind w:right="20" w:firstLine="1959"/>
        <w:spacing w:after="0" w:line="250" w:lineRule="auto"/>
        <w:tabs>
          <w:tab w:leader="none" w:pos="222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January 1, 2017, and every year thereafter in which the Executive is employed by the Company, the Board will approve in good faith an appropriate base salary increase in line with market compensation packages for executives of companies equivalent to the Company.</w:t>
      </w: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Performance Bonus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jc w:val="both"/>
        <w:ind w:right="20" w:firstLine="1959"/>
        <w:spacing w:after="0" w:line="250" w:lineRule="auto"/>
        <w:tabs>
          <w:tab w:leader="none" w:pos="220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Executive will be eligible for an annual performance bonus for fiscal year 2015 in the form of a cash payment in an amount of up to 50% of the Executive’s base salary based on the achievement of performance goals set forth on </w:t>
      </w:r>
      <w:r>
        <w:rPr>
          <w:rFonts w:ascii="Times New Roman" w:cs="Times New Roman" w:eastAsia="Times New Roman" w:hAnsi="Times New Roman"/>
          <w:sz w:val="18"/>
          <w:szCs w:val="18"/>
          <w:b w:val="1"/>
          <w:bCs w:val="1"/>
          <w:color w:val="auto"/>
        </w:rPr>
        <w:t xml:space="preserve">Exhibit B </w:t>
      </w:r>
      <w:r>
        <w:rPr>
          <w:rFonts w:ascii="Times New Roman" w:cs="Times New Roman" w:eastAsia="Times New Roman" w:hAnsi="Times New Roman"/>
          <w:sz w:val="18"/>
          <w:szCs w:val="18"/>
          <w:color w:val="auto"/>
        </w:rPr>
        <w:t>attached hereto.</w:t>
      </w:r>
    </w:p>
    <w:p>
      <w:pPr>
        <w:spacing w:after="0" w:line="176" w:lineRule="exact"/>
        <w:rPr>
          <w:rFonts w:ascii="Times New Roman" w:cs="Times New Roman" w:eastAsia="Times New Roman" w:hAnsi="Times New Roman"/>
          <w:sz w:val="18"/>
          <w:szCs w:val="18"/>
          <w:b w:val="1"/>
          <w:bCs w:val="1"/>
          <w:color w:val="auto"/>
        </w:rPr>
      </w:pPr>
    </w:p>
    <w:p>
      <w:pPr>
        <w:jc w:val="both"/>
        <w:ind w:firstLine="1959"/>
        <w:spacing w:after="0"/>
        <w:tabs>
          <w:tab w:leader="none" w:pos="221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will be eligible for an annual performance bonus for fiscal year 2016, in the form of a cash payment in an amount of up to 50% of the Executive’s base salary then in effect, based on the achievement of mutually agreed upon performance goals tied to a balanced scorecard that represents the overall performance of the Company and its subsidiaries, which will be set forth in a separate written performance plan prior to January 1, 2016.</w:t>
      </w:r>
    </w:p>
    <w:p>
      <w:pPr>
        <w:spacing w:after="0" w:line="198" w:lineRule="exact"/>
        <w:rPr>
          <w:rFonts w:ascii="Times New Roman" w:cs="Times New Roman" w:eastAsia="Times New Roman" w:hAnsi="Times New Roman"/>
          <w:sz w:val="18"/>
          <w:szCs w:val="18"/>
          <w:b w:val="1"/>
          <w:bCs w:val="1"/>
          <w:color w:val="auto"/>
        </w:rPr>
      </w:pPr>
    </w:p>
    <w:p>
      <w:pPr>
        <w:jc w:val="both"/>
        <w:ind w:firstLine="1959"/>
        <w:spacing w:after="0" w:line="250" w:lineRule="auto"/>
        <w:tabs>
          <w:tab w:leader="none" w:pos="223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January 1, 2017, and every year thereafter in which the Executive is employed by the Company, the Board will approve in good faith an appropriate performance bonus plan for the subsequent fiscal year in line with</w:t>
      </w:r>
    </w:p>
    <w:p>
      <w:pPr>
        <w:sectPr>
          <w:pgSz w:w="11900" w:h="16885" w:orient="portrait"/>
          <w:cols w:equalWidth="0" w:num="1">
            <w:col w:w="9620"/>
          </w:cols>
          <w:pgMar w:left="1300" w:top="347" w:right="979" w:bottom="0" w:gutter="0" w:footer="0" w:header="0"/>
        </w:sectPr>
      </w:pPr>
    </w:p>
    <w:bookmarkStart w:id="32" w:name="page33"/>
    <w:bookmarkEnd w:id="32"/>
    <w:p>
      <w:pPr>
        <w:spacing w:after="0" w:line="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market compensation packages for executives of companies equivalent to the Company. Such performance bonus plan will be tied to a balanced scorecard that represents the overall performance of the Company and its subsidiaries.</w:t>
      </w:r>
    </w:p>
    <w:p>
      <w:pPr>
        <w:spacing w:after="0" w:line="189" w:lineRule="exact"/>
        <w:rPr>
          <w:sz w:val="20"/>
          <w:szCs w:val="20"/>
          <w:color w:val="auto"/>
        </w:rPr>
      </w:pPr>
    </w:p>
    <w:p>
      <w:pPr>
        <w:jc w:val="both"/>
        <w:ind w:firstLine="1959"/>
        <w:spacing w:after="0" w:line="235" w:lineRule="auto"/>
        <w:tabs>
          <w:tab w:leader="none" w:pos="223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determine in good faith whether, and to what extent, the Executive has achieved the performance goals upon which the Executive’s bonus is based. The bonus for each fiscal year, if earned, will be paid to the Executive within the time period set forth in the written performance plan, or if no such time period was established, within the first thirty (30) days after the close of the applicable fiscal year (and in no event later than March 15 of the following calendar year). In order to earn a performance bonus for any given fiscal year, the Executive must remain an employee through the end of the applicable fiscal year. The Executive will not be eligible for, and will not earn, any performance bonus (including any partial or prorated bonus) if his employment ends for any reason, including but not limited to voluntary termination by the Executive or involuntary termination by the Company, before the end of the fiscal year.</w:t>
      </w:r>
    </w:p>
    <w:p>
      <w:pPr>
        <w:spacing w:after="0" w:line="184" w:lineRule="exact"/>
        <w:rPr>
          <w:sz w:val="20"/>
          <w:szCs w:val="20"/>
          <w:color w:val="auto"/>
        </w:rPr>
      </w:pPr>
    </w:p>
    <w:p>
      <w:pPr>
        <w:jc w:val="both"/>
        <w:ind w:right="20" w:firstLine="130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Standard Company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will be entitled to all rights and benefits for which he is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terms and conditions of the standard Company benefits and compensation practices which may be in effect from time to time and provided by the Company to its employees generally.</w:t>
      </w:r>
    </w:p>
    <w:p>
      <w:pPr>
        <w:spacing w:after="0" w:line="172" w:lineRule="exact"/>
        <w:rPr>
          <w:sz w:val="20"/>
          <w:szCs w:val="20"/>
          <w:color w:val="auto"/>
        </w:rPr>
      </w:pPr>
    </w:p>
    <w:p>
      <w:pPr>
        <w:jc w:val="both"/>
        <w:ind w:right="20" w:firstLine="13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Expense Reimbursement</w:t>
      </w:r>
      <w:r>
        <w:rPr>
          <w:rFonts w:ascii="Times New Roman" w:cs="Times New Roman" w:eastAsia="Times New Roman" w:hAnsi="Times New Roman"/>
          <w:sz w:val="18"/>
          <w:szCs w:val="18"/>
          <w:color w:val="auto"/>
        </w:rPr>
        <w:t>. The Company will reimburse the Executive for reasonable business expenses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Company’s standard reimbursement policy.</w:t>
      </w:r>
    </w:p>
    <w:p>
      <w:pPr>
        <w:spacing w:after="0" w:line="154" w:lineRule="exact"/>
        <w:rPr>
          <w:sz w:val="20"/>
          <w:szCs w:val="20"/>
          <w:color w:val="auto"/>
        </w:rPr>
      </w:pPr>
    </w:p>
    <w:p>
      <w:pPr>
        <w:ind w:firstLine="656"/>
        <w:spacing w:after="0" w:line="271" w:lineRule="auto"/>
        <w:tabs>
          <w:tab w:leader="none" w:pos="85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 INFORMATION AND INVENTIONS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agrees to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abide by the Employee Confidential Information and Inventions Assignment Agreement attached to this Agreement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153" w:lineRule="exact"/>
        <w:rPr>
          <w:rFonts w:ascii="Times New Roman" w:cs="Times New Roman" w:eastAsia="Times New Roman" w:hAnsi="Times New Roman"/>
          <w:sz w:val="18"/>
          <w:szCs w:val="18"/>
          <w:b w:val="1"/>
          <w:bCs w:val="1"/>
          <w:color w:val="auto"/>
        </w:rPr>
      </w:pPr>
    </w:p>
    <w:p>
      <w:pPr>
        <w:ind w:left="840" w:hanging="182"/>
        <w:spacing w:after="0"/>
        <w:tabs>
          <w:tab w:leader="none" w:pos="8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OUTSIDE ACTIVITIES</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ind w:firstLine="1301"/>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Other Employment/Enterprise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with the prior written consent of the Board, the Executive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employed by the Company, undertake or engage in any other employment, occupation or business enterprise, other than ones in which the Executive is a passive investor and any services performed by the Executive do not materially interfere with the performance of his duties under this Agreement. Notwithstanding the foregoing, the Executive may (a) engage in civic and not-for-profit activities and (b) accept board, advisor or similar positions with other companies, in each case so long as such activities do not materially interfere with the performance of his duties under this Agreement.</w:t>
      </w:r>
    </w:p>
    <w:p>
      <w:pPr>
        <w:spacing w:after="0" w:line="181" w:lineRule="exact"/>
        <w:rPr>
          <w:sz w:val="20"/>
          <w:szCs w:val="20"/>
          <w:color w:val="auto"/>
        </w:rPr>
      </w:pPr>
    </w:p>
    <w:p>
      <w:pPr>
        <w:jc w:val="both"/>
        <w:ind w:left="20" w:firstLine="1293"/>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Conflicting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permitted by</w:t>
      </w:r>
      <w:r>
        <w:rPr>
          <w:rFonts w:ascii="Times New Roman" w:cs="Times New Roman" w:eastAsia="Times New Roman" w:hAnsi="Times New Roman"/>
          <w:sz w:val="18"/>
          <w:szCs w:val="18"/>
          <w:b w:val="1"/>
          <w:bCs w:val="1"/>
          <w:color w:val="auto"/>
        </w:rPr>
        <w:t xml:space="preserve"> Section 4.3</w:t>
      </w:r>
      <w:r>
        <w:rPr>
          <w:rFonts w:ascii="Times New Roman" w:cs="Times New Roman" w:eastAsia="Times New Roman" w:hAnsi="Times New Roman"/>
          <w:sz w:val="18"/>
          <w:szCs w:val="18"/>
          <w:color w:val="auto"/>
        </w:rPr>
        <w:t>, while employed by the Company, Executive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to acquire, assume or participate in, directly or indirectly, any position, investment or interest known by him to be adverse or antagonistic to the Company, its business or prospects, financial or otherwise.</w:t>
      </w:r>
    </w:p>
    <w:p>
      <w:pPr>
        <w:spacing w:after="0" w:line="171" w:lineRule="exact"/>
        <w:rPr>
          <w:sz w:val="20"/>
          <w:szCs w:val="20"/>
          <w:color w:val="auto"/>
        </w:rPr>
      </w:pPr>
    </w:p>
    <w:p>
      <w:pPr>
        <w:jc w:val="both"/>
        <w:ind w:firstLine="130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Competing Enterprises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employed by the Company, except on behalf of the Company, the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directly or indirectly, whether as an officer, director, stockholder, partner, proprietor, associate, representative, consultant, or in any capacity whatsoever engage in, become financially</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interested in, be employed by or have any business connection with any other person, corporation, firm, partnership or other entity whatsoever which were known by him to compete directly with the Company, throughout the world, in any line of business engaged in (or planned to be engaged in) by the Company;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above to the contrary notwithstanding, the Executive may own, as a passive investor, securities of any public competitor corporation, so long as his direct holdings in any one such corporation will not in the aggregate constitute more than 1% of the voting stock of such corporation.</w:t>
      </w:r>
    </w:p>
    <w:p>
      <w:pPr>
        <w:spacing w:after="0" w:line="180" w:lineRule="exact"/>
        <w:rPr>
          <w:sz w:val="20"/>
          <w:szCs w:val="20"/>
          <w:color w:val="auto"/>
        </w:rPr>
      </w:pPr>
    </w:p>
    <w:p>
      <w:pPr>
        <w:jc w:val="both"/>
        <w:ind w:left="20" w:firstLine="1295"/>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Non-Solicitation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employed by the Company and for two (2) years following 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 except on behalf of the Company, the Executive will not, directly or indirectly, solicit or attempt to solicit any employee, independent contractor or consultant of the Company to terminate his, her or its relationship with Company in order to become an employee, consultant, or independent contractor to or for any other person or entity.</w:t>
      </w:r>
    </w:p>
    <w:p>
      <w:pPr>
        <w:spacing w:after="0" w:line="177" w:lineRule="exact"/>
        <w:rPr>
          <w:sz w:val="20"/>
          <w:szCs w:val="20"/>
          <w:color w:val="auto"/>
        </w:rPr>
      </w:pPr>
    </w:p>
    <w:p>
      <w:pPr>
        <w:ind w:left="840" w:hanging="181"/>
        <w:spacing w:after="0"/>
        <w:tabs>
          <w:tab w:leader="none" w:pos="8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FORMER EMPLOYMENT</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ind w:firstLine="1299"/>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No Conflict With Existing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represents that his performance of all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as an employee of the Company does not and will not breach any agreement or obligation of any kind made prior to his employment by the Company, including agreements or obligations he may have with prior employers or entities for which he has provided services. The Executive has not entered into, and agrees he will not enter into, any agreement or obligation either written or oral in conflict with this Agreement.</w:t>
      </w:r>
    </w:p>
    <w:p>
      <w:pPr>
        <w:spacing w:after="0" w:line="184" w:lineRule="exact"/>
        <w:rPr>
          <w:sz w:val="20"/>
          <w:szCs w:val="20"/>
          <w:color w:val="auto"/>
        </w:rPr>
      </w:pPr>
    </w:p>
    <w:p>
      <w:pPr>
        <w:jc w:val="both"/>
        <w:ind w:firstLine="1299"/>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No Disclosure of 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in spite of the second sentence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Section 5.1</w:t>
      </w:r>
      <w:r>
        <w:rPr>
          <w:rFonts w:ascii="Times New Roman" w:cs="Times New Roman" w:eastAsia="Times New Roman" w:hAnsi="Times New Roman"/>
          <w:sz w:val="18"/>
          <w:szCs w:val="18"/>
          <w:color w:val="auto"/>
        </w:rPr>
        <w:t>, the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find that confidential information belonging to any former employer might be usable in connection with the Company’s business, the Executive will not intentionally disclose to the Company or use on behalf of the Company any confidential information belonging to any of the Executive’s former employers (except in accordance with agreements between the Company and any such former employer); but during the Executive’s employment by the Company he will use in the performance of his duties all information which is generally known and used by persons with training and experience comparable to his own and all information which is common knowledge in the industry or otherwise legally in the public domain.</w:t>
      </w:r>
    </w:p>
    <w:p>
      <w:pPr>
        <w:spacing w:after="0" w:line="183" w:lineRule="exact"/>
        <w:rPr>
          <w:sz w:val="20"/>
          <w:szCs w:val="20"/>
          <w:color w:val="auto"/>
        </w:rPr>
      </w:pPr>
    </w:p>
    <w:p>
      <w:pPr>
        <w:ind w:left="840" w:hanging="180"/>
        <w:spacing w:after="0"/>
        <w:tabs>
          <w:tab w:leader="none" w:pos="8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b w:val="1"/>
          <w:bCs w:val="1"/>
          <w:color w:val="auto"/>
        </w:rPr>
        <w:t>.</w:t>
      </w:r>
    </w:p>
    <w:p>
      <w:pPr>
        <w:spacing w:after="0" w:line="198" w:lineRule="exact"/>
        <w:rPr>
          <w:sz w:val="20"/>
          <w:szCs w:val="20"/>
          <w:color w:val="auto"/>
        </w:rPr>
      </w:pPr>
    </w:p>
    <w:p>
      <w:pPr>
        <w:jc w:val="both"/>
        <w:ind w:right="20" w:firstLine="129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At-Will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acknowledge that the Executive’s employment with the Company is at-will,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that either party may terminate the Executive’s employment with the Company at any time, with or without advance notice, and for any reason whatsoever. The provisions of this Agreement do not alter this at-will status.</w:t>
      </w:r>
    </w:p>
    <w:p>
      <w:pPr>
        <w:spacing w:after="0" w:line="171" w:lineRule="exact"/>
        <w:rPr>
          <w:sz w:val="20"/>
          <w:szCs w:val="20"/>
          <w:color w:val="auto"/>
        </w:rPr>
      </w:pPr>
    </w:p>
    <w:p>
      <w:pPr>
        <w:jc w:val="both"/>
        <w:ind w:firstLine="1299"/>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Cooperation With the Company After Termination of Employment</w:t>
      </w:r>
      <w:r>
        <w:rPr>
          <w:rFonts w:ascii="Times New Roman" w:cs="Times New Roman" w:eastAsia="Times New Roman" w:hAnsi="Times New Roman"/>
          <w:sz w:val="18"/>
          <w:szCs w:val="18"/>
          <w:color w:val="auto"/>
        </w:rPr>
        <w:t>. Following 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 for any reason, he will fully cooperate with the Company in all matters relating to the winding up of his pending work including, but not limited to, any litigation in which the Company is involved, and the orderly transfer of any such pending work to such other employees as may be designated by the Company.</w:t>
      </w:r>
    </w:p>
    <w:p>
      <w:pPr>
        <w:spacing w:after="0" w:line="208" w:lineRule="exact"/>
        <w:rPr>
          <w:sz w:val="20"/>
          <w:szCs w:val="20"/>
          <w:color w:val="auto"/>
        </w:rPr>
      </w:pPr>
    </w:p>
    <w:p>
      <w:pPr>
        <w:ind w:left="840" w:hanging="182"/>
        <w:spacing w:after="0"/>
        <w:tabs>
          <w:tab w:leader="none" w:pos="8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right="20" w:firstLine="1298"/>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7.1 </w:t>
      </w: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notices provided under this Agreement must be in writing and will be deemed effective upon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earlier of (a) personal delivery (including personal delivery by hand or telecopier); (b) email (with confirmation of receipt) or (iii) the</w:t>
      </w:r>
    </w:p>
    <w:p>
      <w:pPr>
        <w:sectPr>
          <w:pgSz w:w="11900" w:h="16900" w:orient="portrait"/>
          <w:cols w:equalWidth="0" w:num="1">
            <w:col w:w="9620"/>
          </w:cols>
          <w:pgMar w:left="1300" w:top="108" w:right="979" w:bottom="0" w:gutter="0" w:footer="0" w:header="0"/>
        </w:sectPr>
      </w:pPr>
    </w:p>
    <w:bookmarkStart w:id="33" w:name="page34"/>
    <w:bookmarkEnd w:id="33"/>
    <w:p>
      <w:pPr>
        <w:ind w:right="20"/>
        <w:spacing w:after="0" w:line="266" w:lineRule="auto"/>
        <w:rPr>
          <w:sz w:val="20"/>
          <w:szCs w:val="20"/>
          <w:color w:val="auto"/>
        </w:rPr>
      </w:pPr>
      <w:r>
        <w:rPr>
          <w:rFonts w:ascii="Times New Roman" w:cs="Times New Roman" w:eastAsia="Times New Roman" w:hAnsi="Times New Roman"/>
          <w:sz w:val="18"/>
          <w:szCs w:val="18"/>
          <w:color w:val="auto"/>
        </w:rPr>
        <w:t>third day after mailing by first class mail, to the Company at its primary office location and to the Executive at his address as listed on the Company payroll.</w:t>
      </w:r>
    </w:p>
    <w:p>
      <w:pPr>
        <w:spacing w:after="0" w:line="158" w:lineRule="exact"/>
        <w:rPr>
          <w:sz w:val="20"/>
          <w:szCs w:val="20"/>
          <w:color w:val="auto"/>
        </w:rPr>
      </w:pPr>
    </w:p>
    <w:p>
      <w:pPr>
        <w:jc w:val="both"/>
        <w:ind w:firstLine="130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possible, each provision of this Agreement will be interpreted in such manner as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in this Agreement.</w:t>
      </w:r>
    </w:p>
    <w:p>
      <w:pPr>
        <w:spacing w:after="0" w:line="184" w:lineRule="exact"/>
        <w:rPr>
          <w:sz w:val="20"/>
          <w:szCs w:val="20"/>
          <w:color w:val="auto"/>
        </w:rPr>
      </w:pPr>
    </w:p>
    <w:p>
      <w:pPr>
        <w:jc w:val="both"/>
        <w:ind w:firstLine="13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either party should waive any breach of any provisions of this Agreement, he or it will not thereby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have waived any preceding or succeeding breach of the same or any other provision of this Agreement.</w:t>
      </w:r>
    </w:p>
    <w:p>
      <w:pPr>
        <w:spacing w:after="0" w:line="154" w:lineRule="exact"/>
        <w:rPr>
          <w:sz w:val="20"/>
          <w:szCs w:val="20"/>
          <w:color w:val="auto"/>
        </w:rPr>
      </w:pPr>
    </w:p>
    <w:p>
      <w:pPr>
        <w:jc w:val="both"/>
        <w:ind w:left="20" w:firstLine="129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u w:val="single" w:color="auto"/>
          <w:color w:val="auto"/>
        </w:rPr>
        <w:t>Complete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its Exhibit constitute the entire agreement between Executive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This Agreement is the complete, final, and exclusive embodiment of their agreement with regard to this subject matter and supersedes any prior oral discussions or written</w:t>
      </w:r>
    </w:p>
    <w:p>
      <w:pPr>
        <w:spacing w:after="0" w:line="176"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communications and agreements. This Agreement is entered into without reliance on any promise or representation other than those expressly contained in this Agreement, and it cannot be modified or amended except in writing signed by an authorized officer of the Company.</w:t>
      </w:r>
    </w:p>
    <w:p>
      <w:pPr>
        <w:spacing w:after="0" w:line="173"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separate counterparts, any one of which need not contain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signatures of more than one party, but all of which taken together will constitute one and the same Agreement.</w:t>
      </w:r>
    </w:p>
    <w:p>
      <w:pPr>
        <w:spacing w:after="0" w:line="154" w:lineRule="exact"/>
        <w:rPr>
          <w:sz w:val="20"/>
          <w:szCs w:val="20"/>
          <w:color w:val="auto"/>
        </w:rPr>
      </w:pPr>
    </w:p>
    <w:p>
      <w:pPr>
        <w:jc w:val="both"/>
        <w:ind w:right="20" w:firstLine="1298"/>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headings of the sections of this Agreement are inserted for convenience only and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constitute a part of this Agreement nor to affect the meaning thereof.</w:t>
      </w:r>
    </w:p>
    <w:p>
      <w:pPr>
        <w:spacing w:after="0" w:line="154" w:lineRule="exact"/>
        <w:rPr>
          <w:sz w:val="20"/>
          <w:szCs w:val="20"/>
          <w:color w:val="auto"/>
        </w:rPr>
      </w:pPr>
    </w:p>
    <w:p>
      <w:pPr>
        <w:jc w:val="both"/>
        <w:ind w:right="20" w:firstLine="129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7.7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intended to bind and inure to the benefit of and be enforceable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and the Company, and their respective successors, assigns, heirs, executors and administrators, except that Executive may not assign any of his duties under this Agreement and he may not assign any of his rights under this Agreement.</w:t>
      </w:r>
    </w:p>
    <w:p>
      <w:pPr>
        <w:spacing w:after="0" w:line="190" w:lineRule="exact"/>
        <w:rPr>
          <w:sz w:val="20"/>
          <w:szCs w:val="20"/>
          <w:color w:val="auto"/>
        </w:rPr>
      </w:pPr>
    </w:p>
    <w:p>
      <w:pPr>
        <w:jc w:val="both"/>
        <w:ind w:right="20"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7.8 </w:t>
      </w:r>
      <w:r>
        <w:rPr>
          <w:rFonts w:ascii="Times New Roman" w:cs="Times New Roman" w:eastAsia="Times New Roman" w:hAnsi="Times New Roman"/>
          <w:sz w:val="18"/>
          <w:szCs w:val="18"/>
          <w:b w:val="1"/>
          <w:bCs w:val="1"/>
          <w:u w:val="single" w:color="auto"/>
          <w:color w:val="auto"/>
        </w:rPr>
        <w:t>Attorney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either party brings any action to enforce its rights under this Agreement, it will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 its reasonable attorneys’ fees and costs incurred in connection with such action should it prevail in the action.</w:t>
      </w:r>
    </w:p>
    <w:p>
      <w:pPr>
        <w:spacing w:after="0" w:line="181" w:lineRule="exact"/>
        <w:rPr>
          <w:sz w:val="20"/>
          <w:szCs w:val="20"/>
          <w:color w:val="auto"/>
        </w:rPr>
      </w:pPr>
    </w:p>
    <w:p>
      <w:pPr>
        <w:jc w:val="both"/>
        <w:ind w:left="20" w:firstLine="1293"/>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7.9 </w:t>
      </w: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questions concerning the construction, validity and interpretation of this Agreement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the law of the State of California. The Executive expressly consents to the jurisdiction of the state and federal courts in Los Angeles, California, for all actions arising out of or relating to this Agreement.</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7.10 </w:t>
      </w:r>
      <w:r>
        <w:rPr>
          <w:rFonts w:ascii="Times New Roman" w:cs="Times New Roman" w:eastAsia="Times New Roman" w:hAnsi="Times New Roman"/>
          <w:sz w:val="18"/>
          <w:szCs w:val="18"/>
          <w:b w:val="1"/>
          <w:bCs w:val="1"/>
          <w:u w:val="single" w:color="auto"/>
          <w:color w:val="auto"/>
        </w:rPr>
        <w:t>Independent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has been provided with an opportunity to consult with the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own counsel with respect to this Agreement. </w:t>
      </w:r>
      <w:r>
        <w:rPr>
          <w:rFonts w:ascii="Times New Roman" w:cs="Times New Roman" w:eastAsia="Times New Roman" w:hAnsi="Times New Roman"/>
          <w:sz w:val="18"/>
          <w:szCs w:val="18"/>
          <w:b w:val="1"/>
          <w:bCs w:val="1"/>
          <w:color w:val="auto"/>
        </w:rPr>
        <w:t>The Executive acknowledges that Cooley LLP did not represent the Executive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respect to this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ectPr>
          <w:pgSz w:w="11900" w:h="16838" w:orient="portrait"/>
          <w:cols w:equalWidth="0" w:num="1">
            <w:col w:w="9620"/>
          </w:cols>
          <w:pgMar w:left="1300" w:top="108" w:right="979" w:bottom="1440" w:gutter="0" w:footer="0" w:header="0"/>
        </w:sectPr>
      </w:pPr>
    </w:p>
    <w:bookmarkStart w:id="34" w:name="page35"/>
    <w:bookmarkEnd w:id="34"/>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have executed this Agreement on the day and year first above written.</w:t>
      </w:r>
    </w:p>
    <w:p>
      <w:pPr>
        <w:spacing w:after="0" w:line="27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27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By: /s/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-7620</wp:posOffset>
            </wp:positionV>
            <wp:extent cx="10121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7679"/>
        <w:spacing w:after="0"/>
        <w:rPr>
          <w:sz w:val="20"/>
          <w:szCs w:val="20"/>
          <w:color w:val="auto"/>
        </w:rPr>
      </w:pPr>
      <w:r>
        <w:rPr>
          <w:rFonts w:ascii="Times New Roman" w:cs="Times New Roman" w:eastAsia="Times New Roman" w:hAnsi="Times New Roman"/>
          <w:sz w:val="18"/>
          <w:szCs w:val="18"/>
          <w:color w:val="auto"/>
        </w:rPr>
        <w:t>Accepted and agreed this</w:t>
      </w:r>
    </w:p>
    <w:p>
      <w:pPr>
        <w:spacing w:after="0" w:line="2" w:lineRule="exact"/>
        <w:rPr>
          <w:sz w:val="20"/>
          <w:szCs w:val="20"/>
          <w:color w:val="auto"/>
        </w:rPr>
      </w:pPr>
    </w:p>
    <w:p>
      <w:pPr>
        <w:jc w:val="right"/>
        <w:ind w:right="7719"/>
        <w:spacing w:after="0"/>
        <w:rPr>
          <w:sz w:val="20"/>
          <w:szCs w:val="20"/>
          <w:color w:val="auto"/>
        </w:rPr>
      </w:pPr>
      <w:r>
        <w:rPr>
          <w:rFonts w:ascii="Times New Roman" w:cs="Times New Roman" w:eastAsia="Times New Roman" w:hAnsi="Times New Roman"/>
          <w:sz w:val="18"/>
          <w:szCs w:val="18"/>
          <w:color w:val="auto"/>
        </w:rPr>
        <w:t>27 day of May, 2015</w:t>
      </w:r>
    </w:p>
    <w:p>
      <w:pPr>
        <w:spacing w:after="0" w:line="200" w:lineRule="exact"/>
        <w:rPr>
          <w:sz w:val="20"/>
          <w:szCs w:val="20"/>
          <w:color w:val="auto"/>
        </w:rPr>
      </w:pPr>
    </w:p>
    <w:p>
      <w:pPr>
        <w:spacing w:after="0" w:line="2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 Jaspar Weir</w:t>
      </w:r>
    </w:p>
    <w:p>
      <w:pPr>
        <w:ind w:left="980"/>
        <w:spacing w:after="0"/>
        <w:rPr>
          <w:sz w:val="20"/>
          <w:szCs w:val="20"/>
          <w:color w:val="auto"/>
        </w:rPr>
      </w:pPr>
      <w:r>
        <w:rPr>
          <w:rFonts w:ascii="Times New Roman" w:cs="Times New Roman" w:eastAsia="Times New Roman" w:hAnsi="Times New Roman"/>
          <w:sz w:val="18"/>
          <w:szCs w:val="18"/>
          <w:color w:val="auto"/>
        </w:rPr>
        <w:t>Jaspar Weir</w:t>
      </w:r>
    </w:p>
    <w:p>
      <w:pPr>
        <w:sectPr>
          <w:pgSz w:w="11900" w:h="16838" w:orient="portrait"/>
          <w:cols w:equalWidth="0" w:num="1">
            <w:col w:w="10139"/>
          </w:cols>
          <w:pgMar w:left="320" w:top="1440" w:right="1440" w:bottom="1440" w:gutter="0" w:footer="0" w:header="0"/>
        </w:sectPr>
      </w:pPr>
    </w:p>
    <w:bookmarkStart w:id="35" w:name="page36"/>
    <w:bookmarkEnd w:id="35"/>
    <w:p>
      <w:pPr>
        <w:ind w:left="5915"/>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6"/>
          <w:szCs w:val="16"/>
          <w:b w:val="1"/>
          <w:bCs w:val="1"/>
          <w:color w:val="auto"/>
        </w:rPr>
        <w:t>XHIBIT</w:t>
      </w:r>
      <w:r>
        <w:rPr>
          <w:rFonts w:ascii="Times New Roman" w:cs="Times New Roman" w:eastAsia="Times New Roman" w:hAnsi="Times New Roman"/>
          <w:sz w:val="22"/>
          <w:szCs w:val="22"/>
          <w:b w:val="1"/>
          <w:bCs w:val="1"/>
          <w:color w:val="auto"/>
        </w:rPr>
        <w:t xml:space="preserve"> A</w:t>
      </w:r>
    </w:p>
    <w:p>
      <w:pPr>
        <w:spacing w:after="0" w:line="193" w:lineRule="exact"/>
        <w:rPr>
          <w:sz w:val="20"/>
          <w:szCs w:val="20"/>
          <w:color w:val="auto"/>
        </w:rPr>
      </w:pPr>
    </w:p>
    <w:p>
      <w:pPr>
        <w:ind w:left="2435"/>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6"/>
          <w:szCs w:val="16"/>
          <w:b w:val="1"/>
          <w:bCs w:val="1"/>
          <w:color w:val="auto"/>
        </w:rPr>
        <w:t>ONFIDENTIAL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6"/>
          <w:szCs w:val="16"/>
          <w:b w:val="1"/>
          <w:bCs w:val="1"/>
          <w:color w:val="auto"/>
        </w:rPr>
        <w:t>NFORMATION AND</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6"/>
          <w:szCs w:val="16"/>
          <w:b w:val="1"/>
          <w:bCs w:val="1"/>
          <w:color w:val="auto"/>
        </w:rPr>
        <w:t>NVENTIONS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6"/>
          <w:szCs w:val="16"/>
          <w:b w:val="1"/>
          <w:bCs w:val="1"/>
          <w:color w:val="auto"/>
        </w:rPr>
        <w:t>SSIGNMENT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6"/>
          <w:szCs w:val="16"/>
          <w:b w:val="1"/>
          <w:bCs w:val="1"/>
          <w:color w:val="auto"/>
        </w:rPr>
        <w:t>GREEMENT</w:t>
      </w:r>
    </w:p>
    <w:p>
      <w:pPr>
        <w:spacing w:after="0" w:line="243" w:lineRule="exact"/>
        <w:rPr>
          <w:sz w:val="20"/>
          <w:szCs w:val="20"/>
          <w:color w:val="auto"/>
        </w:rPr>
      </w:pPr>
    </w:p>
    <w:p>
      <w:pPr>
        <w:ind w:left="795"/>
        <w:spacing w:after="0"/>
        <w:rPr>
          <w:sz w:val="20"/>
          <w:szCs w:val="20"/>
          <w:color w:val="auto"/>
        </w:rPr>
      </w:pPr>
      <w:r>
        <w:rPr>
          <w:rFonts w:ascii="Times New Roman" w:cs="Times New Roman" w:eastAsia="Times New Roman" w:hAnsi="Times New Roman"/>
          <w:sz w:val="17"/>
          <w:szCs w:val="17"/>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735"/>
        <w:spacing w:after="0"/>
        <w:rPr>
          <w:sz w:val="20"/>
          <w:szCs w:val="20"/>
          <w:color w:val="auto"/>
        </w:rPr>
      </w:pPr>
      <w:r>
        <w:rPr>
          <w:rFonts w:ascii="Times New Roman" w:cs="Times New Roman" w:eastAsia="Times New Roman" w:hAnsi="Times New Roman"/>
          <w:sz w:val="17"/>
          <w:szCs w:val="17"/>
          <w:b w:val="1"/>
          <w:bCs w:val="1"/>
          <w:color w:val="auto"/>
        </w:rPr>
        <w:t>EMPLOYEE CONFIDENTIAL INFORMATION AND INVENTIONS ASSIGNMENT AGREEMENT</w:t>
      </w:r>
    </w:p>
    <w:p>
      <w:pPr>
        <w:spacing w:after="0" w:line="127" w:lineRule="exact"/>
        <w:rPr>
          <w:sz w:val="20"/>
          <w:szCs w:val="20"/>
          <w:color w:val="auto"/>
        </w:rPr>
      </w:pPr>
    </w:p>
    <w:p>
      <w:pPr>
        <w:ind w:left="315" w:right="100" w:firstLine="649"/>
        <w:spacing w:after="0" w:line="272" w:lineRule="auto"/>
        <w:rPr>
          <w:sz w:val="20"/>
          <w:szCs w:val="20"/>
          <w:color w:val="auto"/>
        </w:rPr>
      </w:pPr>
      <w:r>
        <w:rPr>
          <w:rFonts w:ascii="Times New Roman" w:cs="Times New Roman" w:eastAsia="Times New Roman" w:hAnsi="Times New Roman"/>
          <w:sz w:val="17"/>
          <w:szCs w:val="17"/>
          <w:color w:val="auto"/>
        </w:rPr>
        <w:t>In consideration of my employment or continued employment by TaskUs, Inc., a Delaware corporation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the compensation paid to me now and during my employment with the Company, I agree to the terms of this Agreement as follows:</w:t>
      </w:r>
    </w:p>
    <w:p>
      <w:pPr>
        <w:spacing w:after="0" w:line="153" w:lineRule="exact"/>
        <w:rPr>
          <w:sz w:val="20"/>
          <w:szCs w:val="20"/>
          <w:color w:val="auto"/>
        </w:rPr>
      </w:pPr>
    </w:p>
    <w:p>
      <w:pPr>
        <w:ind w:left="175" w:hanging="175"/>
        <w:spacing w:after="0"/>
        <w:tabs>
          <w:tab w:leader="none" w:pos="175"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ONFIDENTIAL</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4"/>
          <w:szCs w:val="14"/>
          <w:b w:val="1"/>
          <w:bCs w:val="1"/>
          <w:color w:val="auto"/>
        </w:rPr>
        <w:t>ROTECTIONS</w:t>
      </w:r>
      <w:r>
        <w:rPr>
          <w:rFonts w:ascii="Times New Roman" w:cs="Times New Roman" w:eastAsia="Times New Roman" w:hAnsi="Times New Roman"/>
          <w:sz w:val="17"/>
          <w:szCs w:val="17"/>
          <w:b w:val="1"/>
          <w:bCs w:val="1"/>
          <w:color w:val="auto"/>
        </w:rPr>
        <w:t>.</w:t>
      </w:r>
    </w:p>
    <w:p>
      <w:pPr>
        <w:spacing w:after="0" w:line="129" w:lineRule="exact"/>
        <w:rPr>
          <w:sz w:val="20"/>
          <w:szCs w:val="20"/>
          <w:color w:val="auto"/>
        </w:rPr>
      </w:pPr>
    </w:p>
    <w:p>
      <w:pPr>
        <w:ind w:left="155" w:right="200" w:firstLine="648"/>
        <w:spacing w:after="0" w:line="239" w:lineRule="auto"/>
        <w:rPr>
          <w:sz w:val="20"/>
          <w:szCs w:val="20"/>
          <w:color w:val="auto"/>
        </w:rPr>
      </w:pPr>
      <w:r>
        <w:rPr>
          <w:rFonts w:ascii="Times New Roman" w:cs="Times New Roman" w:eastAsia="Times New Roman" w:hAnsi="Times New Roman"/>
          <w:sz w:val="17"/>
          <w:szCs w:val="17"/>
          <w:b w:val="1"/>
          <w:bCs w:val="1"/>
          <w:color w:val="auto"/>
        </w:rPr>
        <w:t>1.1 Nondisclosure; Recognition of Company’s Rights</w:t>
      </w:r>
      <w:r>
        <w:rPr>
          <w:rFonts w:ascii="Times New Roman" w:cs="Times New Roman" w:eastAsia="Times New Roman" w:hAnsi="Times New Roman"/>
          <w:sz w:val="17"/>
          <w:szCs w:val="17"/>
          <w:color w:val="auto"/>
        </w:rPr>
        <w:t>. At all times during and after my employment, I will hold in confidence and will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disclose, use, lecture upon, or publish any of Company’s Confidential Information (defined below), except as may be required in connection with my work for Company, or as expressly authorized by the Board of Directors of Company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I will obtain the Board’s written approval before publishing or submitting for publication any material (written, oral, or otherwise) that relates to my work at Company and/or incorporates any Confidential Information. I hereby assign to Company any rights I may have or acquire in any and all Confidential Information and recognize that all Confidential Information shall be the sole and exclusive property of Company and its assigns.</w:t>
      </w:r>
    </w:p>
    <w:p>
      <w:pPr>
        <w:spacing w:after="0" w:line="193" w:lineRule="exact"/>
        <w:rPr>
          <w:sz w:val="20"/>
          <w:szCs w:val="20"/>
          <w:color w:val="auto"/>
        </w:rPr>
      </w:pPr>
    </w:p>
    <w:p>
      <w:pPr>
        <w:ind w:left="155" w:right="300" w:firstLine="810"/>
        <w:spacing w:after="0"/>
        <w:rPr>
          <w:sz w:val="20"/>
          <w:szCs w:val="20"/>
          <w:color w:val="auto"/>
        </w:rPr>
      </w:pPr>
      <w:r>
        <w:rPr>
          <w:rFonts w:ascii="Times New Roman" w:cs="Times New Roman" w:eastAsia="Times New Roman" w:hAnsi="Times New Roman"/>
          <w:sz w:val="17"/>
          <w:szCs w:val="17"/>
          <w:b w:val="1"/>
          <w:bCs w:val="1"/>
          <w:color w:val="auto"/>
        </w:rPr>
        <w:t xml:space="preserve">1.2 Confidential Information. </w:t>
      </w: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shall mean any and all confidential knowledge, data or information related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Company’s business or its actual or demonstrably anticipated research or development, including without limitation (a) trade secrets, inventions, ideas, processes, computer source and object code, data, formulae, programs, other works of authorship, know how, improvements, discoveries, developments, designs, and techniques; (b) information regarding products, services, plans for research and development, marketing and business plans, budgets, financial statements, contracts, prices, suppliers, and customers; (c) information regarding the skills and compensation of Company’s employees, contractors, and any other service providers of Company; and (d) the existence of any business discussions, negotiations, or agreements between Company and any third party.</w:t>
      </w:r>
    </w:p>
    <w:p>
      <w:pPr>
        <w:spacing w:after="0" w:line="179" w:lineRule="exact"/>
        <w:rPr>
          <w:sz w:val="20"/>
          <w:szCs w:val="20"/>
          <w:color w:val="auto"/>
        </w:rPr>
      </w:pPr>
    </w:p>
    <w:p>
      <w:pPr>
        <w:ind w:left="195" w:right="20" w:firstLine="650"/>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1.3 Third Party Information. </w:t>
      </w:r>
      <w:r>
        <w:rPr>
          <w:rFonts w:ascii="Times New Roman" w:cs="Times New Roman" w:eastAsia="Times New Roman" w:hAnsi="Times New Roman"/>
          <w:sz w:val="17"/>
          <w:szCs w:val="17"/>
          <w:color w:val="auto"/>
        </w:rPr>
        <w:t>I understand that Company has received and in the future will receive from third parties confidential or proprietary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Third Party Information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subject to a duty on Company’s part to maintain the confidentiality of such information and to use it only for certain limited purposes. During and after the term of my employment, I will hold Third Party Information in strict confidence and will not disclose to anyone (other than Company personnel who need to know such information in connection with their work for Company) or use, Third Party Information, except in connection with my work for Company or unless expressly authorized by an officer of Company in writing.</w:t>
      </w:r>
    </w:p>
    <w:p>
      <w:pPr>
        <w:spacing w:after="0" w:line="177" w:lineRule="exact"/>
        <w:rPr>
          <w:sz w:val="20"/>
          <w:szCs w:val="20"/>
          <w:color w:val="auto"/>
        </w:rPr>
      </w:pPr>
    </w:p>
    <w:p>
      <w:pPr>
        <w:ind w:left="195" w:right="200" w:firstLine="650"/>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1.4 No Improper Use of Information of Prior Employers and Others. </w:t>
      </w:r>
      <w:r>
        <w:rPr>
          <w:rFonts w:ascii="Times New Roman" w:cs="Times New Roman" w:eastAsia="Times New Roman" w:hAnsi="Times New Roman"/>
          <w:sz w:val="17"/>
          <w:szCs w:val="17"/>
          <w:color w:val="auto"/>
        </w:rPr>
        <w:t>I represent that my employment by Company does not and will not breach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agreement with any former employer, including any noncompete agreement or any agreement to keep in confidence or refrain from using information acquired by me prior to my employment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95" w:right="40"/>
        <w:spacing w:after="0" w:line="241" w:lineRule="auto"/>
        <w:rPr>
          <w:sz w:val="20"/>
          <w:szCs w:val="20"/>
          <w:color w:val="auto"/>
        </w:rPr>
      </w:pPr>
      <w:r>
        <w:rPr>
          <w:rFonts w:ascii="Times New Roman" w:cs="Times New Roman" w:eastAsia="Times New Roman" w:hAnsi="Times New Roman"/>
          <w:sz w:val="17"/>
          <w:szCs w:val="17"/>
          <w:color w:val="auto"/>
        </w:rPr>
        <w:t>Company. I further represent that I have not entered into, and will not enter into, any agreement, either written or oral, in conflict with my obligations under this Agreement. During my employment by Company, I will not improperly make use of, or disclose, any information or trade secrets of any former employer or other third party, nor will I bring onto the premises of Company or use any unpublished documents or any property belonging to any former employer or other third party, in violation of any lawful agreements with that former employer or third party. I will use in the performance of my duties only information that is generally known and used by persons with training and experience comparable to my own, is common knowledge in the industry or otherwise legally in the public domain, or is otherwise provided or developed by Company.</w:t>
      </w:r>
    </w:p>
    <w:p>
      <w:pPr>
        <w:spacing w:after="0" w:line="182" w:lineRule="exact"/>
        <w:rPr>
          <w:sz w:val="20"/>
          <w:szCs w:val="20"/>
          <w:color w:val="auto"/>
        </w:rPr>
      </w:pPr>
    </w:p>
    <w:p>
      <w:pPr>
        <w:ind w:left="195"/>
        <w:spacing w:after="0"/>
        <w:rPr>
          <w:sz w:val="20"/>
          <w:szCs w:val="20"/>
          <w:color w:val="auto"/>
        </w:rPr>
      </w:pPr>
      <w:r>
        <w:rPr>
          <w:rFonts w:ascii="Times New Roman" w:cs="Times New Roman" w:eastAsia="Times New Roman" w:hAnsi="Times New Roman"/>
          <w:sz w:val="17"/>
          <w:szCs w:val="17"/>
          <w:b w:val="1"/>
          <w:bCs w:val="1"/>
          <w:color w:val="auto"/>
        </w:rPr>
        <w:t>2. INVENTIONS.</w:t>
      </w:r>
    </w:p>
    <w:p>
      <w:pPr>
        <w:spacing w:after="0" w:line="208" w:lineRule="exact"/>
        <w:rPr>
          <w:sz w:val="20"/>
          <w:szCs w:val="20"/>
          <w:color w:val="auto"/>
        </w:rPr>
      </w:pPr>
    </w:p>
    <w:p>
      <w:pPr>
        <w:ind w:left="195" w:firstLine="650"/>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2.1 Definitions. </w:t>
      </w:r>
      <w:r>
        <w:rPr>
          <w:rFonts w:ascii="Times New Roman" w:cs="Times New Roman" w:eastAsia="Times New Roman" w:hAnsi="Times New Roman"/>
          <w:sz w:val="17"/>
          <w:szCs w:val="17"/>
          <w:color w:val="auto"/>
        </w:rPr>
        <w:t>As used in this Agreement, the term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Invention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means any ideas, concepts, information, materials, processes, data, programs, know-how, improvements, discoveries, developments, designs, artwork, formulae, other copyrightable works, and techniques and all Intellectual Property Rights in any of the items listed above. The term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Intellectual Property Rights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means all trade secrets, copyrights, trademarks, mask work rights, patents and other intellectual property rights recognized by the laws of any jurisdiction or country. The term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Moral Rights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means all paternity, integrity, disclosure, withdrawal, special and any other similar rights recognized by the laws of any jurisdiction or country.</w:t>
      </w:r>
    </w:p>
    <w:p>
      <w:pPr>
        <w:spacing w:after="0" w:line="175" w:lineRule="exact"/>
        <w:rPr>
          <w:sz w:val="20"/>
          <w:szCs w:val="20"/>
          <w:color w:val="auto"/>
        </w:rPr>
      </w:pPr>
    </w:p>
    <w:p>
      <w:pPr>
        <w:ind w:left="195" w:right="100" w:firstLine="650"/>
        <w:spacing w:after="0" w:line="237" w:lineRule="auto"/>
        <w:rPr>
          <w:sz w:val="20"/>
          <w:szCs w:val="20"/>
          <w:color w:val="auto"/>
        </w:rPr>
      </w:pPr>
      <w:r>
        <w:rPr>
          <w:rFonts w:ascii="Times New Roman" w:cs="Times New Roman" w:eastAsia="Times New Roman" w:hAnsi="Times New Roman"/>
          <w:sz w:val="17"/>
          <w:szCs w:val="17"/>
          <w:b w:val="1"/>
          <w:bCs w:val="1"/>
          <w:color w:val="auto"/>
        </w:rPr>
        <w:t xml:space="preserve">2.2 Prior Inventions. </w:t>
      </w:r>
      <w:r>
        <w:rPr>
          <w:rFonts w:ascii="Times New Roman" w:cs="Times New Roman" w:eastAsia="Times New Roman" w:hAnsi="Times New Roman"/>
          <w:sz w:val="17"/>
          <w:szCs w:val="17"/>
          <w:color w:val="auto"/>
        </w:rPr>
        <w:t>I have disclosed on</w:t>
      </w:r>
      <w:r>
        <w:rPr>
          <w:rFonts w:ascii="Times New Roman" w:cs="Times New Roman" w:eastAsia="Times New Roman" w:hAnsi="Times New Roman"/>
          <w:sz w:val="17"/>
          <w:szCs w:val="17"/>
          <w:b w:val="1"/>
          <w:bCs w:val="1"/>
          <w:color w:val="auto"/>
        </w:rPr>
        <w:t xml:space="preserve"> Exhibit A </w:t>
      </w:r>
      <w:r>
        <w:rPr>
          <w:rFonts w:ascii="Times New Roman" w:cs="Times New Roman" w:eastAsia="Times New Roman" w:hAnsi="Times New Roman"/>
          <w:sz w:val="17"/>
          <w:szCs w:val="17"/>
          <w:color w:val="auto"/>
        </w:rPr>
        <w:t>a complete list of all Inventions that (a) I have, or I have caused to be, alone or jointly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others, conceived, developed, or reduced to practice prior to the commencement of my employment by Company; (b) in which I have an ownership interest or which I have a license to use; (c) and that I wish to have excluded from the scope of this Agreement (collectively referred to as “</w:t>
      </w:r>
      <w:r>
        <w:rPr>
          <w:rFonts w:ascii="Times New Roman" w:cs="Times New Roman" w:eastAsia="Times New Roman" w:hAnsi="Times New Roman"/>
          <w:sz w:val="17"/>
          <w:szCs w:val="17"/>
          <w:b w:val="1"/>
          <w:bCs w:val="1"/>
          <w:i w:val="1"/>
          <w:iCs w:val="1"/>
          <w:color w:val="auto"/>
        </w:rPr>
        <w:t>Prior Inventions</w:t>
      </w:r>
      <w:r>
        <w:rPr>
          <w:rFonts w:ascii="Times New Roman" w:cs="Times New Roman" w:eastAsia="Times New Roman" w:hAnsi="Times New Roman"/>
          <w:sz w:val="17"/>
          <w:szCs w:val="17"/>
          <w:color w:val="auto"/>
        </w:rPr>
        <w:t xml:space="preserve">”). If no Prior Inventions are listed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I warrant that there are no Prior Inventions. I agree that I will not incorporate, or permit to be incorporated, Prior Inventions in any Company Inventions (defined below) without Company’s prior written consent. If, in the course of my employment with Company, I incorporate a Prior Invention into a Company process, machine or other work, I hereby grant Company a non-exclusive, perpetual,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such Prior Invention.</w:t>
      </w:r>
    </w:p>
    <w:p>
      <w:pPr>
        <w:sectPr>
          <w:pgSz w:w="11900" w:h="16838" w:orient="portrait"/>
          <w:cols w:equalWidth="0" w:num="1">
            <w:col w:w="11175"/>
          </w:cols>
          <w:pgMar w:left="345" w:top="338" w:right="379" w:bottom="1440" w:gutter="0" w:footer="0" w:header="0"/>
        </w:sectPr>
      </w:pPr>
    </w:p>
    <w:bookmarkStart w:id="36" w:name="page37"/>
    <w:bookmarkEnd w:id="36"/>
    <w:p>
      <w:pPr>
        <w:ind w:left="40" w:firstLine="650"/>
        <w:spacing w:after="0" w:line="237" w:lineRule="auto"/>
        <w:rPr>
          <w:sz w:val="20"/>
          <w:szCs w:val="20"/>
          <w:color w:val="auto"/>
        </w:rPr>
      </w:pPr>
      <w:r>
        <w:rPr>
          <w:rFonts w:ascii="Times New Roman" w:cs="Times New Roman" w:eastAsia="Times New Roman" w:hAnsi="Times New Roman"/>
          <w:sz w:val="17"/>
          <w:szCs w:val="17"/>
          <w:b w:val="1"/>
          <w:bCs w:val="1"/>
          <w:color w:val="auto"/>
        </w:rPr>
        <w:t xml:space="preserve">2.3 Assignment of Company Inventions. </w:t>
      </w:r>
      <w:r>
        <w:rPr>
          <w:rFonts w:ascii="Times New Roman" w:cs="Times New Roman" w:eastAsia="Times New Roman" w:hAnsi="Times New Roman"/>
          <w:sz w:val="17"/>
          <w:szCs w:val="17"/>
          <w:color w:val="auto"/>
        </w:rPr>
        <w:t>Inventions assigned to the Company or to a third party as directed by the Company pursuant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subsection titled Government or Third Party are referred to in this Agreement as “</w:t>
      </w:r>
      <w:r>
        <w:rPr>
          <w:rFonts w:ascii="Times New Roman" w:cs="Times New Roman" w:eastAsia="Times New Roman" w:hAnsi="Times New Roman"/>
          <w:sz w:val="17"/>
          <w:szCs w:val="17"/>
          <w:b w:val="1"/>
          <w:bCs w:val="1"/>
          <w:i w:val="1"/>
          <w:iCs w:val="1"/>
          <w:color w:val="auto"/>
        </w:rPr>
        <w:t>Company Inventions</w:t>
      </w:r>
      <w:r>
        <w:rPr>
          <w:rFonts w:ascii="Times New Roman" w:cs="Times New Roman" w:eastAsia="Times New Roman" w:hAnsi="Times New Roman"/>
          <w:sz w:val="17"/>
          <w:szCs w:val="17"/>
          <w:color w:val="auto"/>
        </w:rPr>
        <w:t xml:space="preserve">.” Subject to the subsection titled Government or Third Party and except for Inventions that I can prove qualify fully under the provisions of California Labor Code section 2870 and I have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I hereby assign and agree to assign in the future (when any such Inventions or Intellectual Property Rights are first reduced to practice or first fixed in a tangible medium, as applicable) to Company all my right, title, and interest in and to any and all Inventions (and all Intellectual Property Rights with respect thereto) made, conceived, reduced to practice, or learned by me, either alone or with others, during the period of my employment by Company. Any assignment of Inventions (and all Intellectual Property Rights with respect thereto) hereunder includes an assignment of all Moral Rights. To the extent such Moral Rights cannot be assigned to Company and to the extent the following is allowed by the laws in any country where Moral Rights exist, I hereby unconditionally and irrevocably waive the enforcement of such Moral Rights, and all claims and causes of action of any kind against Company or related to Company’s customers, with respect to such rights. I further acknowledge and agree that neither my successors-in-interest nor legal heirs retain any Moral Rights in any Inventions (and any Intellectual Property Rights with respect thereto).</w:t>
      </w:r>
    </w:p>
    <w:p>
      <w:pPr>
        <w:spacing w:after="0" w:line="199" w:lineRule="exact"/>
        <w:rPr>
          <w:sz w:val="20"/>
          <w:szCs w:val="20"/>
          <w:color w:val="auto"/>
        </w:rPr>
      </w:pPr>
    </w:p>
    <w:p>
      <w:pPr>
        <w:ind w:right="220" w:firstLine="810"/>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2.4 Obligation to Keep Company Informed. </w:t>
      </w:r>
      <w:r>
        <w:rPr>
          <w:rFonts w:ascii="Times New Roman" w:cs="Times New Roman" w:eastAsia="Times New Roman" w:hAnsi="Times New Roman"/>
          <w:sz w:val="17"/>
          <w:szCs w:val="17"/>
          <w:color w:val="auto"/>
        </w:rPr>
        <w:t>During the period of my employment and for one (1) year after my employment ends, I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promptly and fully disclose to Company in writing (a) all Inventions authored, conceived, or reduced to practice by me, either alone or with others, including any that might be covered under California Labor Code section 2870, and (b) all patent applications filed by me or in which I am named as an inventor or co-inventor.</w:t>
      </w:r>
    </w:p>
    <w:p>
      <w:pPr>
        <w:spacing w:after="0" w:line="177" w:lineRule="exact"/>
        <w:rPr>
          <w:sz w:val="20"/>
          <w:szCs w:val="20"/>
          <w:color w:val="auto"/>
        </w:rPr>
      </w:pPr>
    </w:p>
    <w:p>
      <w:pPr>
        <w:ind w:right="320" w:firstLine="810"/>
        <w:spacing w:after="0" w:line="269" w:lineRule="auto"/>
        <w:rPr>
          <w:sz w:val="20"/>
          <w:szCs w:val="20"/>
          <w:color w:val="auto"/>
        </w:rPr>
      </w:pPr>
      <w:r>
        <w:rPr>
          <w:rFonts w:ascii="Times New Roman" w:cs="Times New Roman" w:eastAsia="Times New Roman" w:hAnsi="Times New Roman"/>
          <w:sz w:val="17"/>
          <w:szCs w:val="17"/>
          <w:b w:val="1"/>
          <w:bCs w:val="1"/>
          <w:color w:val="auto"/>
        </w:rPr>
        <w:t>2.5 Government or Third Party</w:t>
      </w:r>
      <w:r>
        <w:rPr>
          <w:rFonts w:ascii="Times New Roman" w:cs="Times New Roman" w:eastAsia="Times New Roman" w:hAnsi="Times New Roman"/>
          <w:sz w:val="17"/>
          <w:szCs w:val="17"/>
          <w:color w:val="auto"/>
        </w:rPr>
        <w:t>. I agree that, as directed by the Company, I will assign to a third party, including without limitation the United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States, all my right, title, and interest in and to any particular Company Invention.</w:t>
      </w:r>
    </w:p>
    <w:p>
      <w:pPr>
        <w:spacing w:after="0" w:line="169" w:lineRule="exact"/>
        <w:rPr>
          <w:sz w:val="20"/>
          <w:szCs w:val="20"/>
          <w:color w:val="auto"/>
        </w:rPr>
      </w:pPr>
    </w:p>
    <w:p>
      <w:pPr>
        <w:ind w:right="200" w:firstLine="810"/>
        <w:spacing w:after="0" w:line="239" w:lineRule="auto"/>
        <w:rPr>
          <w:sz w:val="20"/>
          <w:szCs w:val="20"/>
          <w:color w:val="auto"/>
        </w:rPr>
      </w:pPr>
      <w:r>
        <w:rPr>
          <w:rFonts w:ascii="Times New Roman" w:cs="Times New Roman" w:eastAsia="Times New Roman" w:hAnsi="Times New Roman"/>
          <w:sz w:val="17"/>
          <w:szCs w:val="17"/>
          <w:b w:val="1"/>
          <w:bCs w:val="1"/>
          <w:color w:val="auto"/>
        </w:rPr>
        <w:t xml:space="preserve">2.6 Enforcement of Intellectual Property Rights and Assistance. </w:t>
      </w:r>
      <w:r>
        <w:rPr>
          <w:rFonts w:ascii="Times New Roman" w:cs="Times New Roman" w:eastAsia="Times New Roman" w:hAnsi="Times New Roman"/>
          <w:sz w:val="17"/>
          <w:szCs w:val="17"/>
          <w:color w:val="auto"/>
        </w:rPr>
        <w:t>During and after the period of my employment and at Company’s request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 I will assist Company in every proper way, including consenting to and joining in any action, to obtain and enforce United States and foreign Intellectual Property Rights and Moral Rights relating to Company Inventions in all countries. If the Company is unable to secure my signature on any document needed in connection with such purposes, I hereby irrevocably designate and appoint Company and its duly authorized officers and agents as my agent and attorney in fact, which appointment is coupled with an interest, to act on my behalf to execute and file any such documents and to do all other lawfully permitted acts to further such purposes with the same legal force and effect as if executed by me.</w:t>
      </w:r>
    </w:p>
    <w:p>
      <w:pPr>
        <w:spacing w:after="0" w:line="209" w:lineRule="exact"/>
        <w:rPr>
          <w:sz w:val="20"/>
          <w:szCs w:val="20"/>
          <w:color w:val="auto"/>
        </w:rPr>
      </w:pPr>
    </w:p>
    <w:p>
      <w:pPr>
        <w:ind w:left="40" w:right="220" w:firstLine="650"/>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2.7 Incorporation of Software Code. </w:t>
      </w:r>
      <w:r>
        <w:rPr>
          <w:rFonts w:ascii="Times New Roman" w:cs="Times New Roman" w:eastAsia="Times New Roman" w:hAnsi="Times New Roman"/>
          <w:sz w:val="17"/>
          <w:szCs w:val="17"/>
          <w:color w:val="auto"/>
        </w:rPr>
        <w:t>I agree that I will not incorporate into any Company software or otherwise deliver to Company any software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code licensed under the GNU General Public License or Lesser General Public License or any other license that, by its terms, requires or conditions the use or distribution of such code on the disclosure, licensing, or distribution of any source code owned or licensed by Company except as expressly authorized by the Company or in strict compliance with the Company’s policies regarding the use of such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40" w:right="340" w:hanging="2"/>
        <w:spacing w:after="0" w:line="250" w:lineRule="auto"/>
        <w:tabs>
          <w:tab w:leader="none" w:pos="211"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ECORDS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 agree to keep and maintain adequate and current records (in the form of notes, sketches, drawings and in any other form that is required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of all Inventions made by me during the period of my employment by the Company, which records shall be available to, and remain the sole property of, the Company at all times.</w:t>
      </w:r>
    </w:p>
    <w:p>
      <w:pPr>
        <w:spacing w:after="0" w:line="185" w:lineRule="exact"/>
        <w:rPr>
          <w:rFonts w:ascii="Times New Roman" w:cs="Times New Roman" w:eastAsia="Times New Roman" w:hAnsi="Times New Roman"/>
          <w:sz w:val="17"/>
          <w:szCs w:val="17"/>
          <w:b w:val="1"/>
          <w:bCs w:val="1"/>
          <w:color w:val="auto"/>
        </w:rPr>
      </w:pPr>
    </w:p>
    <w:p>
      <w:pPr>
        <w:ind w:left="40" w:right="200" w:hanging="3"/>
        <w:spacing w:after="0" w:line="236" w:lineRule="auto"/>
        <w:tabs>
          <w:tab w:leader="none" w:pos="213"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ETURN</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4"/>
          <w:szCs w:val="14"/>
          <w:b w:val="1"/>
          <w:bCs w:val="1"/>
          <w:color w:val="auto"/>
        </w:rPr>
        <w:t>ROPERTY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termination of my employment or upon Company’s request at any other time, I will deliver to Company all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property, equipment, and documents, together with all copies thereof, and any other material containing or disclosing any Inventions, Third Party Information or Confidential Information and certify in writing that I have fully complied with the foregoing obligation.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the Company with a computer-useable copy of all such Confidential Information and then permanently delete and expunge such Confidential Information from those systems; and I agree to provide the Company access to my system as reasonably requested to verify that the necessary copying and/or deletion is completed. I further agree that any property situated on Company’s premises and owned by Company is subject to inspection by Company’s personnel at any time with or without notice. Prior to the termination of my employment or promptly after termination of my employment, I will cooperate with Company in attending an exit interview and certify in writing that I have complied with the requirements of this section.</w:t>
      </w:r>
    </w:p>
    <w:p>
      <w:pPr>
        <w:spacing w:after="0" w:line="183" w:lineRule="exact"/>
        <w:rPr>
          <w:rFonts w:ascii="Times New Roman" w:cs="Times New Roman" w:eastAsia="Times New Roman" w:hAnsi="Times New Roman"/>
          <w:sz w:val="17"/>
          <w:szCs w:val="17"/>
          <w:b w:val="1"/>
          <w:bCs w:val="1"/>
          <w:color w:val="auto"/>
        </w:rPr>
      </w:pPr>
    </w:p>
    <w:p>
      <w:pPr>
        <w:ind w:left="40" w:right="340" w:hanging="2"/>
        <w:spacing w:after="0" w:line="269" w:lineRule="auto"/>
        <w:tabs>
          <w:tab w:leader="none" w:pos="213"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4"/>
          <w:szCs w:val="14"/>
          <w:b w:val="1"/>
          <w:bCs w:val="1"/>
          <w:color w:val="auto"/>
        </w:rPr>
        <w:t>OTIFICATION</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4"/>
          <w:szCs w:val="14"/>
          <w:b w:val="1"/>
          <w:bCs w:val="1"/>
          <w:color w:val="auto"/>
        </w:rPr>
        <w:t>EW</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4"/>
          <w:szCs w:val="14"/>
          <w:b w:val="1"/>
          <w:bCs w:val="1"/>
          <w:color w:val="auto"/>
        </w:rPr>
        <w:t>MPLOYER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I leave the employ of Company, I consent to the notification of my new employer of my rights and obligations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this Agreement, by Company providing a copy of this Agreement or otherwise.</w:t>
      </w:r>
    </w:p>
    <w:p>
      <w:pPr>
        <w:spacing w:after="0" w:line="169" w:lineRule="exact"/>
        <w:rPr>
          <w:rFonts w:ascii="Times New Roman" w:cs="Times New Roman" w:eastAsia="Times New Roman" w:hAnsi="Times New Roman"/>
          <w:sz w:val="17"/>
          <w:szCs w:val="17"/>
          <w:b w:val="1"/>
          <w:bCs w:val="1"/>
          <w:color w:val="auto"/>
        </w:rPr>
      </w:pPr>
    </w:p>
    <w:p>
      <w:pPr>
        <w:ind w:left="220" w:hanging="180"/>
        <w:spacing w:after="0"/>
        <w:tabs>
          <w:tab w:leader="none" w:pos="22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17"/>
          <w:szCs w:val="17"/>
          <w:b w:val="1"/>
          <w:bCs w:val="1"/>
          <w:color w:val="auto"/>
        </w:rPr>
        <w:t>.</w:t>
      </w:r>
    </w:p>
    <w:p>
      <w:pPr>
        <w:spacing w:after="0" w:line="210" w:lineRule="exact"/>
        <w:rPr>
          <w:sz w:val="20"/>
          <w:szCs w:val="20"/>
          <w:color w:val="auto"/>
        </w:rPr>
      </w:pPr>
    </w:p>
    <w:p>
      <w:pPr>
        <w:ind w:left="40" w:right="200" w:firstLine="652"/>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6.1 Governing Law and Venue. </w:t>
      </w:r>
      <w:r>
        <w:rPr>
          <w:rFonts w:ascii="Times New Roman" w:cs="Times New Roman" w:eastAsia="Times New Roman" w:hAnsi="Times New Roman"/>
          <w:sz w:val="17"/>
          <w:szCs w:val="17"/>
          <w:color w:val="auto"/>
        </w:rPr>
        <w:t>This Agreement and any action related thereto will be governed and interpreted by and under the laws of the State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California, without giving effect to any conflicts of laws principles that require the application of the law of a different state. I expressly consent to personal jurisdiction and venue in the state and federal courts for the county in which Company’s principal place of business is located for any lawsuit filed there against me by Company arising from or related to this Agreement.</w:t>
      </w:r>
    </w:p>
    <w:p>
      <w:pPr>
        <w:spacing w:after="0" w:line="164" w:lineRule="exact"/>
        <w:rPr>
          <w:sz w:val="20"/>
          <w:szCs w:val="20"/>
          <w:color w:val="auto"/>
        </w:rPr>
      </w:pPr>
    </w:p>
    <w:p>
      <w:pPr>
        <w:ind w:left="40" w:right="300" w:firstLine="652"/>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6.2 Severability. </w:t>
      </w:r>
      <w:r>
        <w:rPr>
          <w:rFonts w:ascii="Times New Roman" w:cs="Times New Roman" w:eastAsia="Times New Roman" w:hAnsi="Times New Roman"/>
          <w:sz w:val="17"/>
          <w:szCs w:val="17"/>
          <w:color w:val="auto"/>
        </w:rPr>
        <w:t>If any provision of this Agreement is, for any reason, held to be invalid or unenforceable, the other provisions of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remain enforceable and the invalid or unenforceable provision will be deemed modified so that it is valid and enforceable to the maximum extent permitted by law.</w:t>
      </w:r>
    </w:p>
    <w:p>
      <w:pPr>
        <w:spacing w:after="0" w:line="172" w:lineRule="exact"/>
        <w:rPr>
          <w:sz w:val="20"/>
          <w:szCs w:val="20"/>
          <w:color w:val="auto"/>
        </w:rPr>
      </w:pPr>
    </w:p>
    <w:p>
      <w:pPr>
        <w:ind w:left="40" w:right="180" w:firstLine="652"/>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6.3 Survival. </w:t>
      </w:r>
      <w:r>
        <w:rPr>
          <w:rFonts w:ascii="Times New Roman" w:cs="Times New Roman" w:eastAsia="Times New Roman" w:hAnsi="Times New Roman"/>
          <w:sz w:val="17"/>
          <w:szCs w:val="17"/>
          <w:color w:val="auto"/>
        </w:rPr>
        <w:t>This Agreement shall survive the termination of my employment and the assignment of this Agreement by Company to any successor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other assignee and shall be binding upon my heirs and legal representatives.</w:t>
      </w:r>
    </w:p>
    <w:p>
      <w:pPr>
        <w:spacing w:after="0" w:line="142" w:lineRule="exact"/>
        <w:rPr>
          <w:sz w:val="20"/>
          <w:szCs w:val="20"/>
          <w:color w:val="auto"/>
        </w:rPr>
      </w:pPr>
    </w:p>
    <w:p>
      <w:pPr>
        <w:ind w:left="40" w:right="240" w:firstLine="652"/>
        <w:spacing w:after="0" w:line="250" w:lineRule="auto"/>
        <w:rPr>
          <w:sz w:val="20"/>
          <w:szCs w:val="20"/>
          <w:color w:val="auto"/>
        </w:rPr>
      </w:pPr>
      <w:r>
        <w:rPr>
          <w:rFonts w:ascii="Times New Roman" w:cs="Times New Roman" w:eastAsia="Times New Roman" w:hAnsi="Times New Roman"/>
          <w:sz w:val="17"/>
          <w:szCs w:val="17"/>
          <w:b w:val="1"/>
          <w:bCs w:val="1"/>
          <w:color w:val="auto"/>
        </w:rPr>
        <w:t>6.4 Employment</w:t>
      </w:r>
      <w:r>
        <w:rPr>
          <w:rFonts w:ascii="Times New Roman" w:cs="Times New Roman" w:eastAsia="Times New Roman" w:hAnsi="Times New Roman"/>
          <w:sz w:val="17"/>
          <w:szCs w:val="17"/>
          <w:color w:val="auto"/>
        </w:rPr>
        <w:t>. I agree and understand that nothing in this Agreement shall give me any right to continued employment by Company, and it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interfere in any way with my right or Company’s right to terminate my employment at any time, with or without cause and with or without advance notice.</w:t>
      </w:r>
    </w:p>
    <w:p>
      <w:pPr>
        <w:spacing w:after="0" w:line="172" w:lineRule="exact"/>
        <w:rPr>
          <w:sz w:val="20"/>
          <w:szCs w:val="20"/>
          <w:color w:val="auto"/>
        </w:rPr>
      </w:pPr>
    </w:p>
    <w:p>
      <w:pPr>
        <w:ind w:left="40" w:right="200" w:firstLine="652"/>
        <w:spacing w:after="0" w:line="239" w:lineRule="auto"/>
        <w:rPr>
          <w:sz w:val="20"/>
          <w:szCs w:val="20"/>
          <w:color w:val="auto"/>
        </w:rPr>
      </w:pPr>
      <w:r>
        <w:rPr>
          <w:rFonts w:ascii="Times New Roman" w:cs="Times New Roman" w:eastAsia="Times New Roman" w:hAnsi="Times New Roman"/>
          <w:sz w:val="17"/>
          <w:szCs w:val="17"/>
          <w:b w:val="1"/>
          <w:bCs w:val="1"/>
          <w:color w:val="auto"/>
        </w:rPr>
        <w:t xml:space="preserve">6.5 Notices. </w:t>
      </w:r>
      <w:r>
        <w:rPr>
          <w:rFonts w:ascii="Times New Roman" w:cs="Times New Roman" w:eastAsia="Times New Roman" w:hAnsi="Times New Roman"/>
          <w:sz w:val="17"/>
          <w:szCs w:val="17"/>
          <w:color w:val="auto"/>
        </w:rPr>
        <w:t>Each party must deliver all notices or other communications required or permitted under this Agreement in writing to the other party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address listed on the signature page, by courier, by certified or registered mail (postage prepaid and return receipt requested), or by a nationally-recognized express mail service. Notice will be effective upon receipt or refusal of delivery. If delivered by certified or registered mail, notice will be considered to have been given five (5) business days after it was mailed, as evidenced by the postmark. If delivered by courier or express mail service, notice will be considered to have been given on the delivery date reflected by the courier or express mail service receipt. Each party may change its address for receipt of notice by giving notice of the change to the other party.</w:t>
      </w:r>
    </w:p>
    <w:p>
      <w:pPr>
        <w:spacing w:after="0" w:line="182" w:lineRule="exact"/>
        <w:rPr>
          <w:sz w:val="20"/>
          <w:szCs w:val="20"/>
          <w:color w:val="auto"/>
        </w:rPr>
      </w:pPr>
    </w:p>
    <w:p>
      <w:pPr>
        <w:ind w:left="40" w:right="500" w:firstLine="652"/>
        <w:spacing w:after="0" w:line="269" w:lineRule="auto"/>
        <w:rPr>
          <w:sz w:val="20"/>
          <w:szCs w:val="20"/>
          <w:color w:val="auto"/>
        </w:rPr>
      </w:pPr>
      <w:r>
        <w:rPr>
          <w:rFonts w:ascii="Times New Roman" w:cs="Times New Roman" w:eastAsia="Times New Roman" w:hAnsi="Times New Roman"/>
          <w:sz w:val="17"/>
          <w:szCs w:val="17"/>
          <w:b w:val="1"/>
          <w:bCs w:val="1"/>
          <w:color w:val="auto"/>
        </w:rPr>
        <w:t>6.6 Injunctive Relief</w:t>
      </w:r>
      <w:r>
        <w:rPr>
          <w:rFonts w:ascii="Times New Roman" w:cs="Times New Roman" w:eastAsia="Times New Roman" w:hAnsi="Times New Roman"/>
          <w:sz w:val="17"/>
          <w:szCs w:val="17"/>
          <w:color w:val="auto"/>
        </w:rPr>
        <w:t>. I acknowledge that, because my services are personal and unique and because I will have access to the Confidential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of Company, any breach of this Agreement by me would cause irreparable injury to Company for which monetary damages would not be an</w:t>
      </w:r>
    </w:p>
    <w:p>
      <w:pPr>
        <w:sectPr>
          <w:pgSz w:w="11900" w:h="16838" w:orient="portrait"/>
          <w:cols w:equalWidth="0" w:num="1">
            <w:col w:w="10980"/>
          </w:cols>
          <w:pgMar w:left="500" w:top="816" w:right="419" w:bottom="0" w:gutter="0" w:footer="0" w:header="0"/>
        </w:sectPr>
      </w:pPr>
    </w:p>
    <w:bookmarkStart w:id="37" w:name="page38"/>
    <w:bookmarkEnd w:id="37"/>
    <w:p>
      <w:pPr>
        <w:spacing w:after="0" w:line="265" w:lineRule="auto"/>
        <w:rPr>
          <w:sz w:val="20"/>
          <w:szCs w:val="20"/>
          <w:color w:val="auto"/>
        </w:rPr>
      </w:pPr>
      <w:r>
        <w:rPr>
          <w:rFonts w:ascii="Times New Roman" w:cs="Times New Roman" w:eastAsia="Times New Roman" w:hAnsi="Times New Roman"/>
          <w:sz w:val="17"/>
          <w:szCs w:val="17"/>
          <w:color w:val="auto"/>
        </w:rPr>
        <w:t>adequate remedy and, therefore, will entitle Company to injunctive relief (including specific performance). The rights and remedies provided to each party in this Agreement are cumulative and in addition to any other rights and remedies available to such party at law or in equity.</w:t>
      </w:r>
    </w:p>
    <w:p>
      <w:pPr>
        <w:spacing w:after="0" w:line="159" w:lineRule="exact"/>
        <w:rPr>
          <w:sz w:val="20"/>
          <w:szCs w:val="20"/>
          <w:color w:val="auto"/>
        </w:rPr>
      </w:pPr>
    </w:p>
    <w:p>
      <w:pPr>
        <w:ind w:right="20" w:firstLine="652"/>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6.7 Waiver. </w:t>
      </w:r>
      <w:r>
        <w:rPr>
          <w:rFonts w:ascii="Times New Roman" w:cs="Times New Roman" w:eastAsia="Times New Roman" w:hAnsi="Times New Roman"/>
          <w:sz w:val="17"/>
          <w:szCs w:val="17"/>
          <w:color w:val="auto"/>
        </w:rPr>
        <w:t>Any waiver or failure to enforce any provision of this Agreement on one occasion will not be deemed a waiver of that provision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provision on any other occasion.</w:t>
      </w:r>
    </w:p>
    <w:p>
      <w:pPr>
        <w:spacing w:after="0" w:line="142" w:lineRule="exact"/>
        <w:rPr>
          <w:sz w:val="20"/>
          <w:szCs w:val="20"/>
          <w:color w:val="auto"/>
        </w:rPr>
      </w:pPr>
    </w:p>
    <w:p>
      <w:pPr>
        <w:ind w:right="460" w:firstLine="652"/>
        <w:spacing w:after="0" w:line="269" w:lineRule="auto"/>
        <w:rPr>
          <w:sz w:val="20"/>
          <w:szCs w:val="20"/>
          <w:color w:val="auto"/>
        </w:rPr>
      </w:pPr>
      <w:r>
        <w:rPr>
          <w:rFonts w:ascii="Times New Roman" w:cs="Times New Roman" w:eastAsia="Times New Roman" w:hAnsi="Times New Roman"/>
          <w:sz w:val="17"/>
          <w:szCs w:val="17"/>
          <w:b w:val="1"/>
          <w:bCs w:val="1"/>
          <w:color w:val="auto"/>
        </w:rPr>
        <w:t>6.8 Export</w:t>
      </w:r>
      <w:r>
        <w:rPr>
          <w:rFonts w:ascii="Times New Roman" w:cs="Times New Roman" w:eastAsia="Times New Roman" w:hAnsi="Times New Roman"/>
          <w:sz w:val="17"/>
          <w:szCs w:val="17"/>
          <w:color w:val="auto"/>
        </w:rPr>
        <w:t>. I agree not to export, reexport, or transfer, directly or indirectly, any U.S. technical data acquired from Company or any products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utilizing such data, in violation of the United States export laws or regulations.</w:t>
      </w:r>
    </w:p>
    <w:p>
      <w:pPr>
        <w:spacing w:after="0" w:line="156" w:lineRule="exact"/>
        <w:rPr>
          <w:sz w:val="20"/>
          <w:szCs w:val="20"/>
          <w:color w:val="auto"/>
        </w:rPr>
      </w:pPr>
    </w:p>
    <w:p>
      <w:pPr>
        <w:ind w:right="60" w:firstLine="652"/>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6.9 Counterparts. </w:t>
      </w:r>
      <w:r>
        <w:rPr>
          <w:rFonts w:ascii="Times New Roman" w:cs="Times New Roman" w:eastAsia="Times New Roman" w:hAnsi="Times New Roman"/>
          <w:sz w:val="17"/>
          <w:szCs w:val="17"/>
          <w:color w:val="auto"/>
        </w:rPr>
        <w:t>This Agreement may be executed in one or more counterparts, each of which shall be deemed an original and all of which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taken together and deemed to be one instrument.</w:t>
      </w:r>
    </w:p>
    <w:p>
      <w:pPr>
        <w:spacing w:after="0" w:line="142" w:lineRule="exact"/>
        <w:rPr>
          <w:sz w:val="20"/>
          <w:szCs w:val="20"/>
          <w:color w:val="auto"/>
        </w:rPr>
      </w:pPr>
    </w:p>
    <w:p>
      <w:pPr>
        <w:ind w:right="20" w:firstLine="652"/>
        <w:spacing w:after="0" w:line="239" w:lineRule="auto"/>
        <w:rPr>
          <w:sz w:val="20"/>
          <w:szCs w:val="20"/>
          <w:color w:val="auto"/>
        </w:rPr>
      </w:pPr>
      <w:r>
        <w:rPr>
          <w:rFonts w:ascii="Times New Roman" w:cs="Times New Roman" w:eastAsia="Times New Roman" w:hAnsi="Times New Roman"/>
          <w:sz w:val="17"/>
          <w:szCs w:val="17"/>
          <w:b w:val="1"/>
          <w:bCs w:val="1"/>
          <w:color w:val="auto"/>
        </w:rPr>
        <w:t xml:space="preserve">6.10 Entire Agreement. </w:t>
      </w:r>
      <w:r>
        <w:rPr>
          <w:rFonts w:ascii="Times New Roman" w:cs="Times New Roman" w:eastAsia="Times New Roman" w:hAnsi="Times New Roman"/>
          <w:sz w:val="17"/>
          <w:szCs w:val="17"/>
          <w:color w:val="auto"/>
        </w:rPr>
        <w:t>If no other agreement governs nondisclosure and assignment of inventions during any period in which I was previously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employed or am in the future employed by Company as an independent contractor, the obligations pursuant to sections of this Agreement titled Confidential Information Protections and Inventions shall apply. This Agreement is the final, complete and exclusive agreement of the parties with respect to the subject matter hereof and supersedes and merges all prior communications between us with respect to such matters. No modification of or amendment to this Agreement, or any waiver of any rights under this Agreement, will be effective unless in writing and signed by me and an officer of the Company authorized by the Board. Any subsequent change or changes in my duties, salary or compensation will not affect the validity or scope of this Agreement.</w:t>
      </w:r>
    </w:p>
    <w:p>
      <w:pPr>
        <w:sectPr>
          <w:pgSz w:w="11900" w:h="16838" w:orient="portrait"/>
          <w:cols w:equalWidth="0" w:num="1">
            <w:col w:w="10740"/>
          </w:cols>
          <w:pgMar w:left="540" w:top="118" w:right="619" w:bottom="1440" w:gutter="0" w:footer="0" w:header="0"/>
        </w:sectPr>
      </w:pPr>
    </w:p>
    <w:bookmarkStart w:id="38" w:name="page39"/>
    <w:bookmarkEnd w:id="38"/>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 shall be effective as of the first day of my employment with Company.</w:t>
      </w:r>
    </w:p>
    <w:p>
      <w:pPr>
        <w:spacing w:after="0" w:line="2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4"/>
          <w:szCs w:val="14"/>
          <w:b w:val="1"/>
          <w:bCs w:val="1"/>
          <w:color w:val="auto"/>
        </w:rPr>
        <w:t>CCEPTED AND AGREED</w:t>
      </w:r>
    </w:p>
    <w:p>
      <w:pPr>
        <w:spacing w:after="0" w:line="3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TaskUs, Inc</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Bryce Maddox</w:t>
      </w:r>
    </w:p>
    <w:p>
      <w:pPr>
        <w:spacing w:after="0" w:line="2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 xml:space="preserve">Name: </w:t>
      </w:r>
      <w:r>
        <w:rPr>
          <w:rFonts w:ascii="Arial" w:cs="Arial" w:eastAsia="Arial" w:hAnsi="Arial"/>
          <w:sz w:val="16"/>
          <w:szCs w:val="16"/>
          <w:u w:val="single" w:color="auto"/>
          <w:color w:val="auto"/>
        </w:rPr>
        <w:t>Bryce Maddock</w:t>
      </w:r>
    </w:p>
    <w:p>
      <w:pPr>
        <w:spacing w:after="0" w:line="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 xml:space="preserve">Title: </w:t>
      </w:r>
      <w:r>
        <w:rPr>
          <w:rFonts w:ascii="Arial" w:cs="Arial" w:eastAsia="Arial" w:hAnsi="Arial"/>
          <w:sz w:val="16"/>
          <w:szCs w:val="16"/>
          <w:u w:val="single" w:color="auto"/>
          <w:color w:val="auto"/>
        </w:rPr>
        <w:t>CEO</w:t>
      </w:r>
    </w:p>
    <w:p>
      <w:pPr>
        <w:spacing w:after="0" w:line="3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Address: 2621 33rd Street, Santa Monica, CA 90405</w:t>
      </w:r>
    </w:p>
    <w:p>
      <w:pPr>
        <w:spacing w:after="0" w:line="39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I HAVE READ, UNDERSTAND, AND ACCEPT THIS AGREEMENT AND</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HAVE  BEEN  GIVEN  THE  OPPORTUNITY  TO  REVIEW  IT  WITH</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INDEPENDENT LEGAL COUNSEL.</w:t>
      </w:r>
    </w:p>
    <w:p>
      <w:pPr>
        <w:spacing w:after="0" w:line="26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/s/ Jaspar Weir</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(Signature)</w:t>
      </w:r>
    </w:p>
    <w:p>
      <w:pPr>
        <w:spacing w:after="0" w:line="9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Jaspar Weir</w:t>
      </w:r>
    </w:p>
    <w:p>
      <w:pPr>
        <w:spacing w:after="0" w:line="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(Please Print)</w:t>
      </w:r>
    </w:p>
    <w:p>
      <w:pPr>
        <w:spacing w:after="0" w:line="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5/26/2015</w:t>
      </w:r>
    </w:p>
    <w:p>
      <w:pPr>
        <w:spacing w:after="0" w:line="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Date</w:t>
      </w:r>
    </w:p>
    <w:p>
      <w:pPr>
        <w:spacing w:after="0" w:line="19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Address: </w:t>
      </w:r>
      <w:r>
        <w:rPr>
          <w:rFonts w:ascii="Times New Roman" w:cs="Times New Roman" w:eastAsia="Times New Roman" w:hAnsi="Times New Roman"/>
          <w:sz w:val="18"/>
          <w:szCs w:val="18"/>
          <w:u w:val="single" w:color="auto"/>
          <w:color w:val="auto"/>
        </w:rPr>
        <w:t>3233 Donald Douglass Loop S,</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Santa Monica, CA 90405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INVENTIONS</w:t>
      </w:r>
    </w:p>
    <w:p>
      <w:pPr>
        <w:spacing w:after="0" w:line="225" w:lineRule="exact"/>
        <w:rPr>
          <w:sz w:val="20"/>
          <w:szCs w:val="20"/>
          <w:color w:val="auto"/>
        </w:rPr>
      </w:pPr>
    </w:p>
    <w:p>
      <w:pPr>
        <w:ind w:left="340" w:right="20" w:hanging="8"/>
        <w:spacing w:after="0" w:line="239" w:lineRule="auto"/>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Prior Inventions Disclosure. </w:t>
      </w:r>
      <w:r>
        <w:rPr>
          <w:rFonts w:ascii="Times New Roman" w:cs="Times New Roman" w:eastAsia="Times New Roman" w:hAnsi="Times New Roman"/>
          <w:sz w:val="18"/>
          <w:szCs w:val="18"/>
          <w:color w:val="auto"/>
        </w:rPr>
        <w:t>The following is a complete list of all Prior Inventions (as provided in Subsection 2.2 of the attached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and Inventions Assignment Agreement, defined herein as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None</w:t>
      </w:r>
    </w:p>
    <w:p>
      <w:pPr>
        <w:spacing w:after="0" w:line="2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See immediately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 Limited Exclusion Notification.</w:t>
      </w:r>
    </w:p>
    <w:p>
      <w:pPr>
        <w:spacing w:after="0" w:line="252" w:lineRule="exact"/>
        <w:rPr>
          <w:sz w:val="20"/>
          <w:szCs w:val="20"/>
          <w:color w:val="auto"/>
        </w:rPr>
      </w:pPr>
    </w:p>
    <w:p>
      <w:pPr>
        <w:ind w:left="3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IS TO NOTIFY </w:t>
      </w:r>
      <w:r>
        <w:rPr>
          <w:rFonts w:ascii="Times New Roman" w:cs="Times New Roman" w:eastAsia="Times New Roman" w:hAnsi="Times New Roman"/>
          <w:sz w:val="18"/>
          <w:szCs w:val="18"/>
          <w:color w:val="auto"/>
        </w:rPr>
        <w:t>you in accordance with Section 2872 of the California Labor Code that the foregoing Agreement between you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does not require you to assign or offer to assign to Company any Invention that you develop entirely on your own time without using</w:t>
      </w:r>
    </w:p>
    <w:p>
      <w:pPr>
        <w:sectPr>
          <w:pgSz w:w="11900" w:h="16876" w:orient="portrait"/>
          <w:cols w:equalWidth="0" w:num="1">
            <w:col w:w="11240"/>
          </w:cols>
          <w:pgMar w:left="320" w:top="860" w:right="339" w:bottom="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Company’s equipment, supplies, facilities or trade secret information, except for those Inventions that either:</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color w:val="auto"/>
        </w:rPr>
        <w:t>Relate at the time of conception or reduction to practice to Company’s business, or actual or demonstrably anticipated research or development;</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or</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Result from any work performed by you for Company.</w:t>
      </w:r>
    </w:p>
    <w:p>
      <w:pPr>
        <w:spacing w:after="0" w:line="256"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8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17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2015 PERFORMANCE BONUS PLAN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shall receive the following bonuses for fiscal year 2015:</w:t>
      </w:r>
    </w:p>
    <w:p>
      <w:pPr>
        <w:spacing w:after="0" w:line="117" w:lineRule="exact"/>
        <w:rPr>
          <w:sz w:val="20"/>
          <w:szCs w:val="20"/>
          <w:color w:val="auto"/>
        </w:rPr>
      </w:pPr>
    </w:p>
    <w:p>
      <w:pPr>
        <w:ind w:left="660" w:hanging="18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Bonus:</w:t>
      </w:r>
    </w:p>
    <w:p>
      <w:pPr>
        <w:spacing w:after="0" w:line="117" w:lineRule="exact"/>
        <w:rPr>
          <w:rFonts w:ascii="Times New Roman" w:cs="Times New Roman" w:eastAsia="Times New Roman" w:hAnsi="Times New Roman"/>
          <w:sz w:val="18"/>
          <w:szCs w:val="18"/>
          <w:color w:val="auto"/>
        </w:rPr>
      </w:pPr>
    </w:p>
    <w:p>
      <w:pPr>
        <w:ind w:left="800" w:hanging="160"/>
        <w:spacing w:after="0"/>
        <w:tabs>
          <w:tab w:leader="none" w:pos="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receive a bonus of 25% of his base salary if the 2015 Revenue is at least the Revenue Target.</w:t>
      </w:r>
    </w:p>
    <w:p>
      <w:pPr>
        <w:spacing w:after="0" w:line="117" w:lineRule="exact"/>
        <w:rPr>
          <w:rFonts w:ascii="Times New Roman" w:cs="Times New Roman" w:eastAsia="Times New Roman" w:hAnsi="Times New Roman"/>
          <w:sz w:val="18"/>
          <w:szCs w:val="18"/>
          <w:color w:val="auto"/>
        </w:rPr>
      </w:pPr>
    </w:p>
    <w:p>
      <w:pPr>
        <w:ind w:left="800" w:right="240" w:hanging="160"/>
        <w:spacing w:after="0" w:line="282" w:lineRule="auto"/>
        <w:tabs>
          <w:tab w:leader="none" w:pos="8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2015 Revenue is less than the Revenue Target, the Executive shall receive a bonus equal to 25% of his base salary multiplied by a fraction, the numerator of which shall equal the 2015 Revenue and the denominator of which shall equal the Revenue Target.</w:t>
      </w:r>
    </w:p>
    <w:p>
      <w:pPr>
        <w:spacing w:after="0" w:line="53" w:lineRule="exact"/>
        <w:rPr>
          <w:rFonts w:ascii="Times New Roman" w:cs="Times New Roman" w:eastAsia="Times New Roman" w:hAnsi="Times New Roman"/>
          <w:sz w:val="18"/>
          <w:szCs w:val="18"/>
          <w:color w:val="auto"/>
        </w:rPr>
      </w:pPr>
    </w:p>
    <w:p>
      <w:pPr>
        <w:ind w:left="660" w:hanging="18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Bonus:</w:t>
      </w:r>
    </w:p>
    <w:p>
      <w:pPr>
        <w:spacing w:after="0" w:line="117" w:lineRule="exact"/>
        <w:rPr>
          <w:rFonts w:ascii="Times New Roman" w:cs="Times New Roman" w:eastAsia="Times New Roman" w:hAnsi="Times New Roman"/>
          <w:sz w:val="18"/>
          <w:szCs w:val="18"/>
          <w:color w:val="auto"/>
        </w:rPr>
      </w:pPr>
    </w:p>
    <w:p>
      <w:pPr>
        <w:ind w:left="800" w:hanging="160"/>
        <w:spacing w:after="0"/>
        <w:tabs>
          <w:tab w:leader="none" w:pos="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receive a bonus of 25% of his base salary if the 2015 EBITDA is at least the EBITDA Target.</w:t>
      </w:r>
    </w:p>
    <w:p>
      <w:pPr>
        <w:spacing w:after="0" w:line="117" w:lineRule="exact"/>
        <w:rPr>
          <w:rFonts w:ascii="Times New Roman" w:cs="Times New Roman" w:eastAsia="Times New Roman" w:hAnsi="Times New Roman"/>
          <w:sz w:val="18"/>
          <w:szCs w:val="18"/>
          <w:color w:val="auto"/>
        </w:rPr>
      </w:pPr>
    </w:p>
    <w:p>
      <w:pPr>
        <w:ind w:left="800" w:right="180" w:hanging="160"/>
        <w:spacing w:after="0" w:line="282" w:lineRule="auto"/>
        <w:tabs>
          <w:tab w:leader="none" w:pos="8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2015 EBITDA is less than the EBITDA Target, the Executive shall receive a bonus equal to 25% of his base salary multiplied by a fraction, the numerator of which shall equal the 2015 EBITDA and the denominator of which shall equal the EBITDA Target.</w:t>
      </w:r>
    </w:p>
    <w:p>
      <w:pPr>
        <w:sectPr>
          <w:pgSz w:w="11900" w:h="16838" w:orient="portrait"/>
          <w:cols w:equalWidth="0" w:num="1">
            <w:col w:w="10840"/>
          </w:cols>
          <w:pgMar w:left="660" w:top="121" w:right="3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8255</wp:posOffset>
            </wp:positionV>
            <wp:extent cx="1894205"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894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120"/>
        <w:spacing w:after="0"/>
        <w:rPr>
          <w:sz w:val="20"/>
          <w:szCs w:val="20"/>
          <w:color w:val="auto"/>
        </w:rPr>
      </w:pPr>
      <w:r>
        <w:rPr>
          <w:rFonts w:ascii="Arial" w:cs="Arial" w:eastAsia="Arial" w:hAnsi="Arial"/>
          <w:sz w:val="20"/>
          <w:szCs w:val="20"/>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April 2, 2021</w:t>
      </w:r>
    </w:p>
    <w:p>
      <w:pPr>
        <w:spacing w:after="0" w:line="287"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Change Memo</w:t>
      </w:r>
    </w:p>
    <w:p>
      <w:pPr>
        <w:spacing w:after="0"/>
        <w:rPr>
          <w:sz w:val="20"/>
          <w:szCs w:val="20"/>
          <w:color w:val="auto"/>
        </w:rPr>
      </w:pPr>
      <w:r>
        <w:rPr>
          <w:rFonts w:ascii="Arial" w:cs="Arial" w:eastAsia="Arial" w:hAnsi="Arial"/>
          <w:sz w:val="20"/>
          <w:szCs w:val="20"/>
          <w:color w:val="auto"/>
        </w:rPr>
        <w:t>Dear Jaspar,</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In light of the continuing COVID-19 pandemic, you agree to accept a reduced base salary to</w:t>
      </w:r>
    </w:p>
    <w:p>
      <w:pPr>
        <w:spacing w:after="0" w:line="215" w:lineRule="auto"/>
        <w:rPr>
          <w:sz w:val="20"/>
          <w:szCs w:val="20"/>
          <w:color w:val="auto"/>
        </w:rPr>
      </w:pPr>
      <w:r>
        <w:rPr>
          <w:rFonts w:ascii="Arial" w:cs="Arial" w:eastAsia="Arial" w:hAnsi="Arial"/>
          <w:sz w:val="20"/>
          <w:szCs w:val="20"/>
          <w:color w:val="auto"/>
        </w:rPr>
        <w:t>$30,000.00 effective December 21, 2020. You agree that you will reimburse TaskUs the overpayment of salary that</w:t>
      </w:r>
    </w:p>
    <w:p>
      <w:pPr>
        <w:spacing w:after="0" w:line="1"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auto"/>
        </w:rPr>
        <w:t>you received between 12/21/2020 through 3/28/2021. The TaskUs Payroll team will provide repayment options, as well as applicable amendments for previous pay periods.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Below you will find details of this change:</w:t>
      </w:r>
    </w:p>
    <w:p>
      <w:pPr>
        <w:spacing w:after="0" w:line="272" w:lineRule="exact"/>
        <w:rPr>
          <w:sz w:val="20"/>
          <w:szCs w:val="20"/>
          <w:color w:val="auto"/>
        </w:rPr>
      </w:pPr>
    </w:p>
    <w:tbl>
      <w:tblPr>
        <w:tblLayout w:type="fixed"/>
        <w:tblInd w:w="380" w:type="dxa"/>
        <w:tblCellMar>
          <w:top w:w="0" w:type="dxa"/>
          <w:left w:w="0" w:type="dxa"/>
          <w:bottom w:w="0" w:type="dxa"/>
          <w:right w:w="0" w:type="dxa"/>
        </w:tblCellMar>
      </w:tblPr>
      <w:tr>
        <w:trPr>
          <w:trHeight w:val="229"/>
        </w:trPr>
        <w:tc>
          <w:tcPr>
            <w:tcW w:w="32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2100" w:type="dxa"/>
            <w:vAlign w:val="bottom"/>
          </w:tcPr>
          <w:p>
            <w:pPr>
              <w:ind w:left="1100"/>
              <w:spacing w:after="0"/>
              <w:rPr>
                <w:sz w:val="20"/>
                <w:szCs w:val="20"/>
                <w:color w:val="auto"/>
              </w:rPr>
            </w:pPr>
            <w:r>
              <w:rPr>
                <w:rFonts w:ascii="Arial" w:cs="Arial" w:eastAsia="Arial" w:hAnsi="Arial"/>
                <w:sz w:val="18"/>
                <w:szCs w:val="18"/>
                <w:color w:val="auto"/>
              </w:rPr>
              <w:t>President</w:t>
            </w:r>
          </w:p>
        </w:tc>
      </w:tr>
      <w:tr>
        <w:trPr>
          <w:trHeight w:val="230"/>
        </w:trPr>
        <w:tc>
          <w:tcPr>
            <w:tcW w:w="3260" w:type="dxa"/>
            <w:vAlign w:val="bottom"/>
          </w:tcPr>
          <w:p>
            <w:pPr>
              <w:spacing w:after="0"/>
              <w:rPr>
                <w:sz w:val="20"/>
                <w:szCs w:val="20"/>
                <w:color w:val="auto"/>
              </w:rPr>
            </w:pPr>
            <w:r>
              <w:rPr>
                <w:rFonts w:ascii="Arial" w:cs="Arial" w:eastAsia="Arial" w:hAnsi="Arial"/>
                <w:sz w:val="18"/>
                <w:szCs w:val="18"/>
                <w:b w:val="1"/>
                <w:bCs w:val="1"/>
                <w:color w:val="auto"/>
              </w:rPr>
              <w:t>Current Base Salary</w:t>
            </w:r>
          </w:p>
        </w:tc>
        <w:tc>
          <w:tcPr>
            <w:tcW w:w="2100" w:type="dxa"/>
            <w:vAlign w:val="bottom"/>
          </w:tcPr>
          <w:p>
            <w:pPr>
              <w:ind w:left="1100"/>
              <w:spacing w:after="0"/>
              <w:rPr>
                <w:sz w:val="20"/>
                <w:szCs w:val="20"/>
                <w:color w:val="auto"/>
              </w:rPr>
            </w:pPr>
            <w:r>
              <w:rPr>
                <w:rFonts w:ascii="Arial" w:cs="Arial" w:eastAsia="Arial" w:hAnsi="Arial"/>
                <w:sz w:val="18"/>
                <w:szCs w:val="18"/>
                <w:color w:val="auto"/>
                <w:w w:val="97"/>
              </w:rPr>
              <w:t>$350,000.00</w:t>
            </w:r>
          </w:p>
        </w:tc>
      </w:tr>
      <w:tr>
        <w:trPr>
          <w:trHeight w:val="229"/>
        </w:trPr>
        <w:tc>
          <w:tcPr>
            <w:tcW w:w="3260" w:type="dxa"/>
            <w:vAlign w:val="bottom"/>
          </w:tcPr>
          <w:p>
            <w:pPr>
              <w:spacing w:after="0"/>
              <w:rPr>
                <w:sz w:val="20"/>
                <w:szCs w:val="20"/>
                <w:color w:val="auto"/>
              </w:rPr>
            </w:pPr>
            <w:r>
              <w:rPr>
                <w:rFonts w:ascii="Arial" w:cs="Arial" w:eastAsia="Arial" w:hAnsi="Arial"/>
                <w:sz w:val="18"/>
                <w:szCs w:val="18"/>
                <w:b w:val="1"/>
                <w:bCs w:val="1"/>
                <w:color w:val="auto"/>
              </w:rPr>
              <w:t>Effective as of 12/21/2020</w:t>
            </w:r>
          </w:p>
        </w:tc>
        <w:tc>
          <w:tcPr>
            <w:tcW w:w="2100" w:type="dxa"/>
            <w:vAlign w:val="bottom"/>
          </w:tcPr>
          <w:p>
            <w:pPr>
              <w:ind w:left="1100"/>
              <w:spacing w:after="0"/>
              <w:rPr>
                <w:sz w:val="20"/>
                <w:szCs w:val="20"/>
                <w:color w:val="auto"/>
              </w:rPr>
            </w:pPr>
            <w:r>
              <w:rPr>
                <w:rFonts w:ascii="Arial" w:cs="Arial" w:eastAsia="Arial" w:hAnsi="Arial"/>
                <w:sz w:val="18"/>
                <w:szCs w:val="18"/>
                <w:b w:val="1"/>
                <w:bCs w:val="1"/>
                <w:color w:val="auto"/>
              </w:rPr>
              <w:t>$30,000.00</w:t>
            </w:r>
          </w:p>
        </w:tc>
      </w:tr>
      <w:tr>
        <w:trPr>
          <w:trHeight w:val="247"/>
        </w:trPr>
        <w:tc>
          <w:tcPr>
            <w:tcW w:w="326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2100" w:type="dxa"/>
            <w:vAlign w:val="bottom"/>
          </w:tcPr>
          <w:p>
            <w:pPr>
              <w:ind w:left="1100"/>
              <w:spacing w:after="0"/>
              <w:rPr>
                <w:sz w:val="20"/>
                <w:szCs w:val="20"/>
                <w:color w:val="auto"/>
              </w:rPr>
            </w:pPr>
            <w:r>
              <w:rPr>
                <w:rFonts w:ascii="Arial" w:cs="Arial" w:eastAsia="Arial" w:hAnsi="Arial"/>
                <w:sz w:val="18"/>
                <w:szCs w:val="18"/>
                <w:b w:val="1"/>
                <w:bCs w:val="1"/>
                <w:color w:val="auto"/>
              </w:rPr>
              <w:t>$0.00</w:t>
            </w:r>
          </w:p>
        </w:tc>
      </w:tr>
    </w:tbl>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Further, your 401(K) contributions are currently set up for a 38% deduction of your base salary. In order to obtain the</w:t>
      </w:r>
    </w:p>
    <w:p>
      <w:pPr>
        <w:ind w:right="100"/>
        <w:spacing w:after="0" w:line="215" w:lineRule="auto"/>
        <w:rPr>
          <w:sz w:val="20"/>
          <w:szCs w:val="20"/>
          <w:color w:val="auto"/>
        </w:rPr>
      </w:pPr>
      <w:r>
        <w:rPr>
          <w:rFonts w:ascii="Arial" w:cs="Arial" w:eastAsia="Arial" w:hAnsi="Arial"/>
          <w:sz w:val="19"/>
          <w:szCs w:val="19"/>
          <w:color w:val="auto"/>
        </w:rPr>
        <w:t>$19,500.00 at year end, your 401(K) deduction should be changed to 65%. It is highly recommended that you review your contributions no later than April 8, 2021, and submit the necessary change on the mykplan site through ADP at</w:t>
      </w:r>
    </w:p>
    <w:p>
      <w:pPr>
        <w:spacing w:after="0"/>
        <w:rPr>
          <w:sz w:val="20"/>
          <w:szCs w:val="20"/>
          <w:color w:val="auto"/>
        </w:rPr>
      </w:pPr>
      <w:r>
        <w:rPr>
          <w:rFonts w:ascii="Arial" w:cs="Arial" w:eastAsia="Arial" w:hAnsi="Arial"/>
          <w:sz w:val="20"/>
          <w:szCs w:val="20"/>
          <w:u w:val="single" w:color="auto"/>
          <w:color w:val="0000FF"/>
        </w:rPr>
        <w:t>https://mykplan.adp.com/public/Login/index</w:t>
      </w:r>
      <w:r>
        <w:rPr>
          <w:rFonts w:ascii="Arial" w:cs="Arial" w:eastAsia="Arial" w:hAnsi="Arial"/>
          <w:sz w:val="20"/>
          <w:szCs w:val="20"/>
          <w:color w:val="000000"/>
        </w:rPr>
        <w:t>, or by calling 1-866-695-7526.</w:t>
      </w:r>
    </w:p>
    <w:p>
      <w:pPr>
        <w:spacing w:after="0" w:line="198"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Additionally, your company paid life insurance will be adjusted to $30,000.00, which is the maximum amount for your base salary.</w:t>
      </w:r>
    </w:p>
    <w:p>
      <w:pPr>
        <w:spacing w:after="0" w:line="182"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You will be paid in accordance with TaskUs’ standard payroll practices and subject to all withholdings and deductions required by law. All other terms and conditions of your employment remain the same.</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auto"/>
        </w:rPr>
        <w:t>I have read and understand the forgoing provisions of this Memo. Agreed to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/s/ Jaspar Weir</w:t>
            </w:r>
          </w:p>
        </w:tc>
        <w:tc>
          <w:tcPr>
            <w:tcW w:w="2920" w:type="dxa"/>
            <w:vAlign w:val="bottom"/>
          </w:tcPr>
          <w:p>
            <w:pPr>
              <w:ind w:left="20"/>
              <w:spacing w:after="0"/>
              <w:rPr>
                <w:sz w:val="20"/>
                <w:szCs w:val="20"/>
                <w:color w:val="auto"/>
              </w:rPr>
            </w:pPr>
            <w:r>
              <w:rPr>
                <w:rFonts w:ascii="Arial" w:cs="Arial" w:eastAsia="Arial" w:hAnsi="Arial"/>
                <w:sz w:val="18"/>
                <w:szCs w:val="18"/>
                <w:color w:val="auto"/>
              </w:rPr>
              <w:t>4/2/2021</w:t>
            </w:r>
          </w:p>
        </w:tc>
      </w:tr>
      <w:tr>
        <w:trPr>
          <w:trHeight w:val="232"/>
        </w:trPr>
        <w:tc>
          <w:tcPr>
            <w:tcW w:w="4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Jaspar Weir</w:t>
            </w:r>
          </w:p>
        </w:tc>
        <w:tc>
          <w:tcPr>
            <w:tcW w:w="380" w:type="dxa"/>
            <w:vAlign w:val="bottom"/>
          </w:tcPr>
          <w:p>
            <w:pPr>
              <w:spacing w:after="0"/>
              <w:rPr>
                <w:sz w:val="20"/>
                <w:szCs w:val="20"/>
                <w:color w:val="auto"/>
              </w:rPr>
            </w:pPr>
          </w:p>
        </w:tc>
        <w:tc>
          <w:tcPr>
            <w:tcW w:w="2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0300"/>
          </w:cols>
          <w:pgMar w:left="1260" w:top="74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8255</wp:posOffset>
            </wp:positionV>
            <wp:extent cx="1954530" cy="386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9545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rPr>
          <w:sz w:val="20"/>
          <w:szCs w:val="20"/>
          <w:color w:val="auto"/>
        </w:rPr>
      </w:pPr>
      <w:r>
        <w:rPr>
          <w:rFonts w:ascii="Verdana" w:cs="Verdana" w:eastAsia="Verdana" w:hAnsi="Verdana"/>
          <w:sz w:val="17"/>
          <w:szCs w:val="17"/>
          <w:color w:val="auto"/>
        </w:rPr>
        <w:t>2/18/21</w:t>
      </w:r>
    </w:p>
    <w:p>
      <w:pPr>
        <w:spacing w:after="0" w:line="9" w:lineRule="exact"/>
        <w:rPr>
          <w:sz w:val="20"/>
          <w:szCs w:val="20"/>
          <w:color w:val="auto"/>
        </w:rPr>
      </w:pPr>
    </w:p>
    <w:p>
      <w:pPr>
        <w:ind w:left="8900"/>
        <w:spacing w:after="0"/>
        <w:rPr>
          <w:sz w:val="20"/>
          <w:szCs w:val="20"/>
          <w:color w:val="auto"/>
        </w:rPr>
      </w:pPr>
      <w:r>
        <w:rPr>
          <w:rFonts w:ascii="Verdana" w:cs="Verdana" w:eastAsia="Verdana" w:hAnsi="Verdana"/>
          <w:sz w:val="17"/>
          <w:szCs w:val="17"/>
          <w:b w:val="1"/>
          <w:bCs w:val="1"/>
          <w:color w:val="auto"/>
        </w:rPr>
        <w:t>CONFIDENTIAL</w:t>
      </w:r>
    </w:p>
    <w:p>
      <w:pPr>
        <w:spacing w:after="0" w:line="200" w:lineRule="exact"/>
        <w:rPr>
          <w:sz w:val="20"/>
          <w:szCs w:val="20"/>
          <w:color w:val="auto"/>
        </w:rPr>
      </w:pPr>
    </w:p>
    <w:p>
      <w:pPr>
        <w:spacing w:after="0" w:line="345" w:lineRule="exact"/>
        <w:rPr>
          <w:sz w:val="20"/>
          <w:szCs w:val="20"/>
          <w:color w:val="auto"/>
        </w:rPr>
      </w:pPr>
    </w:p>
    <w:p>
      <w:pPr>
        <w:jc w:val="center"/>
        <w:ind w:right="380"/>
        <w:spacing w:after="0"/>
        <w:rPr>
          <w:sz w:val="20"/>
          <w:szCs w:val="20"/>
          <w:color w:val="auto"/>
        </w:rPr>
      </w:pPr>
      <w:r>
        <w:rPr>
          <w:rFonts w:ascii="Verdana" w:cs="Verdana" w:eastAsia="Verdana" w:hAnsi="Verdana"/>
          <w:sz w:val="22"/>
          <w:szCs w:val="22"/>
          <w:b w:val="1"/>
          <w:bCs w:val="1"/>
          <w:color w:val="auto"/>
        </w:rPr>
        <w:t>Merit Memo</w:t>
      </w:r>
    </w:p>
    <w:p>
      <w:pPr>
        <w:spacing w:after="0" w:line="273" w:lineRule="exact"/>
        <w:rPr>
          <w:sz w:val="20"/>
          <w:szCs w:val="20"/>
          <w:color w:val="auto"/>
        </w:rPr>
      </w:pPr>
    </w:p>
    <w:p>
      <w:pPr>
        <w:ind w:left="60"/>
        <w:spacing w:after="0"/>
        <w:rPr>
          <w:sz w:val="20"/>
          <w:szCs w:val="20"/>
          <w:color w:val="auto"/>
        </w:rPr>
      </w:pPr>
      <w:r>
        <w:rPr>
          <w:rFonts w:ascii="Verdana" w:cs="Verdana" w:eastAsia="Verdana" w:hAnsi="Verdana"/>
          <w:sz w:val="22"/>
          <w:szCs w:val="22"/>
          <w:color w:val="auto"/>
        </w:rPr>
        <w:t>Dear Jarrod Johnson,</w:t>
      </w:r>
    </w:p>
    <w:p>
      <w:pPr>
        <w:spacing w:after="0" w:line="246" w:lineRule="exact"/>
        <w:rPr>
          <w:sz w:val="20"/>
          <w:szCs w:val="20"/>
          <w:color w:val="auto"/>
        </w:rPr>
      </w:pPr>
    </w:p>
    <w:p>
      <w:pPr>
        <w:ind w:left="60" w:right="580"/>
        <w:spacing w:after="0" w:line="290" w:lineRule="auto"/>
        <w:rPr>
          <w:sz w:val="20"/>
          <w:szCs w:val="20"/>
          <w:color w:val="auto"/>
        </w:rPr>
      </w:pPr>
      <w:r>
        <w:rPr>
          <w:rFonts w:ascii="Verdana" w:cs="Verdana" w:eastAsia="Verdana" w:hAnsi="Verdana"/>
          <w:sz w:val="21"/>
          <w:szCs w:val="21"/>
          <w:color w:val="auto"/>
        </w:rPr>
        <w:t>Congratulations! Effective February 15, 2021, your new annual base salary as Chief Customer Officer will increase to $350,010.26. Below you will find the details of this change.</w:t>
      </w:r>
    </w:p>
    <w:p>
      <w:pPr>
        <w:spacing w:after="0" w:line="207" w:lineRule="exact"/>
        <w:rPr>
          <w:sz w:val="20"/>
          <w:szCs w:val="20"/>
          <w:color w:val="auto"/>
        </w:rPr>
      </w:pPr>
    </w:p>
    <w:p>
      <w:pPr>
        <w:ind w:left="700"/>
        <w:spacing w:after="0"/>
        <w:rPr>
          <w:sz w:val="20"/>
          <w:szCs w:val="20"/>
          <w:color w:val="auto"/>
        </w:rPr>
      </w:pPr>
      <w:r>
        <w:rPr>
          <w:rFonts w:ascii="Verdana" w:cs="Verdana" w:eastAsia="Verdana" w:hAnsi="Verdana"/>
          <w:sz w:val="22"/>
          <w:szCs w:val="22"/>
          <w:color w:val="auto"/>
        </w:rPr>
        <w:t>Current Base Rate $300,000.22 New Base</w:t>
      </w:r>
    </w:p>
    <w:p>
      <w:pPr>
        <w:spacing w:after="0" w:line="30" w:lineRule="exact"/>
        <w:rPr>
          <w:sz w:val="20"/>
          <w:szCs w:val="20"/>
          <w:color w:val="auto"/>
        </w:rPr>
      </w:pPr>
    </w:p>
    <w:p>
      <w:pPr>
        <w:ind w:left="700"/>
        <w:spacing w:after="0"/>
        <w:rPr>
          <w:sz w:val="20"/>
          <w:szCs w:val="20"/>
          <w:color w:val="auto"/>
        </w:rPr>
      </w:pPr>
      <w:r>
        <w:rPr>
          <w:rFonts w:ascii="Verdana" w:cs="Verdana" w:eastAsia="Verdana" w:hAnsi="Verdana"/>
          <w:sz w:val="22"/>
          <w:szCs w:val="22"/>
          <w:color w:val="auto"/>
        </w:rPr>
        <w:t>Rate $350,010.26</w:t>
      </w:r>
    </w:p>
    <w:p>
      <w:pPr>
        <w:spacing w:after="0" w:line="259" w:lineRule="exact"/>
        <w:rPr>
          <w:sz w:val="20"/>
          <w:szCs w:val="20"/>
          <w:color w:val="auto"/>
        </w:rPr>
      </w:pPr>
    </w:p>
    <w:p>
      <w:pPr>
        <w:ind w:left="60" w:right="380"/>
        <w:spacing w:after="0" w:line="266" w:lineRule="auto"/>
        <w:rPr>
          <w:sz w:val="20"/>
          <w:szCs w:val="20"/>
          <w:color w:val="auto"/>
        </w:rPr>
      </w:pPr>
      <w:r>
        <w:rPr>
          <w:rFonts w:ascii="Verdana" w:cs="Verdana" w:eastAsia="Verdana" w:hAnsi="Verdana"/>
          <w:sz w:val="22"/>
          <w:szCs w:val="22"/>
          <w:color w:val="auto"/>
        </w:rPr>
        <w:t>Please note that nothing in this Memo changes your at-will status of employment, the terms of which may be modified or terminated at any time by TaskUs, with or without notice.</w:t>
      </w:r>
    </w:p>
    <w:p>
      <w:pPr>
        <w:spacing w:after="0" w:line="217" w:lineRule="exact"/>
        <w:rPr>
          <w:sz w:val="20"/>
          <w:szCs w:val="20"/>
          <w:color w:val="auto"/>
        </w:rPr>
      </w:pPr>
    </w:p>
    <w:p>
      <w:pPr>
        <w:ind w:left="60" w:right="40"/>
        <w:spacing w:after="0" w:line="266" w:lineRule="auto"/>
        <w:rPr>
          <w:sz w:val="20"/>
          <w:szCs w:val="20"/>
          <w:color w:val="auto"/>
        </w:rPr>
      </w:pPr>
      <w:r>
        <w:rPr>
          <w:rFonts w:ascii="Verdana" w:cs="Verdana" w:eastAsia="Verdana" w:hAnsi="Verdana"/>
          <w:sz w:val="22"/>
          <w:szCs w:val="22"/>
          <w:color w:val="auto"/>
        </w:rPr>
        <w:t>If you have any questions or concerns regarding this memo or the changes set forth above, please do not hesitate to reach out to me directly.</w:t>
      </w:r>
    </w:p>
    <w:p>
      <w:pPr>
        <w:spacing w:after="0" w:line="190" w:lineRule="exact"/>
        <w:rPr>
          <w:sz w:val="20"/>
          <w:szCs w:val="20"/>
          <w:color w:val="auto"/>
        </w:rPr>
      </w:pPr>
    </w:p>
    <w:p>
      <w:pPr>
        <w:ind w:left="60"/>
        <w:spacing w:after="0"/>
        <w:rPr>
          <w:sz w:val="20"/>
          <w:szCs w:val="20"/>
          <w:color w:val="auto"/>
        </w:rPr>
      </w:pPr>
      <w:r>
        <w:rPr>
          <w:rFonts w:ascii="Verdana" w:cs="Verdana" w:eastAsia="Verdana" w:hAnsi="Verdana"/>
          <w:sz w:val="22"/>
          <w:szCs w:val="22"/>
          <w:color w:val="auto"/>
        </w:rPr>
        <w:t>Sincerely,</w:t>
      </w:r>
    </w:p>
    <w:p>
      <w:pPr>
        <w:spacing w:after="0" w:line="397" w:lineRule="exact"/>
        <w:rPr>
          <w:sz w:val="20"/>
          <w:szCs w:val="20"/>
          <w:color w:val="auto"/>
        </w:rPr>
      </w:pPr>
    </w:p>
    <w:p>
      <w:pPr>
        <w:spacing w:after="0"/>
        <w:rPr>
          <w:sz w:val="20"/>
          <w:szCs w:val="20"/>
          <w:color w:val="auto"/>
        </w:rPr>
      </w:pPr>
      <w:r>
        <w:rPr>
          <w:rFonts w:ascii="Verdana" w:cs="Verdana" w:eastAsia="Verdana" w:hAnsi="Verdana"/>
          <w:sz w:val="22"/>
          <w:szCs w:val="22"/>
          <w:u w:val="single" w:color="auto"/>
          <w:color w:val="auto"/>
        </w:rPr>
        <w:t>/s/ Bryce Maddock</w:t>
      </w:r>
    </w:p>
    <w:p>
      <w:pPr>
        <w:ind w:left="280"/>
        <w:spacing w:after="0" w:line="193" w:lineRule="auto"/>
        <w:rPr>
          <w:sz w:val="20"/>
          <w:szCs w:val="20"/>
          <w:color w:val="auto"/>
        </w:rPr>
      </w:pPr>
      <w:r>
        <w:rPr>
          <w:rFonts w:ascii="Verdana" w:cs="Verdana" w:eastAsia="Verdana" w:hAnsi="Verdana"/>
          <w:sz w:val="22"/>
          <w:szCs w:val="22"/>
          <w:color w:val="auto"/>
        </w:rPr>
        <w:t>Bryce Maddock</w:t>
      </w:r>
    </w:p>
    <w:p>
      <w:pPr>
        <w:spacing w:after="0" w:line="1" w:lineRule="exact"/>
        <w:rPr>
          <w:sz w:val="20"/>
          <w:szCs w:val="20"/>
          <w:color w:val="auto"/>
        </w:rPr>
      </w:pPr>
    </w:p>
    <w:p>
      <w:pPr>
        <w:ind w:left="280"/>
        <w:spacing w:after="0"/>
        <w:rPr>
          <w:sz w:val="20"/>
          <w:szCs w:val="20"/>
          <w:color w:val="auto"/>
        </w:rPr>
      </w:pPr>
      <w:r>
        <w:rPr>
          <w:rFonts w:ascii="Verdana" w:cs="Verdana" w:eastAsia="Verdana" w:hAnsi="Verdana"/>
          <w:sz w:val="22"/>
          <w:szCs w:val="22"/>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80" w:type="dxa"/>
        <w:tblCellMar>
          <w:top w:w="0" w:type="dxa"/>
          <w:left w:w="0" w:type="dxa"/>
          <w:bottom w:w="0" w:type="dxa"/>
          <w:right w:w="0" w:type="dxa"/>
        </w:tblCellMar>
      </w:tblPr>
      <w:tr>
        <w:trPr>
          <w:trHeight w:val="271"/>
        </w:trPr>
        <w:tc>
          <w:tcPr>
            <w:tcW w:w="5980" w:type="dxa"/>
            <w:vAlign w:val="bottom"/>
            <w:gridSpan w:val="2"/>
          </w:tcPr>
          <w:p>
            <w:pPr>
              <w:ind w:left="20"/>
              <w:spacing w:after="0"/>
              <w:rPr>
                <w:sz w:val="20"/>
                <w:szCs w:val="20"/>
                <w:color w:val="auto"/>
              </w:rPr>
            </w:pPr>
            <w:r>
              <w:rPr>
                <w:rFonts w:ascii="Verdana" w:cs="Verdana" w:eastAsia="Verdana" w:hAnsi="Verdana"/>
                <w:sz w:val="20"/>
                <w:szCs w:val="20"/>
                <w:color w:val="auto"/>
              </w:rPr>
              <w:t xml:space="preserve">/s/ Jarrod </w:t>
            </w:r>
            <w:r>
              <w:rPr>
                <w:rFonts w:ascii="Verdana" w:cs="Verdana" w:eastAsia="Verdana" w:hAnsi="Verdana"/>
                <w:sz w:val="21"/>
                <w:szCs w:val="21"/>
                <w:color w:val="auto"/>
              </w:rPr>
              <w:t>Johnson</w:t>
            </w:r>
          </w:p>
        </w:tc>
        <w:tc>
          <w:tcPr>
            <w:tcW w:w="3620" w:type="dxa"/>
            <w:vAlign w:val="bottom"/>
          </w:tcPr>
          <w:p>
            <w:pPr>
              <w:ind w:left="20"/>
              <w:spacing w:after="0"/>
              <w:rPr>
                <w:sz w:val="20"/>
                <w:szCs w:val="20"/>
                <w:color w:val="auto"/>
              </w:rPr>
            </w:pPr>
            <w:r>
              <w:rPr>
                <w:rFonts w:ascii="Verdana" w:cs="Verdana" w:eastAsia="Verdana" w:hAnsi="Verdana"/>
                <w:sz w:val="20"/>
                <w:szCs w:val="20"/>
                <w:color w:val="auto"/>
              </w:rPr>
              <w:t>2/19/2021</w:t>
            </w:r>
          </w:p>
        </w:tc>
      </w:tr>
      <w:tr>
        <w:trPr>
          <w:trHeight w:val="275"/>
        </w:trPr>
        <w:tc>
          <w:tcPr>
            <w:tcW w:w="5260" w:type="dxa"/>
            <w:vAlign w:val="bottom"/>
            <w:tcBorders>
              <w:top w:val="single" w:sz="8" w:color="auto"/>
            </w:tcBorders>
          </w:tcPr>
          <w:p>
            <w:pPr>
              <w:ind w:left="20"/>
              <w:spacing w:after="0"/>
              <w:rPr>
                <w:sz w:val="20"/>
                <w:szCs w:val="20"/>
                <w:color w:val="auto"/>
              </w:rPr>
            </w:pPr>
            <w:r>
              <w:rPr>
                <w:rFonts w:ascii="Verdana" w:cs="Verdana" w:eastAsia="Verdana" w:hAnsi="Verdana"/>
                <w:sz w:val="20"/>
                <w:szCs w:val="20"/>
                <w:color w:val="auto"/>
              </w:rPr>
              <w:t xml:space="preserve">Jarrod </w:t>
            </w:r>
            <w:r>
              <w:rPr>
                <w:rFonts w:ascii="Verdana" w:cs="Verdana" w:eastAsia="Verdana" w:hAnsi="Verdana"/>
                <w:sz w:val="21"/>
                <w:szCs w:val="21"/>
                <w:color w:val="auto"/>
              </w:rPr>
              <w:t>Johnson</w:t>
            </w:r>
          </w:p>
        </w:tc>
        <w:tc>
          <w:tcPr>
            <w:tcW w:w="720" w:type="dxa"/>
            <w:vAlign w:val="bottom"/>
          </w:tcPr>
          <w:p>
            <w:pPr>
              <w:spacing w:after="0"/>
              <w:rPr>
                <w:sz w:val="23"/>
                <w:szCs w:val="23"/>
                <w:color w:val="auto"/>
              </w:rPr>
            </w:pPr>
          </w:p>
        </w:tc>
        <w:tc>
          <w:tcPr>
            <w:tcW w:w="3620" w:type="dxa"/>
            <w:vAlign w:val="bottom"/>
            <w:tcBorders>
              <w:top w:val="single" w:sz="8" w:color="auto"/>
            </w:tcBorders>
          </w:tcPr>
          <w:p>
            <w:pPr>
              <w:ind w:left="20"/>
              <w:spacing w:after="0"/>
              <w:rPr>
                <w:sz w:val="20"/>
                <w:szCs w:val="20"/>
                <w:color w:val="auto"/>
              </w:rPr>
            </w:pPr>
            <w:r>
              <w:rPr>
                <w:rFonts w:ascii="Verdana" w:cs="Verdana" w:eastAsia="Verdana" w:hAnsi="Verdana"/>
                <w:sz w:val="20"/>
                <w:szCs w:val="20"/>
                <w:color w:val="auto"/>
              </w:rPr>
              <w:t>Date</w:t>
            </w:r>
          </w:p>
        </w:tc>
      </w:tr>
    </w:tbl>
    <w:p>
      <w:pPr>
        <w:sectPr>
          <w:pgSz w:w="11900" w:h="16838" w:orient="portrait"/>
          <w:cols w:equalWidth="0" w:num="1">
            <w:col w:w="10860"/>
          </w:cols>
          <w:pgMar w:left="700" w:top="100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UNDER THE</w:t>
      </w:r>
    </w:p>
    <w:p>
      <w:pPr>
        <w:ind w:left="4980"/>
        <w:spacing w:after="0" w:line="211" w:lineRule="auto"/>
        <w:rPr>
          <w:sz w:val="20"/>
          <w:szCs w:val="20"/>
          <w:color w:val="auto"/>
        </w:rPr>
      </w:pPr>
      <w:r>
        <w:rPr>
          <w:rFonts w:ascii="Times New Roman" w:cs="Times New Roman" w:eastAsia="Times New Roman" w:hAnsi="Times New Roman"/>
          <w:sz w:val="20"/>
          <w:szCs w:val="20"/>
          <w:b w:val="1"/>
          <w:bCs w:val="1"/>
          <w:color w:val="auto"/>
        </w:rPr>
        <w:t>TASKUS, INC.</w:t>
      </w:r>
    </w:p>
    <w:p>
      <w:pPr>
        <w:ind w:left="4040"/>
        <w:spacing w:after="0" w:line="197" w:lineRule="auto"/>
        <w:rPr>
          <w:sz w:val="20"/>
          <w:szCs w:val="20"/>
          <w:color w:val="auto"/>
        </w:rPr>
      </w:pPr>
      <w:r>
        <w:rPr>
          <w:rFonts w:ascii="Times New Roman" w:cs="Times New Roman" w:eastAsia="Times New Roman" w:hAnsi="Times New Roman"/>
          <w:sz w:val="20"/>
          <w:szCs w:val="20"/>
          <w:b w:val="1"/>
          <w:bCs w:val="1"/>
          <w:color w:val="auto"/>
        </w:rPr>
        <w:t>2021 OMNIBUS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TIME-BASED VESTING AWARD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TaskUs,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2021 Omnibus Incentive Plan (as it may be amended and/or</w:t>
      </w:r>
    </w:p>
    <w:p>
      <w:pPr>
        <w:spacing w:after="0" w:line="204" w:lineRule="auto"/>
        <w:rPr>
          <w:sz w:val="20"/>
          <w:szCs w:val="20"/>
          <w:color w:val="auto"/>
        </w:rPr>
      </w:pPr>
      <w:r>
        <w:rPr>
          <w:rFonts w:ascii="Times New Roman" w:cs="Times New Roman" w:eastAsia="Times New Roman" w:hAnsi="Times New Roman"/>
          <w:sz w:val="20"/>
          <w:szCs w:val="20"/>
          <w:color w:val="auto"/>
        </w:rPr>
        <w:t>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Participant the number of Restricted Stock Units set forth below. The Restricted Stock Units are subject to all of the terms and conditions as set forth herein, in the Restricted Stock Unit Agreement (attached hereto or</w:t>
      </w:r>
    </w:p>
    <w:p>
      <w:pPr>
        <w:spacing w:after="0" w:line="223" w:lineRule="auto"/>
        <w:rPr>
          <w:sz w:val="20"/>
          <w:szCs w:val="20"/>
          <w:color w:val="auto"/>
        </w:rPr>
      </w:pPr>
      <w:r>
        <w:rPr>
          <w:rFonts w:ascii="Times New Roman" w:cs="Times New Roman" w:eastAsia="Times New Roman" w:hAnsi="Times New Roman"/>
          <w:sz w:val="19"/>
          <w:szCs w:val="19"/>
          <w:color w:val="auto"/>
        </w:rPr>
        <w:t>previously provided to the Participant in connection with a prior grant), and in the Plan, all of which are incorporated herein in their entirety.</w:t>
      </w:r>
    </w:p>
    <w:p>
      <w:pPr>
        <w:spacing w:after="0"/>
        <w:rPr>
          <w:sz w:val="20"/>
          <w:szCs w:val="20"/>
          <w:color w:val="auto"/>
        </w:rPr>
      </w:pPr>
      <w:r>
        <w:rPr>
          <w:rFonts w:ascii="Times New Roman" w:cs="Times New Roman" w:eastAsia="Times New Roman" w:hAnsi="Times New Roman"/>
          <w:sz w:val="20"/>
          <w:szCs w:val="20"/>
          <w:color w:val="auto"/>
        </w:rPr>
        <w:t>Capitalized terms not otherwise defined herein shall have the meaning set forth in the Plan.</w:t>
      </w:r>
    </w:p>
    <w:p>
      <w:pPr>
        <w:spacing w:after="0" w:line="1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Participant: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Participant Name</w:t>
      </w:r>
      <w:r>
        <w:rPr>
          <w:rFonts w:ascii="Times New Roman" w:cs="Times New Roman" w:eastAsia="Times New Roman" w:hAnsi="Times New Roman"/>
          <w:sz w:val="19"/>
          <w:szCs w:val="19"/>
          <w:color w:val="auto"/>
        </w:rPr>
        <w:t>]</w:t>
      </w:r>
    </w:p>
    <w:p>
      <w:pPr>
        <w:spacing w:after="0" w:line="8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Date of Grant:</w:t>
      </w:r>
      <w:r>
        <w:rPr>
          <w:sz w:val="20"/>
          <w:szCs w:val="20"/>
          <w:color w:val="auto"/>
        </w:rPr>
        <w:tab/>
      </w:r>
      <w:r>
        <w:rPr>
          <w:rFonts w:ascii="Times New Roman" w:cs="Times New Roman" w:eastAsia="Times New Roman" w:hAnsi="Times New Roman"/>
          <w:sz w:val="20"/>
          <w:szCs w:val="20"/>
          <w:color w:val="auto"/>
        </w:rPr>
        <w:t>[●]</w:t>
      </w:r>
    </w:p>
    <w:p>
      <w:pPr>
        <w:spacing w:after="0" w:line="81"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Vesting Reference Date:</w:t>
      </w:r>
      <w:r>
        <w:rPr>
          <w:sz w:val="20"/>
          <w:szCs w:val="20"/>
          <w:color w:val="auto"/>
        </w:rPr>
        <w:tab/>
      </w:r>
      <w:r>
        <w:rPr>
          <w:rFonts w:ascii="Times New Roman" w:cs="Times New Roman" w:eastAsia="Times New Roman" w:hAnsi="Times New Roman"/>
          <w:sz w:val="20"/>
          <w:szCs w:val="20"/>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w:t>
      </w:r>
    </w:p>
    <w:p>
      <w:pPr>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Restricted Stock Units:</w:t>
      </w:r>
      <w:r>
        <w:rPr>
          <w:sz w:val="20"/>
          <w:szCs w:val="20"/>
          <w:color w:val="auto"/>
        </w:rPr>
        <w:tab/>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19"/>
          <w:szCs w:val="19"/>
          <w:color w:val="auto"/>
        </w:rPr>
        <w:t>Provided the Participant has not undergone a Termination at the time of the applicable vesting date (or event):</w:t>
      </w:r>
    </w:p>
    <w:p>
      <w:pPr>
        <w:spacing w:after="0" w:line="71" w:lineRule="exact"/>
        <w:rPr>
          <w:sz w:val="20"/>
          <w:szCs w:val="20"/>
          <w:color w:val="auto"/>
        </w:rPr>
      </w:pPr>
    </w:p>
    <w:p>
      <w:pPr>
        <w:ind w:left="3580" w:hanging="332"/>
        <w:spacing w:after="0"/>
        <w:tabs>
          <w:tab w:leader="none" w:pos="356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of the Restricted Stock Units (rounded down to the nearest whole share) will vest on the date that is one year following the Vesting Reference Date (the “</w:t>
      </w:r>
      <w:r>
        <w:rPr>
          <w:rFonts w:ascii="Times New Roman" w:cs="Times New Roman" w:eastAsia="Times New Roman" w:hAnsi="Times New Roman"/>
          <w:sz w:val="20"/>
          <w:szCs w:val="20"/>
          <w:u w:val="single" w:color="auto"/>
          <w:color w:val="auto"/>
        </w:rPr>
        <w:t>Tranche I RSUs</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3580" w:hanging="332"/>
        <w:spacing w:after="0"/>
        <w:tabs>
          <w:tab w:leader="none" w:pos="356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additional [●] of the Restricted Stock Units (rounded down to the nearest whole share) will vest on each date that is two years after the Vesting Reference Date;</w:t>
      </w:r>
    </w:p>
    <w:p>
      <w:pPr>
        <w:spacing w:after="0" w:line="161" w:lineRule="exact"/>
        <w:rPr>
          <w:rFonts w:ascii="Times New Roman" w:cs="Times New Roman" w:eastAsia="Times New Roman" w:hAnsi="Times New Roman"/>
          <w:sz w:val="20"/>
          <w:szCs w:val="20"/>
          <w:color w:val="auto"/>
        </w:rPr>
      </w:pPr>
    </w:p>
    <w:p>
      <w:pPr>
        <w:ind w:left="3580" w:hanging="332"/>
        <w:spacing w:after="0" w:line="233" w:lineRule="auto"/>
        <w:tabs>
          <w:tab w:leader="none" w:pos="356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additional [●] of the Restricted Stock Units will vest on a date that is three years after the Vesting Reference Date; and</w:t>
      </w:r>
    </w:p>
    <w:p>
      <w:pPr>
        <w:spacing w:after="0" w:line="160" w:lineRule="exact"/>
        <w:rPr>
          <w:rFonts w:ascii="Times New Roman" w:cs="Times New Roman" w:eastAsia="Times New Roman" w:hAnsi="Times New Roman"/>
          <w:sz w:val="20"/>
          <w:szCs w:val="20"/>
          <w:color w:val="auto"/>
        </w:rPr>
      </w:pPr>
    </w:p>
    <w:p>
      <w:pPr>
        <w:ind w:left="3580" w:hanging="332"/>
        <w:spacing w:after="0"/>
        <w:tabs>
          <w:tab w:leader="none" w:pos="356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remaining [●] of the Restricted Stock Units will vest on a date that is four years after the Vesting Reference Date.</w:t>
      </w:r>
    </w:p>
    <w:p>
      <w:pPr>
        <w:spacing w:after="0" w:line="147" w:lineRule="exact"/>
        <w:rPr>
          <w:rFonts w:ascii="Times New Roman" w:cs="Times New Roman" w:eastAsia="Times New Roman" w:hAnsi="Times New Roman"/>
          <w:sz w:val="20"/>
          <w:szCs w:val="20"/>
          <w:color w:val="auto"/>
        </w:rPr>
      </w:pPr>
    </w:p>
    <w:p>
      <w:pPr>
        <w:jc w:val="both"/>
        <w:ind w:left="3580"/>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Notwithstanding the foregoing, (i) if the Participant undergoes a Termination by the Service Recipient without Cause prior to the first anniversary of the Vesting Reference Date, then, subject to and conditioned upon the Participant’s (A) execution and non-revocation of a release of claims in favor of the Company (the “</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and (B) execution of an agreement not to solicit clients, employees or service providers of the Company Group for a 24-month period commencing on the date of Termination, in each case, in the form provided by the Company, the Tranche I RSUs shall vest as of the date the Release becomes irrevocable and (ii) the Restricted Stock Units shall fully vest if either (A) the Restricted Stock Units would not otherwise be continued, converted, assumed, or replaced by the Company, a member of the Company Group or a successor entity thereto; or (B) if the Participant undergoes a Termination by the Service</w:t>
      </w:r>
    </w:p>
    <w:p>
      <w:pPr>
        <w:sectPr>
          <w:pgSz w:w="11900" w:h="16838" w:orient="portrait"/>
          <w:cols w:equalWidth="0" w:num="1">
            <w:col w:w="11240"/>
          </w:cols>
          <w:pgMar w:left="320" w:top="1395" w:right="339" w:bottom="1440" w:gutter="0" w:footer="0" w:header="0"/>
        </w:sectPr>
      </w:pPr>
    </w:p>
    <w:bookmarkStart w:id="43" w:name="page44"/>
    <w:bookmarkEnd w:id="43"/>
    <w:p>
      <w:pPr>
        <w:ind w:left="3580"/>
        <w:spacing w:after="0"/>
        <w:rPr>
          <w:sz w:val="20"/>
          <w:szCs w:val="20"/>
          <w:color w:val="auto"/>
        </w:rPr>
      </w:pPr>
      <w:r>
        <w:rPr>
          <w:rFonts w:ascii="Times New Roman" w:cs="Times New Roman" w:eastAsia="Times New Roman" w:hAnsi="Times New Roman"/>
          <w:sz w:val="19"/>
          <w:szCs w:val="19"/>
          <w:color w:val="auto"/>
        </w:rPr>
        <w:t>Recipient without Cause or due to death or Disability at any time following a Change in Control</w:t>
      </w:r>
    </w:p>
    <w:p>
      <w:pPr>
        <w:spacing w:after="0" w:line="6" w:lineRule="exact"/>
        <w:rPr>
          <w:sz w:val="20"/>
          <w:szCs w:val="20"/>
          <w:color w:val="auto"/>
        </w:rPr>
      </w:pPr>
    </w:p>
    <w:p>
      <w:pPr>
        <w:ind w:left="3580"/>
        <w:spacing w:after="0" w:line="221" w:lineRule="auto"/>
        <w:rPr>
          <w:sz w:val="20"/>
          <w:szCs w:val="20"/>
          <w:color w:val="auto"/>
        </w:rPr>
      </w:pPr>
      <w:r>
        <w:rPr>
          <w:rFonts w:ascii="Times New Roman" w:cs="Times New Roman" w:eastAsia="Times New Roman" w:hAnsi="Times New Roman"/>
          <w:sz w:val="20"/>
          <w:szCs w:val="20"/>
          <w:color w:val="auto"/>
        </w:rPr>
        <w:t>in which the Restricted Stock Units are continued, converted, assumed, or replaced by the Company, a member of the Company Group or a successor entity thereto.</w:t>
      </w:r>
    </w:p>
    <w:p>
      <w:pPr>
        <w:spacing w:after="0" w:line="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For the avoidance of doubt, no Termination shall occur unless the Participant is no longer</w:t>
      </w:r>
    </w:p>
    <w:p>
      <w:pPr>
        <w:ind w:left="3580"/>
        <w:spacing w:after="0" w:line="221" w:lineRule="auto"/>
        <w:rPr>
          <w:sz w:val="20"/>
          <w:szCs w:val="20"/>
          <w:color w:val="auto"/>
        </w:rPr>
      </w:pPr>
      <w:r>
        <w:rPr>
          <w:rFonts w:ascii="Times New Roman" w:cs="Times New Roman" w:eastAsia="Times New Roman" w:hAnsi="Times New Roman"/>
          <w:sz w:val="20"/>
          <w:szCs w:val="20"/>
          <w:color w:val="auto"/>
        </w:rPr>
        <w:t>providing any services (whether as an employee, director, consultant or otherwise) to any member of the Company Group.</w:t>
      </w:r>
    </w:p>
    <w:p>
      <w:pPr>
        <w:spacing w:after="0" w:line="54"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TASKUS,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11" w:lineRule="auto"/>
        <w:rPr>
          <w:sz w:val="20"/>
          <w:szCs w:val="20"/>
          <w:color w:val="auto"/>
        </w:rPr>
      </w:pPr>
      <w:r>
        <w:rPr>
          <w:rFonts w:ascii="Times New Roman" w:cs="Times New Roman" w:eastAsia="Times New Roman" w:hAnsi="Times New Roman"/>
          <w:sz w:val="20"/>
          <w:szCs w:val="20"/>
          <w:color w:val="auto"/>
        </w:rPr>
        <w:t>By: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b w:val="1"/>
          <w:bCs w:val="1"/>
          <w:color w:val="auto"/>
        </w:rPr>
        <w:t>THE UNDERSIGNED PARTICIPANT ACKNOWLEDGES RECEIPT OF THIS RESTRICTED STOCK UNIT GRANT NOTICE, THE RESTRICTED STOCK UNIT AGREEMENT AND THE PLAN, AND, AS AN EXPRESS CONDITION TO THE GRANT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b w:val="1"/>
          <w:bCs w:val="1"/>
          <w:color w:val="auto"/>
        </w:rPr>
        <w:t>RESTRICTED STOCK UNITS HEREUNDER, AGREES TO BE BOUND BY THE TERMS OF THIS RESTRICTED STOCK UNIT GRANT NOTICE, THE RESTRICTED STOCK UNIT AGREEMENT AND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r>
        <w:rPr>
          <w:rFonts w:ascii="Times New Roman" w:cs="Times New Roman" w:eastAsia="Times New Roman" w:hAnsi="Times New Roman"/>
          <w:sz w:val="25"/>
          <w:szCs w:val="25"/>
          <w:color w:val="auto"/>
          <w:vertAlign w:val="superscript"/>
        </w:rPr>
        <w:t>1</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20"/>
          <w:szCs w:val="20"/>
          <w:i w:val="1"/>
          <w:iCs w:val="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1714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 w:right="360" w:hanging="72"/>
        <w:spacing w:after="0" w:line="193" w:lineRule="auto"/>
        <w:tabs>
          <w:tab w:leader="none" w:pos="125" w:val="left"/>
        </w:tabs>
        <w:numPr>
          <w:ilvl w:val="0"/>
          <w:numId w:val="29"/>
        </w:numPr>
        <w:rPr>
          <w:rFonts w:ascii="Courier New" w:cs="Courier New" w:eastAsia="Courier New" w:hAnsi="Courier New"/>
          <w:sz w:val="28"/>
          <w:szCs w:val="28"/>
          <w:color w:val="auto"/>
          <w:vertAlign w:val="superscript"/>
        </w:rPr>
      </w:pP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Restricted Stock Unit Grant Notice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399" w:right="339" w:bottom="1440" w:gutter="0" w:footer="0" w:header="0"/>
        </w:sectPr>
      </w:pPr>
    </w:p>
    <w:bookmarkStart w:id="44" w:name="page45"/>
    <w:bookmarkEnd w:id="44"/>
    <w:p>
      <w:pPr>
        <w:ind w:left="3020"/>
        <w:spacing w:after="0"/>
        <w:rPr>
          <w:sz w:val="20"/>
          <w:szCs w:val="20"/>
          <w:color w:val="auto"/>
        </w:rPr>
      </w:pPr>
      <w:r>
        <w:rPr>
          <w:rFonts w:ascii="Times New Roman" w:cs="Times New Roman" w:eastAsia="Times New Roman" w:hAnsi="Times New Roman"/>
          <w:sz w:val="20"/>
          <w:szCs w:val="20"/>
          <w:b w:val="1"/>
          <w:bCs w:val="1"/>
          <w:color w:val="auto"/>
        </w:rPr>
        <w:t>TIME-BASED RESTRICTED STOCK UNIT AGREEMENT</w:t>
      </w:r>
    </w:p>
    <w:p>
      <w:pPr>
        <w:ind w:left="5040"/>
        <w:spacing w:after="0" w:line="197"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TASKUS,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OMNIBUS INCENTIVE PLAN</w:t>
      </w:r>
    </w:p>
    <w:p>
      <w:pPr>
        <w:spacing w:after="0" w:line="163" w:lineRule="exact"/>
        <w:rPr>
          <w:sz w:val="20"/>
          <w:szCs w:val="20"/>
          <w:color w:val="auto"/>
        </w:rPr>
      </w:pPr>
    </w:p>
    <w:p>
      <w:pPr>
        <w:jc w:val="both"/>
        <w:ind w:right="20" w:firstLine="1296"/>
        <w:spacing w:after="0" w:line="229" w:lineRule="auto"/>
        <w:rPr>
          <w:sz w:val="20"/>
          <w:szCs w:val="20"/>
          <w:color w:val="auto"/>
        </w:rPr>
      </w:pPr>
      <w:r>
        <w:rPr>
          <w:rFonts w:ascii="Times New Roman" w:cs="Times New Roman" w:eastAsia="Times New Roman" w:hAnsi="Times New Roman"/>
          <w:sz w:val="19"/>
          <w:szCs w:val="19"/>
          <w:color w:val="auto"/>
        </w:rPr>
        <w:t>Pursuant to the Restricted Stock Unit Grant Notice (the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delivered to the Participant (as defined in the Grant Notice), and subject to the terms of this Restricted Stock Unit Agreement (this “</w:t>
      </w:r>
      <w:r>
        <w:rPr>
          <w:rFonts w:ascii="Times New Roman" w:cs="Times New Roman" w:eastAsia="Times New Roman" w:hAnsi="Times New Roman"/>
          <w:sz w:val="19"/>
          <w:szCs w:val="19"/>
          <w:b w:val="1"/>
          <w:bCs w:val="1"/>
          <w:i w:val="1"/>
          <w:iCs w:val="1"/>
          <w:color w:val="auto"/>
        </w:rPr>
        <w:t>Restricted Stock Unit Agreement</w:t>
      </w:r>
      <w:r>
        <w:rPr>
          <w:rFonts w:ascii="Times New Roman" w:cs="Times New Roman" w:eastAsia="Times New Roman" w:hAnsi="Times New Roman"/>
          <w:sz w:val="19"/>
          <w:szCs w:val="19"/>
          <w:color w:val="auto"/>
        </w:rPr>
        <w:t>”) and the TaskUs, Inc.</w:t>
      </w:r>
    </w:p>
    <w:p>
      <w:pPr>
        <w:spacing w:after="0" w:line="211" w:lineRule="auto"/>
        <w:rPr>
          <w:sz w:val="20"/>
          <w:szCs w:val="20"/>
          <w:color w:val="auto"/>
        </w:rPr>
      </w:pPr>
      <w:r>
        <w:rPr>
          <w:rFonts w:ascii="Times New Roman" w:cs="Times New Roman" w:eastAsia="Times New Roman" w:hAnsi="Times New Roman"/>
          <w:sz w:val="20"/>
          <w:szCs w:val="20"/>
          <w:color w:val="auto"/>
        </w:rPr>
        <w:t>2021 Omnibus Incentive Plan, as it may be amended and restated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TaskUs, Inc., a Delaware corporation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58" w:lineRule="exact"/>
        <w:rPr>
          <w:sz w:val="20"/>
          <w:szCs w:val="20"/>
          <w:color w:val="auto"/>
        </w:rPr>
      </w:pPr>
    </w:p>
    <w:p>
      <w:pPr>
        <w:jc w:val="both"/>
        <w:ind w:firstLine="1304"/>
        <w:spacing w:after="0" w:line="216" w:lineRule="auto"/>
        <w:tabs>
          <w:tab w:leader="none" w:pos="152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Subject to the terms and conditions set forth herein and in the Plan,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grants to the Participant the number of Restricted Stock Units provided in the Grant Notice (with each Restricted Stock Unit representing an unfunded, unsecured right to receive one share of Class A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54" w:lineRule="exact"/>
        <w:rPr>
          <w:rFonts w:ascii="Times New Roman" w:cs="Times New Roman" w:eastAsia="Times New Roman" w:hAnsi="Times New Roman"/>
          <w:sz w:val="20"/>
          <w:szCs w:val="20"/>
          <w:color w:val="auto"/>
        </w:rPr>
      </w:pPr>
    </w:p>
    <w:p>
      <w:pPr>
        <w:ind w:left="1500" w:hanging="196"/>
        <w:spacing w:after="0"/>
        <w:tabs>
          <w:tab w:leader="none" w:pos="15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Vesting</w:t>
      </w:r>
      <w:r>
        <w:rPr>
          <w:rFonts w:ascii="Times New Roman" w:cs="Times New Roman" w:eastAsia="Times New Roman" w:hAnsi="Times New Roman"/>
          <w:sz w:val="19"/>
          <w:szCs w:val="19"/>
          <w:color w:val="auto"/>
        </w:rPr>
        <w:t>. Subject to the conditions contained herein and in the Plan, the Restricted Stock Units shall vest as provided in the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Grant Notice.</w:t>
      </w:r>
    </w:p>
    <w:p>
      <w:pPr>
        <w:spacing w:after="0" w:line="162" w:lineRule="exact"/>
        <w:rPr>
          <w:rFonts w:ascii="Times New Roman" w:cs="Times New Roman" w:eastAsia="Times New Roman" w:hAnsi="Times New Roman"/>
          <w:sz w:val="19"/>
          <w:szCs w:val="19"/>
          <w:color w:val="auto"/>
        </w:rPr>
      </w:pPr>
    </w:p>
    <w:p>
      <w:pPr>
        <w:jc w:val="both"/>
        <w:ind w:firstLine="1304"/>
        <w:spacing w:after="0" w:line="213" w:lineRule="auto"/>
        <w:tabs>
          <w:tab w:leader="none" w:pos="149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Restricted Stock Units</w:t>
      </w:r>
      <w:r>
        <w:rPr>
          <w:rFonts w:ascii="Times New Roman" w:cs="Times New Roman" w:eastAsia="Times New Roman" w:hAnsi="Times New Roman"/>
          <w:sz w:val="20"/>
          <w:szCs w:val="20"/>
          <w:color w:val="auto"/>
        </w:rPr>
        <w:t>. Subject to any election by the Committee pursuant to Section 9(d)(ii) of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will deliver to the Participant, without charge, as soon as reasonably practicable (and, in any event, within two and one-half months) following the applicable vesting date, one share of Class A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Class A Common Stock to be credited to the Participant’s account at the third party plan administrator. Notwithstanding anything in this Restricted Stock Unit Agreement to the contrary, the Company shall have no obligation to issue or transfer any shares of Class A Common Stock as contemplated by this Restricted Stock Unit Agreement unless and until such issuance or transfer complies with all relevant provisions of law and the requirements of any stock exchange on which the Company’s shares of Class A Common Stock are listed for trading.</w:t>
      </w:r>
    </w:p>
    <w:p>
      <w:pPr>
        <w:spacing w:after="0" w:line="14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494"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Treatment of Restricted Stock Units upon Termination</w:t>
      </w:r>
      <w:r>
        <w:rPr>
          <w:rFonts w:ascii="Times New Roman" w:cs="Times New Roman" w:eastAsia="Times New Roman" w:hAnsi="Times New Roman"/>
          <w:sz w:val="19"/>
          <w:szCs w:val="19"/>
          <w:color w:val="auto"/>
        </w:rPr>
        <w:t>. The provisions of Section 9(c)(ii) of the Plan are incorporated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herein by reference and made a part hereof, subject to the Vesting Schedule as provided in the Grant Notice (and for the avoidance for doubt, in the event of any conflict of the Grant Notice and Section 9(c)(ii) of the Plan, the provisions of the Grant Notice will prevail).</w:t>
      </w:r>
    </w:p>
    <w:p>
      <w:pPr>
        <w:spacing w:after="0" w:line="138" w:lineRule="exact"/>
        <w:rPr>
          <w:rFonts w:ascii="Times New Roman" w:cs="Times New Roman" w:eastAsia="Times New Roman" w:hAnsi="Times New Roman"/>
          <w:sz w:val="19"/>
          <w:szCs w:val="19"/>
          <w:color w:val="auto"/>
        </w:rPr>
      </w:pPr>
    </w:p>
    <w:p>
      <w:pPr>
        <w:ind w:left="1500" w:hanging="196"/>
        <w:spacing w:after="0"/>
        <w:tabs>
          <w:tab w:leader="none" w:pos="15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Company; Participant</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right="20" w:firstLine="1304"/>
        <w:spacing w:after="0"/>
        <w:tabs>
          <w:tab w:leader="none" w:pos="158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“Company” as used in this Restricted Stock Unit Agreement with reference to employment or service shall include the applicable Service Recipient.</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58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13(b) of the Plan, the word “Participant” shall be deemed to include such person or persons.</w:t>
      </w:r>
    </w:p>
    <w:p>
      <w:pPr>
        <w:spacing w:after="0" w:line="158" w:lineRule="exact"/>
        <w:rPr>
          <w:sz w:val="20"/>
          <w:szCs w:val="20"/>
          <w:color w:val="auto"/>
        </w:rPr>
      </w:pPr>
    </w:p>
    <w:p>
      <w:pPr>
        <w:ind w:firstLine="1304"/>
        <w:spacing w:after="0" w:line="245" w:lineRule="auto"/>
        <w:tabs>
          <w:tab w:leader="none" w:pos="149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Restricted Stock Units are not transferable by the Participant except to Permitted Transferees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13(b) of the Plan. Except as</w:t>
      </w:r>
    </w:p>
    <w:p>
      <w:pPr>
        <w:sectPr>
          <w:pgSz w:w="11900" w:h="16838" w:orient="portrait"/>
          <w:cols w:equalWidth="0" w:num="1">
            <w:col w:w="11240"/>
          </w:cols>
          <w:pgMar w:left="320" w:top="139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9"/>
          <w:szCs w:val="19"/>
          <w:color w:val="auto"/>
        </w:rPr>
        <w:t>otherwise provided herein, no assignment or transfer of the Restricted Stock Units, or of the rights represented thereby, whether voluntary or</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58" w:lineRule="exact"/>
        <w:rPr>
          <w:sz w:val="20"/>
          <w:szCs w:val="20"/>
          <w:color w:val="auto"/>
        </w:rPr>
      </w:pPr>
    </w:p>
    <w:p>
      <w:pPr>
        <w:jc w:val="both"/>
        <w:ind w:firstLine="1304"/>
        <w:spacing w:after="0" w:line="217" w:lineRule="auto"/>
        <w:tabs>
          <w:tab w:leader="none" w:pos="149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Stockholder</w:t>
      </w:r>
      <w:r>
        <w:rPr>
          <w:rFonts w:ascii="Times New Roman" w:cs="Times New Roman" w:eastAsia="Times New Roman" w:hAnsi="Times New Roman"/>
          <w:sz w:val="20"/>
          <w:szCs w:val="20"/>
          <w:color w:val="auto"/>
        </w:rPr>
        <w:t>. Subject to any payments to be provided to the Participant in accordance with the Grant Notice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13(c)(iii) of the Plan, the Participant or a Permitted Transferee shall have no rights as a stockholder with respect to any share of Class A Common Stock underlying a Restricted Stock Unit unless and until the Participant shall have become the holder of record or the beneficial owner of such Class A Common Stock, and no adjustment shall be made for dividends or distributions or other rights in respect of such share of Class A Common Stock for which the record date is prior to the date upon which the Participant shall become the holder of record or the beneficial owner thereof.</w:t>
      </w:r>
    </w:p>
    <w:p>
      <w:pPr>
        <w:spacing w:after="0" w:line="154" w:lineRule="exact"/>
        <w:rPr>
          <w:rFonts w:ascii="Times New Roman" w:cs="Times New Roman" w:eastAsia="Times New Roman" w:hAnsi="Times New Roman"/>
          <w:sz w:val="20"/>
          <w:szCs w:val="20"/>
          <w:color w:val="auto"/>
        </w:rPr>
      </w:pPr>
    </w:p>
    <w:p>
      <w:pPr>
        <w:ind w:left="1520" w:hanging="216"/>
        <w:spacing w:after="0"/>
        <w:tabs>
          <w:tab w:leader="none" w:pos="15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The provisions of Section 13(d) of the Plan are incorporated herein by reference and made a part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hereof.</w:t>
      </w:r>
    </w:p>
    <w:p>
      <w:pPr>
        <w:spacing w:after="0" w:line="149" w:lineRule="exact"/>
        <w:rPr>
          <w:rFonts w:ascii="Times New Roman" w:cs="Times New Roman" w:eastAsia="Times New Roman" w:hAnsi="Times New Roman"/>
          <w:sz w:val="20"/>
          <w:szCs w:val="20"/>
          <w:color w:val="auto"/>
        </w:rPr>
      </w:pPr>
    </w:p>
    <w:p>
      <w:pPr>
        <w:jc w:val="both"/>
        <w:ind w:firstLine="1304"/>
        <w:spacing w:after="0" w:line="213" w:lineRule="auto"/>
        <w:tabs>
          <w:tab w:leader="none" w:pos="149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Restricted Stock Unit Agreement between the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unless and until some other address be so designated, all notices or communications by the Participant to the Company shall be mailed or delivered to the Company at its principal executive office, to the attention of the Company’s VP Legal, Corporate Secretary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59" w:lineRule="exact"/>
        <w:rPr>
          <w:rFonts w:ascii="Times New Roman" w:cs="Times New Roman" w:eastAsia="Times New Roman" w:hAnsi="Times New Roman"/>
          <w:sz w:val="20"/>
          <w:szCs w:val="20"/>
          <w:color w:val="auto"/>
        </w:rPr>
      </w:pPr>
    </w:p>
    <w:p>
      <w:pPr>
        <w:ind w:firstLine="1304"/>
        <w:spacing w:after="0" w:line="235" w:lineRule="auto"/>
        <w:tabs>
          <w:tab w:leader="none" w:pos="15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Restricted Stock Unit Agreement does not confer upon the Participant any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as an employee or service provider to the Service Recipient or any other member of the Company Group.</w:t>
      </w:r>
    </w:p>
    <w:p>
      <w:pPr>
        <w:spacing w:after="0" w:line="157" w:lineRule="exact"/>
        <w:rPr>
          <w:rFonts w:ascii="Times New Roman" w:cs="Times New Roman" w:eastAsia="Times New Roman" w:hAnsi="Times New Roman"/>
          <w:sz w:val="20"/>
          <w:szCs w:val="20"/>
          <w:color w:val="auto"/>
        </w:rPr>
      </w:pPr>
    </w:p>
    <w:p>
      <w:pPr>
        <w:ind w:firstLine="1304"/>
        <w:spacing w:after="0" w:line="245" w:lineRule="auto"/>
        <w:tabs>
          <w:tab w:leader="none" w:pos="159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Restricted Stock Unit Agreement shall be binding upon the heirs, executors, administrators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of the parties hereto.</w:t>
      </w:r>
    </w:p>
    <w:p>
      <w:pPr>
        <w:spacing w:after="0" w:line="137" w:lineRule="exact"/>
        <w:rPr>
          <w:rFonts w:ascii="Times New Roman" w:cs="Times New Roman" w:eastAsia="Times New Roman" w:hAnsi="Times New Roman"/>
          <w:sz w:val="20"/>
          <w:szCs w:val="20"/>
          <w:color w:val="auto"/>
        </w:rPr>
      </w:pPr>
    </w:p>
    <w:p>
      <w:pPr>
        <w:jc w:val="both"/>
        <w:ind w:firstLine="1304"/>
        <w:spacing w:after="0" w:line="220" w:lineRule="auto"/>
        <w:tabs>
          <w:tab w:leader="none" w:pos="15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12 of the Plan, any waiver, alteration,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modification of any of the terms of this Restricted Stock Unit Agreement shall be valid only if made in writing and signed by the parties hereto;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60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Clawback/Forfeiture</w:t>
      </w:r>
      <w:r>
        <w:rPr>
          <w:rFonts w:ascii="Times New Roman" w:cs="Times New Roman" w:eastAsia="Times New Roman" w:hAnsi="Times New Roman"/>
          <w:sz w:val="20"/>
          <w:szCs w:val="20"/>
          <w:color w:val="auto"/>
        </w:rPr>
        <w:t>. This Restricted Stock Unit Agreement shall be subject to reduction, cancellation, forfeiture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recoupment to the extent necessary to comply with (i) any clawback, forfeiture or other similar policy adopted by the Board or the Committee and as in effect from time to time; and (ii) Applicable Law.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w:t>
      </w:r>
    </w:p>
    <w:p>
      <w:pPr>
        <w:spacing w:after="0" w:line="156" w:lineRule="exact"/>
        <w:rPr>
          <w:rFonts w:ascii="Times New Roman" w:cs="Times New Roman" w:eastAsia="Times New Roman" w:hAnsi="Times New Roman"/>
          <w:sz w:val="20"/>
          <w:szCs w:val="20"/>
          <w:color w:val="auto"/>
        </w:rPr>
      </w:pPr>
    </w:p>
    <w:p>
      <w:pPr>
        <w:jc w:val="both"/>
        <w:ind w:firstLine="1304"/>
        <w:spacing w:after="0" w:line="227" w:lineRule="auto"/>
        <w:tabs>
          <w:tab w:leader="none" w:pos="160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Detrimental Activity</w:t>
      </w:r>
      <w:r>
        <w:rPr>
          <w:rFonts w:ascii="Times New Roman" w:cs="Times New Roman" w:eastAsia="Times New Roman" w:hAnsi="Times New Roman"/>
          <w:sz w:val="20"/>
          <w:szCs w:val="20"/>
          <w:color w:val="auto"/>
        </w:rPr>
        <w:t>. Notwithstanding anything to the contrary contained herein or in the Plan, if the Participant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engaged in or engages in any Detrimental Activity, as determined by the Committee, then the Committee may, in its sole discretion, take actions permitted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auto"/>
        </w:rPr>
        <w:t>including, but not limited to: (i) cancelling any and all Restricted Stock Unit, or (ii) requiring that the Participant forfeit any gain realized on</w:t>
      </w:r>
    </w:p>
    <w:p>
      <w:pPr>
        <w:spacing w:after="0" w:line="221" w:lineRule="auto"/>
        <w:rPr>
          <w:sz w:val="20"/>
          <w:szCs w:val="20"/>
          <w:color w:val="auto"/>
        </w:rPr>
      </w:pPr>
      <w:r>
        <w:rPr>
          <w:rFonts w:ascii="Times New Roman" w:cs="Times New Roman" w:eastAsia="Times New Roman" w:hAnsi="Times New Roman"/>
          <w:sz w:val="20"/>
          <w:szCs w:val="20"/>
          <w:color w:val="auto"/>
        </w:rPr>
        <w:t>the settlement of the Restricted Stock Unit or the disposition of any Class A Common Stock received upon settlement of the Restricted Stock Units, and repay such gain to the Company.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 xml:space="preserve">15. </w:t>
      </w:r>
      <w:r>
        <w:rPr>
          <w:rFonts w:ascii="Times New Roman" w:cs="Times New Roman" w:eastAsia="Times New Roman" w:hAnsi="Times New Roman"/>
          <w:sz w:val="19"/>
          <w:szCs w:val="19"/>
          <w:b w:val="1"/>
          <w:bCs w:val="1"/>
          <w:u w:val="single" w:color="auto"/>
          <w:color w:val="auto"/>
        </w:rPr>
        <w:t>Right to Offset</w:t>
      </w:r>
      <w:r>
        <w:rPr>
          <w:rFonts w:ascii="Times New Roman" w:cs="Times New Roman" w:eastAsia="Times New Roman" w:hAnsi="Times New Roman"/>
          <w:sz w:val="19"/>
          <w:szCs w:val="19"/>
          <w:color w:val="auto"/>
        </w:rPr>
        <w:t>. The provisions of Section 13(x) of the Plan are incorporated herein by reference and made a part hereof.</w:t>
      </w:r>
    </w:p>
    <w:p>
      <w:pPr>
        <w:spacing w:after="0" w:line="200" w:lineRule="exact"/>
        <w:rPr>
          <w:sz w:val="20"/>
          <w:szCs w:val="20"/>
          <w:color w:val="auto"/>
        </w:rPr>
      </w:pPr>
    </w:p>
    <w:p>
      <w:pPr>
        <w:jc w:val="both"/>
        <w:ind w:firstLine="1304"/>
        <w:spacing w:after="0" w:line="218" w:lineRule="auto"/>
        <w:tabs>
          <w:tab w:leader="none" w:pos="159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Restricted Stock Unit Agreement shall be construed and interpreted in accordance with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5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63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and provisions of the Plan are incorporated herein by reference. In the event of a conflict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inconsistency between the terms and provisions of the Plan and the provisions of this Restricted Stock Unit Agreement (including the Grant Notice), the Plan shall govern and control.</w:t>
      </w:r>
    </w:p>
    <w:p>
      <w:pPr>
        <w:spacing w:after="0" w:line="15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59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It is intended that the Restricted Stock Units granted hereunder shall be exempt from Section 409A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Code pursuant to the “short-term deferral” rule applicable to such section, as set forth in the regulations or other guidance published by the Internal Revenue Service thereunder and shall be interpreted as such.</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59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Restricted Stock Unit and on any shares of Class A Common Stock acquired under the Plan, to the extent that the Company, in its sole discretion, determines it is necessary or advisable for legal or administrative reasons, and to require the Participant to sign any additional agreements or undertakings that may be necessary to accomplish the foregoing.</w:t>
      </w:r>
    </w:p>
    <w:p>
      <w:pPr>
        <w:spacing w:after="0" w:line="144" w:lineRule="exact"/>
        <w:rPr>
          <w:rFonts w:ascii="Times New Roman" w:cs="Times New Roman" w:eastAsia="Times New Roman" w:hAnsi="Times New Roman"/>
          <w:sz w:val="20"/>
          <w:szCs w:val="20"/>
          <w:color w:val="auto"/>
        </w:rPr>
      </w:pPr>
    </w:p>
    <w:p>
      <w:pPr>
        <w:jc w:val="both"/>
        <w:ind w:firstLine="1304"/>
        <w:spacing w:after="0" w:line="223" w:lineRule="auto"/>
        <w:tabs>
          <w:tab w:leader="none" w:pos="159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5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60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Restricted Stock Unit Agreement (including, without limitation, all exhibits attached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 Notice and the Plan constitute the entire agreement of the parties hereto 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OPTION GRANT NOTICE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TASKUS,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OMNIBUS INCENTIVE PLAN</w:t>
      </w:r>
    </w:p>
    <w:p>
      <w:pPr>
        <w:spacing w:after="0" w:line="180"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TaskUs,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2021 Omnibus Incentive Plan (as it may be amended and/or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Participant the number of Options (each Option representing the right to</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purchase one share of Class A Common Stock) set forth below, at an Exercise Price per share as set forth below. The Options are subject to all of the terms and conditions as set forth herein, in the Option Agreement (attached hereto or previously provided to the Participant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connection with a prior grant), and in the Plan, all of which are incorporated herein in their entirety. Capitalized terms not otherwise defined herein shall have the meaning set forth in the Plan.</w:t>
      </w:r>
    </w:p>
    <w:p>
      <w:pPr>
        <w:spacing w:after="0" w:line="14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Participant Name</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Vesting Reference Date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Number of Options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Number of Options Granted</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Exercise Price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Exercise Price</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20"/>
          <w:szCs w:val="20"/>
          <w:b w:val="1"/>
          <w:bCs w:val="1"/>
          <w:color w:val="auto"/>
        </w:rPr>
        <w:t>Option Period Expiration Date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anniversary of Grant Date</w:t>
      </w:r>
    </w:p>
    <w:p>
      <w:pPr>
        <w:spacing w:after="0" w:line="11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Type of Option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Non-Qualified Stock Option</w:t>
      </w:r>
    </w:p>
    <w:p>
      <w:pPr>
        <w:spacing w:after="0" w:line="16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Provided the Participant has not undergone a Termination at the time of the applicable vesting date (or event):</w:t>
      </w:r>
    </w:p>
    <w:p>
      <w:pPr>
        <w:spacing w:after="0" w:line="179" w:lineRule="exact"/>
        <w:rPr>
          <w:sz w:val="20"/>
          <w:szCs w:val="20"/>
          <w:color w:val="auto"/>
        </w:rPr>
      </w:pPr>
    </w:p>
    <w:p>
      <w:pPr>
        <w:ind w:left="3580" w:hanging="332"/>
        <w:spacing w:after="0" w:line="233" w:lineRule="auto"/>
        <w:tabs>
          <w:tab w:leader="none" w:pos="356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of the Options (rounded down to the nearest whole share) will vest on the date that is one year following the Vesting Reference Date (the “</w:t>
      </w:r>
      <w:r>
        <w:rPr>
          <w:rFonts w:ascii="Times New Roman" w:cs="Times New Roman" w:eastAsia="Times New Roman" w:hAnsi="Times New Roman"/>
          <w:sz w:val="20"/>
          <w:szCs w:val="20"/>
          <w:u w:val="single" w:color="auto"/>
          <w:color w:val="auto"/>
        </w:rPr>
        <w:t>Tranche I Options</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ind w:left="3580" w:hanging="332"/>
        <w:spacing w:after="0"/>
        <w:tabs>
          <w:tab w:leader="none" w:pos="356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additional [●] of the Options (rounded down to the nearest whole share) will vest on the date that is two years after the Vesting Reference Date;</w:t>
      </w:r>
    </w:p>
    <w:p>
      <w:pPr>
        <w:spacing w:after="0" w:line="147" w:lineRule="exact"/>
        <w:rPr>
          <w:rFonts w:ascii="Times New Roman" w:cs="Times New Roman" w:eastAsia="Times New Roman" w:hAnsi="Times New Roman"/>
          <w:sz w:val="20"/>
          <w:szCs w:val="20"/>
          <w:color w:val="auto"/>
        </w:rPr>
      </w:pPr>
    </w:p>
    <w:p>
      <w:pPr>
        <w:ind w:left="3580" w:right="20" w:hanging="332"/>
        <w:spacing w:after="0"/>
        <w:tabs>
          <w:tab w:leader="none" w:pos="356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additional [ ● ] of the Options will vest on the date that is three years after the Vesting Reference Date; and</w:t>
      </w:r>
    </w:p>
    <w:p>
      <w:pPr>
        <w:spacing w:after="0" w:line="161" w:lineRule="exact"/>
        <w:rPr>
          <w:rFonts w:ascii="Times New Roman" w:cs="Times New Roman" w:eastAsia="Times New Roman" w:hAnsi="Times New Roman"/>
          <w:sz w:val="20"/>
          <w:szCs w:val="20"/>
          <w:color w:val="auto"/>
        </w:rPr>
      </w:pPr>
    </w:p>
    <w:p>
      <w:pPr>
        <w:ind w:left="3580" w:right="20" w:hanging="332"/>
        <w:spacing w:after="0" w:line="233" w:lineRule="auto"/>
        <w:tabs>
          <w:tab w:leader="none" w:pos="356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remaining [●] of the Options shall vest on the fourth anniversary of the Vesting Reference Date.</w:t>
      </w:r>
    </w:p>
    <w:p>
      <w:pPr>
        <w:spacing w:after="0" w:line="16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color w:val="auto"/>
        </w:rPr>
        <w:t>Notwithstanding the foregoing, (i) if the Participant undergoes a Termination by the Service Recipient</w:t>
      </w:r>
    </w:p>
    <w:p>
      <w:pPr>
        <w:spacing w:after="0" w:line="6" w:lineRule="exact"/>
        <w:rPr>
          <w:sz w:val="20"/>
          <w:szCs w:val="20"/>
          <w:color w:val="auto"/>
        </w:rPr>
      </w:pPr>
    </w:p>
    <w:p>
      <w:pPr>
        <w:ind w:left="3060"/>
        <w:spacing w:after="0" w:line="204" w:lineRule="auto"/>
        <w:rPr>
          <w:sz w:val="20"/>
          <w:szCs w:val="20"/>
          <w:color w:val="auto"/>
        </w:rPr>
      </w:pPr>
      <w:r>
        <w:rPr>
          <w:rFonts w:ascii="Times New Roman" w:cs="Times New Roman" w:eastAsia="Times New Roman" w:hAnsi="Times New Roman"/>
          <w:sz w:val="20"/>
          <w:szCs w:val="20"/>
          <w:color w:val="auto"/>
        </w:rPr>
        <w:t>without Cause prior to the first anniversary of the Vesting Reference Date, then, subject to and conditioned upon the Participant’s (A) execution and non-revocation of a release of claims in favor of</w:t>
      </w:r>
    </w:p>
    <w:p>
      <w:pPr>
        <w:ind w:left="3060"/>
        <w:spacing w:after="0" w:line="211" w:lineRule="auto"/>
        <w:rPr>
          <w:sz w:val="20"/>
          <w:szCs w:val="20"/>
          <w:color w:val="auto"/>
        </w:rPr>
      </w:pPr>
      <w:r>
        <w:rPr>
          <w:rFonts w:ascii="Times New Roman" w:cs="Times New Roman" w:eastAsia="Times New Roman" w:hAnsi="Times New Roman"/>
          <w:sz w:val="20"/>
          <w:szCs w:val="20"/>
          <w:color w:val="auto"/>
        </w:rPr>
        <w:t>the Company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and (B) execution of an agreement not to solicit clients, employees, or</w:t>
      </w:r>
    </w:p>
    <w:p>
      <w:pPr>
        <w:spacing w:after="0" w:line="1" w:lineRule="exact"/>
        <w:rPr>
          <w:sz w:val="20"/>
          <w:szCs w:val="20"/>
          <w:color w:val="auto"/>
        </w:rPr>
      </w:pPr>
    </w:p>
    <w:p>
      <w:pPr>
        <w:ind w:left="3060"/>
        <w:spacing w:after="0" w:line="204" w:lineRule="auto"/>
        <w:rPr>
          <w:sz w:val="20"/>
          <w:szCs w:val="20"/>
          <w:color w:val="auto"/>
        </w:rPr>
      </w:pPr>
      <w:r>
        <w:rPr>
          <w:rFonts w:ascii="Times New Roman" w:cs="Times New Roman" w:eastAsia="Times New Roman" w:hAnsi="Times New Roman"/>
          <w:sz w:val="20"/>
          <w:szCs w:val="20"/>
          <w:color w:val="auto"/>
        </w:rPr>
        <w:t>service providers of the Company Group for a 24-month period commencing on the date of Termination, in each case, in the form provided by the Company, the Tranche I Options shall vest on</w:t>
      </w:r>
    </w:p>
    <w:p>
      <w:pPr>
        <w:spacing w:after="0" w:line="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the date the Release becomes irrevocable and (ii) the</w:t>
      </w:r>
    </w:p>
    <w:p>
      <w:pPr>
        <w:sectPr>
          <w:pgSz w:w="11900" w:h="16838" w:orient="portrait"/>
          <w:cols w:equalWidth="0" w:num="1">
            <w:col w:w="11240"/>
          </w:cols>
          <w:pgMar w:left="320" w:top="1391" w:right="339" w:bottom="1440" w:gutter="0" w:footer="0" w:header="0"/>
        </w:sectPr>
      </w:pPr>
    </w:p>
    <w:bookmarkStart w:id="48" w:name="page49"/>
    <w:bookmarkEnd w:id="48"/>
    <w:p>
      <w:pPr>
        <w:ind w:left="3060"/>
        <w:spacing w:after="0"/>
        <w:rPr>
          <w:sz w:val="20"/>
          <w:szCs w:val="20"/>
          <w:color w:val="auto"/>
        </w:rPr>
      </w:pPr>
      <w:r>
        <w:rPr>
          <w:rFonts w:ascii="Times New Roman" w:cs="Times New Roman" w:eastAsia="Times New Roman" w:hAnsi="Times New Roman"/>
          <w:sz w:val="20"/>
          <w:szCs w:val="20"/>
          <w:color w:val="auto"/>
        </w:rPr>
        <w:t>Options shall fully vest and become exercisable if either (A) the Options would not otherwise be</w:t>
      </w:r>
    </w:p>
    <w:p>
      <w:pPr>
        <w:ind w:left="3060"/>
        <w:spacing w:after="0" w:line="204" w:lineRule="auto"/>
        <w:rPr>
          <w:sz w:val="20"/>
          <w:szCs w:val="20"/>
          <w:color w:val="auto"/>
        </w:rPr>
      </w:pPr>
      <w:r>
        <w:rPr>
          <w:rFonts w:ascii="Times New Roman" w:cs="Times New Roman" w:eastAsia="Times New Roman" w:hAnsi="Times New Roman"/>
          <w:sz w:val="20"/>
          <w:szCs w:val="20"/>
          <w:color w:val="auto"/>
        </w:rPr>
        <w:t>continued, converted, assumed, or replaced by the Company, a member of the Company Group or a successor entity thereto; or (B) if the Participant undergoes a Termination by the Service Recipient</w:t>
      </w:r>
    </w:p>
    <w:p>
      <w:pPr>
        <w:jc w:val="right"/>
        <w:spacing w:after="0" w:line="211" w:lineRule="auto"/>
        <w:rPr>
          <w:sz w:val="20"/>
          <w:szCs w:val="20"/>
          <w:color w:val="auto"/>
        </w:rPr>
      </w:pPr>
      <w:r>
        <w:rPr>
          <w:rFonts w:ascii="Times New Roman" w:cs="Times New Roman" w:eastAsia="Times New Roman" w:hAnsi="Times New Roman"/>
          <w:sz w:val="20"/>
          <w:szCs w:val="20"/>
          <w:color w:val="auto"/>
        </w:rPr>
        <w:t>without Cause or due to death or Disability at any time following a Change in Control in which the</w:t>
      </w:r>
    </w:p>
    <w:p>
      <w:pPr>
        <w:spacing w:after="0" w:line="1" w:lineRule="exact"/>
        <w:rPr>
          <w:sz w:val="20"/>
          <w:szCs w:val="20"/>
          <w:color w:val="auto"/>
        </w:rPr>
      </w:pPr>
    </w:p>
    <w:p>
      <w:pPr>
        <w:ind w:left="3060"/>
        <w:spacing w:after="0" w:line="221" w:lineRule="auto"/>
        <w:rPr>
          <w:sz w:val="20"/>
          <w:szCs w:val="20"/>
          <w:color w:val="auto"/>
        </w:rPr>
      </w:pPr>
      <w:r>
        <w:rPr>
          <w:rFonts w:ascii="Times New Roman" w:cs="Times New Roman" w:eastAsia="Times New Roman" w:hAnsi="Times New Roman"/>
          <w:sz w:val="20"/>
          <w:szCs w:val="20"/>
          <w:color w:val="auto"/>
        </w:rPr>
        <w:t>Options are continued, converted, assumed, or replaced by the Company, a member of the Company Group or a successor entity thereto.</w:t>
      </w:r>
    </w:p>
    <w:p>
      <w:pPr>
        <w:spacing w:after="0" w:line="148"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9"/>
          <w:szCs w:val="19"/>
          <w:color w:val="auto"/>
        </w:rPr>
        <w:t>ASKUS,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11" w:lineRule="auto"/>
        <w:rPr>
          <w:sz w:val="20"/>
          <w:szCs w:val="20"/>
          <w:color w:val="auto"/>
        </w:rPr>
      </w:pPr>
      <w:r>
        <w:rPr>
          <w:rFonts w:ascii="Times New Roman" w:cs="Times New Roman" w:eastAsia="Times New Roman" w:hAnsi="Times New Roman"/>
          <w:sz w:val="20"/>
          <w:szCs w:val="20"/>
          <w:color w:val="auto"/>
        </w:rPr>
        <w:t>By: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OPTION GRANT NOTICE, THE OPTION AGREEMENT AND THE PLAN, AND, AS AN EXPRESS CONDITION TO THE GRANT OF OPTIONS HEREUNDER,</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b w:val="1"/>
          <w:bCs w:val="1"/>
          <w:color w:val="auto"/>
        </w:rPr>
        <w:t>AGREES TO BE BOUND BY THE TERMS OF THIS OPTION GRANT NOTICE, THE OPTION AGREEMENT AND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r>
        <w:rPr>
          <w:rFonts w:ascii="Times New Roman" w:cs="Times New Roman" w:eastAsia="Times New Roman" w:hAnsi="Times New Roman"/>
          <w:sz w:val="25"/>
          <w:szCs w:val="25"/>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714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2" w:lineRule="exact"/>
        <w:rPr>
          <w:sz w:val="20"/>
          <w:szCs w:val="20"/>
          <w:color w:val="auto"/>
        </w:rPr>
      </w:pPr>
    </w:p>
    <w:p>
      <w:pPr>
        <w:ind w:right="280" w:firstLine="8"/>
        <w:spacing w:after="0" w:line="192" w:lineRule="auto"/>
        <w:tabs>
          <w:tab w:leader="none" w:pos="216" w:val="left"/>
        </w:tabs>
        <w:numPr>
          <w:ilvl w:val="0"/>
          <w:numId w:val="3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Option Grant Notice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394" w:right="339" w:bottom="1440" w:gutter="0" w:footer="0" w:header="0"/>
        </w:sectPr>
      </w:pPr>
    </w:p>
    <w:bookmarkStart w:id="49" w:name="page50"/>
    <w:bookmarkEnd w:id="49"/>
    <w:p>
      <w:pPr>
        <w:ind w:left="4560"/>
        <w:spacing w:after="0"/>
        <w:rPr>
          <w:sz w:val="20"/>
          <w:szCs w:val="20"/>
          <w:color w:val="auto"/>
        </w:rPr>
      </w:pPr>
      <w:r>
        <w:rPr>
          <w:rFonts w:ascii="Times New Roman" w:cs="Times New Roman" w:eastAsia="Times New Roman" w:hAnsi="Times New Roman"/>
          <w:sz w:val="20"/>
          <w:szCs w:val="20"/>
          <w:b w:val="1"/>
          <w:bCs w:val="1"/>
          <w:color w:val="auto"/>
        </w:rPr>
        <w:t>OPTION AGREEMENT</w:t>
      </w:r>
    </w:p>
    <w:p>
      <w:pPr>
        <w:ind w:left="5040"/>
        <w:spacing w:after="0" w:line="197"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TASKUS,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OMNIBUS INCENTIVE PLAN</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Pursuant to the Option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Option Agreement (this “</w:t>
      </w:r>
      <w:r>
        <w:rPr>
          <w:rFonts w:ascii="Times New Roman" w:cs="Times New Roman" w:eastAsia="Times New Roman" w:hAnsi="Times New Roman"/>
          <w:sz w:val="20"/>
          <w:szCs w:val="20"/>
          <w:u w:val="single" w:color="auto"/>
          <w:color w:val="auto"/>
        </w:rPr>
        <w:t>Option Agreement</w:t>
      </w:r>
      <w:r>
        <w:rPr>
          <w:rFonts w:ascii="Times New Roman" w:cs="Times New Roman" w:eastAsia="Times New Roman" w:hAnsi="Times New Roman"/>
          <w:sz w:val="20"/>
          <w:szCs w:val="20"/>
          <w:color w:val="auto"/>
        </w:rPr>
        <w:t>”) and the TaskUs, Inc. 2021 Omnibus Incentive Plan, as it may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TaskUs,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45" w:lineRule="exact"/>
        <w:rPr>
          <w:sz w:val="20"/>
          <w:szCs w:val="20"/>
          <w:color w:val="auto"/>
        </w:rPr>
      </w:pPr>
    </w:p>
    <w:p>
      <w:pPr>
        <w:jc w:val="both"/>
        <w:ind w:firstLine="1304"/>
        <w:spacing w:after="0" w:line="219" w:lineRule="auto"/>
        <w:tabs>
          <w:tab w:leader="none" w:pos="19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Option</w:t>
      </w:r>
      <w:r>
        <w:rPr>
          <w:rFonts w:ascii="Times New Roman" w:cs="Times New Roman" w:eastAsia="Times New Roman" w:hAnsi="Times New Roman"/>
          <w:sz w:val="20"/>
          <w:szCs w:val="20"/>
          <w:color w:val="auto"/>
        </w:rPr>
        <w:t>. Subject to the terms and conditions set forth herein and in the Plan, the Company hereby grants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the number of Options provided in the Grant Notice (with each Option representing the right to purchase one share of Class A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w:t>
      </w:r>
    </w:p>
    <w:p>
      <w:pPr>
        <w:spacing w:after="0" w:line="143"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Subject to the conditions contained herein and in the Plan, the Options shall vest as provided in the Grant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w:t>
      </w:r>
    </w:p>
    <w:p>
      <w:pPr>
        <w:spacing w:after="0" w:line="162"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Exercise of Options Following Termination</w:t>
      </w:r>
      <w:r>
        <w:rPr>
          <w:rFonts w:ascii="Times New Roman" w:cs="Times New Roman" w:eastAsia="Times New Roman" w:hAnsi="Times New Roman"/>
          <w:sz w:val="20"/>
          <w:szCs w:val="20"/>
          <w:color w:val="auto"/>
        </w:rPr>
        <w:t>. The provisions of Section 7(c)(ii) of the Plan are incorporated herein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reference and made a part hereof, subject to the Vesting Schedule as provided in the Grant Notice (and for the avoidance for doubt, in the event of any conflict of the Grant Notice and Section 7(c)(ii) of the Plan, the provisions of the Grant Notice will prevail).</w:t>
      </w:r>
    </w:p>
    <w:p>
      <w:pPr>
        <w:spacing w:after="0" w:line="143"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Method of Exercising Options</w:t>
      </w:r>
      <w:r>
        <w:rPr>
          <w:rFonts w:ascii="Times New Roman" w:cs="Times New Roman" w:eastAsia="Times New Roman" w:hAnsi="Times New Roman"/>
          <w:sz w:val="20"/>
          <w:szCs w:val="20"/>
          <w:color w:val="auto"/>
        </w:rPr>
        <w:t>. The Options may be exercised by the delivery of notice of the number of Options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that are being exercised accompanied by payment in full of the Exercise Price applicable to the Options so exercised. Such notice shall be delivered either (a) in writing to the Company at its principal office or at such other address as may be established by the Committee, to the attention of the Company’s VP Legal, Corporate Secretary or its designee; or (b) to a third-party plan administrator as may be arranged for by the Company or the Committee from time to time for purposes of the administration of outstanding Options under the Plan, in the case of either (a) or (b), as communicated to the Participant by the Company from time to time. Payment of the aggregate Exercise Price may be made using any of the methods described in Section 7(d)(i) or (ii) of the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Participant shall obtain written consent from the Committee prior to the use of the methods described in Section 7(d)(ii)(A) of the Plan.</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Issuance of Class A Common Stock</w:t>
      </w:r>
      <w:r>
        <w:rPr>
          <w:rFonts w:ascii="Times New Roman" w:cs="Times New Roman" w:eastAsia="Times New Roman" w:hAnsi="Times New Roman"/>
          <w:sz w:val="20"/>
          <w:szCs w:val="20"/>
          <w:color w:val="auto"/>
        </w:rPr>
        <w:t>. Following the exercise of an Option hereunder, as promptly as practical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receipt of such notification and full payment of such Exercise Price and any required income or other tax withholding amount (as provided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hereof), the Company shall issue or transfer, or cause such issue or transfer, to the Participant the number of shares of Class A Common Stock with respect to which the Options have been so exercised, and shall either (a) deliver, or cause to be delivered, to the Participant, a certificate or certificates therefor, registered in the Participant’s name or (b) cause such shares of Class A Common Stock to be credited to the Participant’s account at the third-party plan administrator.</w:t>
      </w:r>
    </w:p>
    <w:p>
      <w:pPr>
        <w:spacing w:after="0" w:line="15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Company; Participant</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firstLine="1304"/>
        <w:spacing w:after="0"/>
        <w:tabs>
          <w:tab w:leader="none" w:pos="193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“Company” as used in this Option Agreement with reference to employment or service shall include the applicable Service Recipient.</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 “Participant” is used in any provision of this Option Agreement under circumstances where the provision should logically be construed to apply to the executors, the administrators, or the person or persons to whom the Options may be transferred in</w:t>
      </w:r>
    </w:p>
    <w:p>
      <w:pPr>
        <w:sectPr>
          <w:pgSz w:w="11900" w:h="16838" w:orient="portrait"/>
          <w:cols w:equalWidth="0" w:num="1">
            <w:col w:w="11240"/>
          </w:cols>
          <w:pgMar w:left="320" w:top="139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color w:val="auto"/>
        </w:rPr>
        <w:t>accordance with Section 13(b) of the Plan, the word “Participant” shall be deemed to include such person or persons.</w:t>
      </w:r>
    </w:p>
    <w:p>
      <w:pPr>
        <w:spacing w:after="0" w:line="185" w:lineRule="exact"/>
        <w:rPr>
          <w:sz w:val="20"/>
          <w:szCs w:val="20"/>
          <w:color w:val="auto"/>
        </w:rPr>
      </w:pPr>
    </w:p>
    <w:p>
      <w:pPr>
        <w:jc w:val="both"/>
        <w:ind w:firstLine="1304"/>
        <w:spacing w:after="0" w:line="223" w:lineRule="auto"/>
        <w:tabs>
          <w:tab w:leader="none" w:pos="194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Options are not transferable by the Participant except to Permitted Transferees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13(b) of the Plan.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w:t>
      </w:r>
    </w:p>
    <w:p>
      <w:pPr>
        <w:spacing w:after="0" w:line="144"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4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Stockholder</w:t>
      </w:r>
      <w:r>
        <w:rPr>
          <w:rFonts w:ascii="Times New Roman" w:cs="Times New Roman" w:eastAsia="Times New Roman" w:hAnsi="Times New Roman"/>
          <w:sz w:val="20"/>
          <w:szCs w:val="20"/>
          <w:color w:val="auto"/>
        </w:rPr>
        <w:t>. The Participant or a Permitted Transferee of the Options shall have no rights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 with respect to any share of Class A Common Stock covered by an Option unless and until the Participant shall have become the holder of record or the beneficial owner of such share of Class A Common Stock, and no adjustment shall be made for dividends or distributions or other rights in respect of such share of Class A Common Stock for which the record date is prior to the date upon which the Participant shall become the holder of record or the beneficial owner thereof.</w:t>
      </w:r>
    </w:p>
    <w:p>
      <w:pPr>
        <w:spacing w:after="0" w:line="157"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Tax Withholding</w:t>
      </w:r>
      <w:r>
        <w:rPr>
          <w:rFonts w:ascii="Times New Roman" w:cs="Times New Roman" w:eastAsia="Times New Roman" w:hAnsi="Times New Roman"/>
          <w:sz w:val="19"/>
          <w:szCs w:val="19"/>
          <w:color w:val="auto"/>
        </w:rPr>
        <w:t>. The provisions of Section 13(d) of the Plan are incorporated herein by reference and made a part</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hereof.</w:t>
      </w:r>
    </w:p>
    <w:p>
      <w:pPr>
        <w:spacing w:after="0" w:line="162" w:lineRule="exact"/>
        <w:rPr>
          <w:rFonts w:ascii="Times New Roman" w:cs="Times New Roman" w:eastAsia="Times New Roman" w:hAnsi="Times New Roman"/>
          <w:sz w:val="19"/>
          <w:szCs w:val="19"/>
          <w:color w:val="auto"/>
        </w:rPr>
      </w:pPr>
    </w:p>
    <w:p>
      <w:pPr>
        <w:jc w:val="both"/>
        <w:ind w:firstLine="1304"/>
        <w:spacing w:after="0" w:line="213" w:lineRule="auto"/>
        <w:tabs>
          <w:tab w:leader="none" w:pos="193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Option Agreement between the Company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and until some other address be so designated, all notices or communications by the Participant to the Company shall be mailed or delivered to the Company at its principal executive office, to the attention of the Company’s VP Legal, Corporate Secretary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61" w:lineRule="exact"/>
        <w:rPr>
          <w:rFonts w:ascii="Times New Roman" w:cs="Times New Roman" w:eastAsia="Times New Roman" w:hAnsi="Times New Roman"/>
          <w:sz w:val="20"/>
          <w:szCs w:val="20"/>
          <w:color w:val="auto"/>
        </w:rPr>
      </w:pPr>
    </w:p>
    <w:p>
      <w:pPr>
        <w:ind w:firstLine="1304"/>
        <w:spacing w:after="0" w:line="235" w:lineRule="auto"/>
        <w:tabs>
          <w:tab w:leader="none" w:pos="192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Option Agreement does not confer upon the Participant any right to continue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an employee or service provider to the Service Recipient or any other member of the Company Group.</w:t>
      </w:r>
    </w:p>
    <w:p>
      <w:pPr>
        <w:spacing w:after="0" w:line="15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Binding Effect</w:t>
      </w:r>
      <w:r>
        <w:rPr>
          <w:rFonts w:ascii="Times New Roman" w:cs="Times New Roman" w:eastAsia="Times New Roman" w:hAnsi="Times New Roman"/>
          <w:sz w:val="19"/>
          <w:szCs w:val="19"/>
          <w:color w:val="auto"/>
        </w:rPr>
        <w:t>. This Option Agreement shall be binding upon the heirs, executors, administrators and successors of</w:t>
      </w:r>
    </w:p>
    <w:p>
      <w:pPr>
        <w:spacing w:after="0" w:line="1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parties hereto.</w:t>
      </w:r>
    </w:p>
    <w:p>
      <w:pPr>
        <w:spacing w:after="0" w:line="149" w:lineRule="exact"/>
        <w:rPr>
          <w:rFonts w:ascii="Times New Roman" w:cs="Times New Roman" w:eastAsia="Times New Roman" w:hAnsi="Times New Roman"/>
          <w:sz w:val="19"/>
          <w:szCs w:val="19"/>
          <w:color w:val="auto"/>
        </w:rPr>
      </w:pPr>
    </w:p>
    <w:p>
      <w:pPr>
        <w:jc w:val="both"/>
        <w:ind w:firstLine="1304"/>
        <w:spacing w:after="0" w:line="220" w:lineRule="auto"/>
        <w:tabs>
          <w:tab w:leader="none" w:pos="193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12 of the Plan, any waiver, alteration,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amendment or modification of any of the terms of this Option Agreement shall be valid only if made in writing and signed by the parties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60" w:lineRule="exact"/>
        <w:rPr>
          <w:rFonts w:ascii="Times New Roman" w:cs="Times New Roman" w:eastAsia="Times New Roman" w:hAnsi="Times New Roman"/>
          <w:sz w:val="20"/>
          <w:szCs w:val="20"/>
          <w:color w:val="auto"/>
        </w:rPr>
      </w:pPr>
    </w:p>
    <w:p>
      <w:pPr>
        <w:jc w:val="both"/>
        <w:ind w:firstLine="1304"/>
        <w:spacing w:after="0" w:line="229" w:lineRule="auto"/>
        <w:tabs>
          <w:tab w:leader="none" w:pos="1935"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Clawback/Repayment</w:t>
      </w:r>
      <w:r>
        <w:rPr>
          <w:rFonts w:ascii="Times New Roman" w:cs="Times New Roman" w:eastAsia="Times New Roman" w:hAnsi="Times New Roman"/>
          <w:sz w:val="19"/>
          <w:szCs w:val="19"/>
          <w:color w:val="auto"/>
        </w:rPr>
        <w:t>. This Option Agreement shall be subject to reduction, cancellation, forfeiture or recoupment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extent necessary to comply with (i) any clawback, forfeiture or other similar policy adopted by the Board or the Committee and as in effect from time to time; and (ii) Applicable Law. 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 required to repay any such excess amount to the Company.</w:t>
      </w:r>
    </w:p>
    <w:p>
      <w:pPr>
        <w:spacing w:after="0" w:line="159" w:lineRule="exact"/>
        <w:rPr>
          <w:rFonts w:ascii="Times New Roman" w:cs="Times New Roman" w:eastAsia="Times New Roman" w:hAnsi="Times New Roman"/>
          <w:sz w:val="19"/>
          <w:szCs w:val="19"/>
          <w:color w:val="auto"/>
        </w:rPr>
      </w:pPr>
    </w:p>
    <w:p>
      <w:pPr>
        <w:ind w:firstLine="1304"/>
        <w:spacing w:after="0" w:line="245" w:lineRule="auto"/>
        <w:tabs>
          <w:tab w:leader="none" w:pos="193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Detrimental Activity</w:t>
      </w:r>
      <w:r>
        <w:rPr>
          <w:rFonts w:ascii="Times New Roman" w:cs="Times New Roman" w:eastAsia="Times New Roman" w:hAnsi="Times New Roman"/>
          <w:sz w:val="20"/>
          <w:szCs w:val="20"/>
          <w:color w:val="auto"/>
        </w:rPr>
        <w:t>. Notwithstanding anything to the contrary contained herein or in the Plan, if the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engaged in or engages in any Detrimental Activity,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9"/>
          <w:szCs w:val="19"/>
          <w:color w:val="auto"/>
        </w:rPr>
        <w:t>determined by the Committee, then the Committee may, in its sole discretion, take actions permitted under the Plan, including, but not limited</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to: (i) cancelling any and all Option, or (ii) requiring that the Participant forfeit any gain realized on the exercise of the Options or the disposition of any Class A Common Stock received upon exercise of the Options, and repay such gain to the Company.</w:t>
      </w:r>
    </w:p>
    <w:p>
      <w:pPr>
        <w:spacing w:after="0" w:line="156" w:lineRule="exact"/>
        <w:rPr>
          <w:sz w:val="20"/>
          <w:szCs w:val="20"/>
          <w:color w:val="auto"/>
        </w:rPr>
      </w:pPr>
    </w:p>
    <w:p>
      <w:pPr>
        <w:ind w:left="1940" w:hanging="636"/>
        <w:spacing w:after="0"/>
        <w:tabs>
          <w:tab w:leader="none" w:pos="19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 to Offset</w:t>
      </w:r>
      <w:r>
        <w:rPr>
          <w:rFonts w:ascii="Times New Roman" w:cs="Times New Roman" w:eastAsia="Times New Roman" w:hAnsi="Times New Roman"/>
          <w:sz w:val="20"/>
          <w:szCs w:val="20"/>
          <w:color w:val="auto"/>
        </w:rPr>
        <w:t>. The provisions of Section 13(x) of the Plan are incorporated herein by reference and made a part</w:t>
      </w: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149" w:lineRule="exact"/>
        <w:rPr>
          <w:sz w:val="20"/>
          <w:szCs w:val="20"/>
          <w:color w:val="auto"/>
        </w:rPr>
      </w:pPr>
    </w:p>
    <w:p>
      <w:pPr>
        <w:jc w:val="both"/>
        <w:ind w:firstLine="1304"/>
        <w:spacing w:after="0" w:line="235" w:lineRule="auto"/>
        <w:tabs>
          <w:tab w:leader="none" w:pos="1935"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color w:val="auto"/>
        </w:rPr>
        <w:t>. This Option Agreement shall be construed and interpreted in accordance with the laws of the State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Delaware, 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Delaware.</w:t>
      </w:r>
    </w:p>
    <w:p>
      <w:pPr>
        <w:spacing w:after="0" w:line="156" w:lineRule="exact"/>
        <w:rPr>
          <w:rFonts w:ascii="Times New Roman" w:cs="Times New Roman" w:eastAsia="Times New Roman" w:hAnsi="Times New Roman"/>
          <w:sz w:val="19"/>
          <w:szCs w:val="19"/>
          <w:color w:val="auto"/>
        </w:rPr>
      </w:pPr>
    </w:p>
    <w:p>
      <w:pPr>
        <w:jc w:val="both"/>
        <w:ind w:firstLine="1304"/>
        <w:spacing w:after="0" w:line="227" w:lineRule="auto"/>
        <w:tabs>
          <w:tab w:leader="none" w:pos="193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and provisions of the Plan are incorporated herein by reference. In the event of a conflict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inconsistency between the terms and provisions of the Plan and the provisions of this Option Agreement (including the Grant Notice), the Plan shall govern and control.</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93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participation in the Plan, on the Option and on any Class A Common Stock acquired under the Plan, to the extent that the Company, in its sole discretion, determines it is necessary or advisable for legal or administrative reasons, and to require the Participant to sign any additional agreements or undertakings that may be necessary to accomplish the foregoing.</w:t>
      </w:r>
    </w:p>
    <w:p>
      <w:pPr>
        <w:spacing w:after="0" w:line="157" w:lineRule="exact"/>
        <w:rPr>
          <w:rFonts w:ascii="Times New Roman" w:cs="Times New Roman" w:eastAsia="Times New Roman" w:hAnsi="Times New Roman"/>
          <w:sz w:val="20"/>
          <w:szCs w:val="20"/>
          <w:color w:val="auto"/>
        </w:rPr>
      </w:pPr>
    </w:p>
    <w:p>
      <w:pPr>
        <w:jc w:val="both"/>
        <w:ind w:firstLine="1304"/>
        <w:spacing w:after="0" w:line="219" w:lineRule="auto"/>
        <w:tabs>
          <w:tab w:leader="none" w:pos="193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3" w:lineRule="exact"/>
        <w:rPr>
          <w:rFonts w:ascii="Times New Roman" w:cs="Times New Roman" w:eastAsia="Times New Roman" w:hAnsi="Times New Roman"/>
          <w:sz w:val="20"/>
          <w:szCs w:val="20"/>
          <w:color w:val="auto"/>
        </w:rPr>
      </w:pPr>
    </w:p>
    <w:p>
      <w:pPr>
        <w:jc w:val="both"/>
        <w:ind w:firstLine="1304"/>
        <w:spacing w:after="0" w:line="224" w:lineRule="auto"/>
        <w:tabs>
          <w:tab w:leader="none" w:pos="19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Option Agreement (including, without limitation, all exhibits attached hereto), the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and the Plan constitute the entire agreement of the parties hereto 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9"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Bryce Maddock, certify that:</w:t>
      </w:r>
    </w:p>
    <w:p>
      <w:pPr>
        <w:spacing w:after="0" w:line="117" w:lineRule="exact"/>
        <w:rPr>
          <w:sz w:val="20"/>
          <w:szCs w:val="20"/>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2022 of TaskUs, Inc.;</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460" w:right="180" w:hanging="480"/>
        <w:spacing w:after="0" w:line="266" w:lineRule="auto"/>
        <w:tabs>
          <w:tab w:leader="none" w:pos="14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jc w:val="both"/>
        <w:ind w:left="1460" w:right="40" w:hanging="480"/>
        <w:spacing w:after="0" w:line="282" w:lineRule="auto"/>
        <w:tabs>
          <w:tab w:leader="none" w:pos="14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460" w:right="60" w:hanging="480"/>
        <w:spacing w:after="0" w:line="266" w:lineRule="auto"/>
        <w:tabs>
          <w:tab w:leader="none" w:pos="14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486"/>
        <w:spacing w:after="0" w:line="312" w:lineRule="auto"/>
        <w:tabs>
          <w:tab w:leader="none" w:pos="9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460" w:right="300" w:hanging="480"/>
        <w:spacing w:after="0" w:line="282" w:lineRule="auto"/>
        <w:tabs>
          <w:tab w:leader="none" w:pos="14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right="580" w:hanging="480"/>
        <w:spacing w:after="0" w:line="282" w:lineRule="auto"/>
        <w:tabs>
          <w:tab w:leader="none" w:pos="14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7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25800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Bryce Maddock</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2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Balaji Sekar, certify that:</w:t>
      </w:r>
    </w:p>
    <w:p>
      <w:pPr>
        <w:spacing w:after="0" w:line="117" w:lineRule="exact"/>
        <w:rPr>
          <w:sz w:val="20"/>
          <w:szCs w:val="20"/>
          <w:color w:val="auto"/>
        </w:rPr>
      </w:pP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2022 of TaskUs, Inc.;</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6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460" w:right="180" w:hanging="480"/>
        <w:spacing w:after="0" w:line="266" w:lineRule="auto"/>
        <w:tabs>
          <w:tab w:leader="none" w:pos="14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jc w:val="both"/>
        <w:ind w:left="1460" w:right="40" w:hanging="480"/>
        <w:spacing w:after="0" w:line="282" w:lineRule="auto"/>
        <w:tabs>
          <w:tab w:leader="none" w:pos="14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460" w:right="60" w:hanging="480"/>
        <w:spacing w:after="0" w:line="266" w:lineRule="auto"/>
        <w:tabs>
          <w:tab w:leader="none" w:pos="145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486"/>
        <w:spacing w:after="0" w:line="312" w:lineRule="auto"/>
        <w:tabs>
          <w:tab w:leader="none" w:pos="9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460" w:right="300" w:hanging="480"/>
        <w:spacing w:after="0" w:line="282" w:lineRule="auto"/>
        <w:tabs>
          <w:tab w:leader="none" w:pos="14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right="580" w:hanging="480"/>
        <w:spacing w:after="0" w:line="282" w:lineRule="auto"/>
        <w:tabs>
          <w:tab w:leader="none" w:pos="145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10, 2022</w:t>
      </w:r>
    </w:p>
    <w:p>
      <w:pPr>
        <w:spacing w:after="0" w:line="30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25800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Balaji Sekar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92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TaskUs,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three months ended March 31, 2022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Bryce Maddock,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Bryce Maddock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10, 2022</w:t>
      </w:r>
    </w:p>
    <w:p>
      <w:pPr>
        <w:sectPr>
          <w:pgSz w:w="11900" w:h="16838" w:orient="portrait"/>
          <w:cols w:equalWidth="0" w:num="1">
            <w:col w:w="11240"/>
          </w:cols>
          <w:pgMar w:left="320" w:top="92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TaskUs,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three months ended March 31, 2022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Balaji Sekar,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Balaji Sekar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10, 2022</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
    <w:nsid w:val="4353D0CD"/>
    <w:multiLevelType w:val="hybridMultilevel"/>
    <w:lvl w:ilvl="0">
      <w:lvlJc w:val="left"/>
      <w:lvlText w:val="%1."/>
      <w:numFmt w:val="decimal"/>
      <w:start w:val="5"/>
    </w:lvl>
  </w:abstractNum>
  <w:abstractNum w:abstractNumId="6">
    <w:nsid w:val="B03E0C6"/>
    <w:multiLevelType w:val="hybridMultilevel"/>
    <w:lvl w:ilvl="0">
      <w:lvlJc w:val="left"/>
      <w:lvlText w:val="%1."/>
      <w:numFmt w:val="decimal"/>
      <w:start w:val="6"/>
    </w:lvl>
  </w:abstractNum>
  <w:abstractNum w:abstractNumId="7">
    <w:nsid w:val="189A769B"/>
    <w:multiLevelType w:val="hybridMultilevel"/>
    <w:lvl w:ilvl="0">
      <w:lvlJc w:val="left"/>
      <w:lvlText w:val="%1."/>
      <w:numFmt w:val="decimal"/>
      <w:start w:val="7"/>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
      <w:numFmt w:val="bullet"/>
      <w:start w:val="1"/>
    </w:lvl>
    <w:lvl w:ilvl="1">
      <w:lvlJc w:val="left"/>
      <w:lvlText w:val="%2"/>
      <w:numFmt w:val="decimal"/>
      <w:start w:val="104"/>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5">
    <w:nsid w:val="1E7FF52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6">
    <w:nsid w:val="7C3DBD3D"/>
    <w:multiLevelType w:val="hybridMultilevel"/>
    <w:lvl w:ilvl="0">
      <w:lvlJc w:val="left"/>
      <w:lvlText w:val="(%1)"/>
      <w:numFmt w:val="lowerLetter"/>
      <w:start w:val="3"/>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4"/>
    </w:lvl>
  </w:abstractNum>
  <w:abstractNum w:abstractNumId="19">
    <w:nsid w:val="22221A70"/>
    <w:multiLevelType w:val="hybridMultilevel"/>
    <w:lvl w:ilvl="0">
      <w:lvlJc w:val="left"/>
      <w:lvlText w:val="%1."/>
      <w:numFmt w:val="decimal"/>
      <w:start w:val="3"/>
    </w:lvl>
  </w:abstractNum>
  <w:abstractNum w:abstractNumId="20">
    <w:nsid w:val="4516DDE9"/>
    <w:multiLevelType w:val="hybridMultilevel"/>
    <w:lvl w:ilvl="0">
      <w:lvlJc w:val="left"/>
      <w:lvlText w:val="%1."/>
      <w:numFmt w:val="decimal"/>
      <w:start w:val="5"/>
    </w:lvl>
  </w:abstractNum>
  <w:abstractNum w:abstractNumId="21">
    <w:nsid w:val="3006C83E"/>
    <w:multiLevelType w:val="hybridMultilevel"/>
    <w:lvl w:ilvl="0">
      <w:lvlJc w:val="left"/>
      <w:lvlText w:val="%1."/>
      <w:numFmt w:val="decimal"/>
      <w:start w:val="6"/>
    </w:lvl>
  </w:abstractNum>
  <w:abstractNum w:abstractNumId="22">
    <w:nsid w:val="614FD4A1"/>
    <w:multiLevelType w:val="hybridMultilevel"/>
    <w:lvl w:ilvl="0">
      <w:lvlJc w:val="left"/>
      <w:lvlText w:val="%1."/>
      <w:numFmt w:val="decimal"/>
      <w:start w:val="7"/>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3"/>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lvl w:ilvl="1">
      <w:lvlJc w:val="left"/>
      <w:lvlText w:val="%2."/>
      <w:numFmt w:val="lowerLetter"/>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bullet"/>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decimal"/>
      <w:start w:val="6"/>
    </w:lvl>
  </w:abstractNum>
  <w:abstractNum w:abstractNumId="32">
    <w:nsid w:val="5E884ADC"/>
    <w:multiLevelType w:val="hybridMultilevel"/>
    <w:lvl w:ilvl="0">
      <w:lvlJc w:val="left"/>
      <w:lvlText w:val="%1."/>
      <w:numFmt w:val="decimal"/>
      <w:start w:val="7"/>
    </w:lvl>
  </w:abstractNum>
  <w:abstractNum w:abstractNumId="33">
    <w:nsid w:val="51EAD36B"/>
    <w:multiLevelType w:val="hybridMultilevel"/>
    <w:lvl w:ilvl="0">
      <w:lvlJc w:val="left"/>
      <w:lvlText w:val="%1."/>
      <w:numFmt w:val="decimal"/>
      <w:start w:val="15"/>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bullet"/>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decimal"/>
      <w:start w:val="7"/>
    </w:lvl>
  </w:abstractNum>
  <w:abstractNum w:abstractNumId="39">
    <w:nsid w:val="6A2342EC"/>
    <w:multiLevelType w:val="hybridMultilevel"/>
    <w:lvl w:ilvl="0">
      <w:lvlJc w:val="left"/>
      <w:lvlText w:val="%1."/>
      <w:numFmt w:val="decimal"/>
      <w:start w:val="16"/>
    </w:lvl>
  </w:abstractNum>
  <w:abstractNum w:abstractNumId="40">
    <w:nsid w:val="2A487CB0"/>
    <w:multiLevelType w:val="hybridMultilevel"/>
    <w:lvl w:ilvl="0">
      <w:lvlJc w:val="left"/>
      <w:lvlText w:val="%1."/>
      <w:numFmt w:val="decimal"/>
      <w:start w:val="17"/>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jpeg"/><Relationship Id="rId46" Type="http://schemas.openxmlformats.org/officeDocument/2006/relationships/image" Target="media/image37.png"/><Relationship Id="rId47" Type="http://schemas.openxmlformats.org/officeDocument/2006/relationships/image" Target="media/image38.jpeg"/><Relationship Id="rId48" Type="http://schemas.openxmlformats.org/officeDocument/2006/relationships/image" Target="media/image39.jpe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2" Type="http://schemas.openxmlformats.org/officeDocument/2006/relationships/hyperlink" Target="https://www.sec.gov/Archives/edgar/data/1829864/000119312521191190/d191129dex31.htm" TargetMode="External"/><Relationship Id="rId43" Type="http://schemas.openxmlformats.org/officeDocument/2006/relationships/hyperlink" Target="https://www.sec.gov/Archives/edgar/data/1829864/000119312521191190/d19112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2022-05-10T16:50:27Z</dcterms:created>
  <dcterms:modified xsi:type="dcterms:W3CDTF">2022-05-10T16:50:27Z</dcterms:modified>
</cp:coreProperties>
</file>