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(Mark One)</w:t>
      </w:r>
    </w:p>
    <w:tbl>
      <w:tblPr>
        <w:tblW w:w="10539" w:type="dxa"/>
        <w:jc w:val="left"/>
        <w:tblInd w:w="0" w:type="dxa"/>
        <w:tblCellMar>
          <w:top w:w="28" w:type="dxa"/>
          <w:left w:w="28" w:type="dxa"/>
          <w:bottom w:w="28" w:type="dxa"/>
          <w:right w:w="28" w:type="dxa"/>
        </w:tblCellMar>
      </w:tblPr>
      <w:tblGrid>
        <w:gridCol w:w="136"/>
        <w:gridCol w:w="119"/>
        <w:gridCol w:w="121"/>
        <w:gridCol w:w="2973"/>
        <w:gridCol w:w="2973"/>
        <w:gridCol w:w="4217"/>
      </w:tblGrid>
      <w:tr>
        <w:trPr/>
        <w:tc>
          <w:tcPr>
            <w:tcW w:w="13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4217" w:type="dxa"/>
            <w:tcBorders/>
            <w:shd w:fill="auto" w:val="clear"/>
            <w:vAlign w:val="center"/>
          </w:tcPr>
          <w:p>
            <w:pPr>
              <w:pStyle w:val="TableContents"/>
              <w:spacing w:before="0" w:after="283"/>
              <w:rPr>
                <w:sz w:val="4"/>
                <w:szCs w:val="4"/>
              </w:rPr>
            </w:pPr>
            <w:r>
              <w:rPr>
                <w:sz w:val="4"/>
                <w:szCs w:val="4"/>
              </w:rPr>
            </w:r>
          </w:p>
        </w:tc>
      </w:tr>
      <w:tr>
        <w:trPr/>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101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539" w:type="dxa"/>
        <w:jc w:val="left"/>
        <w:tblInd w:w="0" w:type="dxa"/>
        <w:tblCellMar>
          <w:top w:w="28" w:type="dxa"/>
          <w:left w:w="28" w:type="dxa"/>
          <w:bottom w:w="28" w:type="dxa"/>
          <w:right w:w="28" w:type="dxa"/>
        </w:tblCellMar>
      </w:tblPr>
      <w:tblGrid>
        <w:gridCol w:w="124"/>
        <w:gridCol w:w="109"/>
        <w:gridCol w:w="109"/>
        <w:gridCol w:w="2982"/>
        <w:gridCol w:w="2982"/>
        <w:gridCol w:w="42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42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from_____________to______________</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001-40482</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spacing w:lineRule="auto" w:line="288" w:before="240" w:after="283"/>
        <w:jc w:val="center"/>
        <w:rPr>
          <w:rFonts w:ascii="Times New Roman;sans-serif" w:hAnsi="Times New Roman;sans-serif"/>
          <w:b/>
          <w:color w:val="000000"/>
          <w:sz w:val="48"/>
        </w:rPr>
      </w:pPr>
      <w:r>
        <w:rPr>
          <w:rFonts w:ascii="Times New Roman;sans-serif" w:hAnsi="Times New Roman;sans-serif"/>
          <w:b/>
          <w:color w:val="000000"/>
          <w:sz w:val="48"/>
        </w:rPr>
        <w:t>TaskUs,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tbl>
      <w:tblPr>
        <w:tblW w:w="7304" w:type="dxa"/>
        <w:jc w:val="left"/>
        <w:tblInd w:w="0" w:type="dxa"/>
        <w:tblCellMar>
          <w:top w:w="28" w:type="dxa"/>
          <w:left w:w="28" w:type="dxa"/>
          <w:bottom w:w="28" w:type="dxa"/>
          <w:right w:w="28" w:type="dxa"/>
        </w:tblCellMar>
      </w:tblPr>
      <w:tblGrid>
        <w:gridCol w:w="1648"/>
        <w:gridCol w:w="1446"/>
        <w:gridCol w:w="1466"/>
        <w:gridCol w:w="801"/>
        <w:gridCol w:w="801"/>
        <w:gridCol w:w="1142"/>
      </w:tblGrid>
      <w:tr>
        <w:trPr/>
        <w:tc>
          <w:tcPr>
            <w:tcW w:w="1648"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83-1586636</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r>
        <w:trPr/>
        <w:tc>
          <w:tcPr>
            <w:tcW w:w="4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1650 Independence Drive, Suite 100</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Braunfels, Texas</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78132</w:t>
            </w:r>
          </w:p>
        </w:tc>
      </w:tr>
      <w:tr>
        <w:trPr/>
        <w:tc>
          <w:tcPr>
            <w:tcW w:w="4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2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(888) 400-8275</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756" w:type="dxa"/>
        <w:jc w:val="left"/>
        <w:tblInd w:w="0" w:type="dxa"/>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rPr/>
        <w:tc>
          <w:tcPr>
            <w:tcW w:w="1567"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spacing w:lineRule="auto" w:line="288" w:before="240" w:after="283"/>
        <w:ind w:left="0" w:right="0" w:firstLine="54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240" w:after="283"/>
        <w:ind w:left="0" w:right="0" w:firstLine="54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May 2, 2023, the number of shares outstanding of the registrant’s common stock was as follows: Class A common stock, par value $0.01 per share: 27,066,113; Class B common stock, par value $0.01 per share: 70,032,694.</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Quarterly Period Ended 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062" w:type="dxa"/>
        <w:jc w:val="left"/>
        <w:tblInd w:w="0" w:type="dxa"/>
        <w:tblCellMar>
          <w:top w:w="28" w:type="dxa"/>
          <w:left w:w="28" w:type="dxa"/>
          <w:bottom w:w="28" w:type="dxa"/>
          <w:right w:w="28" w:type="dxa"/>
        </w:tblCellMar>
      </w:tblPr>
      <w:tblGrid>
        <w:gridCol w:w="321"/>
        <w:gridCol w:w="281"/>
        <w:gridCol w:w="284"/>
        <w:gridCol w:w="2454"/>
        <w:gridCol w:w="2454"/>
        <w:gridCol w:w="2457"/>
        <w:gridCol w:w="237"/>
        <w:gridCol w:w="237"/>
        <w:gridCol w:w="337"/>
      </w:tblGrid>
      <w:tr>
        <w:trPr/>
        <w:tc>
          <w:tcPr>
            <w:tcW w:w="32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0">
              <w:r>
                <w:rPr>
                  <w:rStyle w:val="InternetLink"/>
                  <w:rFonts w:ascii="Times New Roman;sans-serif" w:hAnsi="Times New Roman;sans-serif"/>
                  <w:b w:val="false"/>
                  <w:color w:val="0000FF"/>
                  <w:sz w:val="20"/>
                  <w:u w:val="single"/>
                </w:rPr>
                <w:t>CAUTIONARY NOTE REGARDING FORWARD-LOOKING STATEMENTS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0">
              <w:r>
                <w:rPr>
                  <w:rStyle w:val="InternetLink"/>
                  <w:rFonts w:ascii="Times New Roman;sans-serif" w:hAnsi="Times New Roman;sans-serif"/>
                  <w:b w:val="false"/>
                  <w:strike w:val="false"/>
                  <w:dstrike w:val="false"/>
                  <w:color w:val="000000"/>
                  <w:sz w:val="20"/>
                  <w:u w:val="none"/>
                  <w:effect w:val="none"/>
                </w:rPr>
                <w:t>1</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3">
              <w:r>
                <w:rPr>
                  <w:rStyle w:val="InternetLink"/>
                  <w:rFonts w:ascii="Times New Roman;sans-serif" w:hAnsi="Times New Roman;sans-serif"/>
                  <w:b w:val="false"/>
                  <w:color w:val="0000FF"/>
                  <w:sz w:val="20"/>
                  <w:u w:val="single"/>
                </w:rPr>
                <w:t>WEBSITE AND SOCIAL MEDIA DISCLOSURE</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3">
              <w:r>
                <w:rPr>
                  <w:rStyle w:val="InternetLink"/>
                  <w:rFonts w:ascii="Times New Roman;sans-serif" w:hAnsi="Times New Roman;sans-serif"/>
                  <w:b w:val="false"/>
                  <w:strike w:val="false"/>
                  <w:dstrike w:val="false"/>
                  <w:color w:val="000000"/>
                  <w:sz w:val="20"/>
                  <w:u w:val="none"/>
                  <w:effect w:val="none"/>
                </w:rPr>
                <w:t>2</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6">
              <w:r>
                <w:rPr>
                  <w:rStyle w:val="InternetLink"/>
                  <w:rFonts w:ascii="Times New Roman;sans-serif" w:hAnsi="Times New Roman;sans-serif"/>
                  <w:b/>
                  <w:color w:val="000000"/>
                  <w:sz w:val="20"/>
                  <w:u w:val="single"/>
                </w:rPr>
                <w:t>PART I.</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6">
              <w:r>
                <w:rPr>
                  <w:rStyle w:val="InternetLink"/>
                  <w:rFonts w:ascii="Times New Roman;sans-serif" w:hAnsi="Times New Roman;sans-serif"/>
                  <w:b/>
                  <w:color w:val="0000FF"/>
                  <w:sz w:val="20"/>
                  <w:u w:val="single"/>
                </w:rPr>
                <w:t>FINANCIAL INFORMATION</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6">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9">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9">
              <w:r>
                <w:rPr>
                  <w:rStyle w:val="InternetLink"/>
                  <w:rFonts w:ascii="Times New Roman;sans-serif" w:hAnsi="Times New Roman;sans-serif"/>
                  <w:b w:val="false"/>
                  <w:color w:val="0000FF"/>
                  <w:sz w:val="20"/>
                  <w:u w:val="single"/>
                </w:rPr>
                <w:t>Financial Statements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9">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22">
              <w:r>
                <w:rPr>
                  <w:rStyle w:val="InternetLink"/>
                  <w:rFonts w:ascii="Times New Roman;sans-serif" w:hAnsi="Times New Roman;sans-serif"/>
                  <w:b w:val="false"/>
                  <w:color w:val="0000FF"/>
                  <w:sz w:val="20"/>
                  <w:u w:val="single"/>
                </w:rPr>
                <w:t>Unaudited Condensed Consolidated Balance Sheets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22">
              <w:r>
                <w:rPr>
                  <w:rStyle w:val="InternetLink"/>
                  <w:rFonts w:ascii="Times New Roman;sans-serif" w:hAnsi="Times New Roman;sans-serif"/>
                  <w:b w:val="false"/>
                  <w:strike w:val="false"/>
                  <w:dstrike w:val="false"/>
                  <w:color w:val="000000"/>
                  <w:sz w:val="20"/>
                  <w:u w:val="none"/>
                  <w:effect w:val="none"/>
                </w:rPr>
                <w:t>3</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25">
              <w:r>
                <w:rPr>
                  <w:rStyle w:val="InternetLink"/>
                  <w:rFonts w:ascii="Times New Roman;sans-serif" w:hAnsi="Times New Roman;sans-serif"/>
                  <w:b w:val="false"/>
                  <w:color w:val="0000FF"/>
                  <w:sz w:val="20"/>
                  <w:u w:val="single"/>
                </w:rPr>
                <w:t>Unaudited Condensed Consolidated Statements of Operations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25">
              <w:r>
                <w:rPr>
                  <w:rStyle w:val="InternetLink"/>
                  <w:rFonts w:ascii="Times New Roman;sans-serif" w:hAnsi="Times New Roman;sans-serif"/>
                  <w:b w:val="false"/>
                  <w:strike w:val="false"/>
                  <w:dstrike w:val="false"/>
                  <w:color w:val="000000"/>
                  <w:sz w:val="20"/>
                  <w:u w:val="none"/>
                  <w:effect w:val="none"/>
                </w:rPr>
                <w:t>4</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28">
              <w:r>
                <w:rPr>
                  <w:rStyle w:val="InternetLink"/>
                  <w:rFonts w:ascii="Times New Roman;sans-serif" w:hAnsi="Times New Roman;sans-serif"/>
                  <w:b w:val="false"/>
                  <w:color w:val="0000FF"/>
                  <w:sz w:val="20"/>
                  <w:u w:val="single"/>
                </w:rPr>
                <w:t>Unaudited Condensed Consolidated Statements of Comprehensive Income</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28">
              <w:r>
                <w:rPr>
                  <w:rStyle w:val="InternetLink"/>
                  <w:rFonts w:ascii="Times New Roman;sans-serif" w:hAnsi="Times New Roman;sans-serif"/>
                  <w:b w:val="false"/>
                  <w:strike w:val="false"/>
                  <w:dstrike w:val="false"/>
                  <w:color w:val="000000"/>
                  <w:sz w:val="20"/>
                  <w:u w:val="none"/>
                  <w:effect w:val="none"/>
                </w:rPr>
                <w:t>5</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31">
              <w:r>
                <w:rPr>
                  <w:rStyle w:val="InternetLink"/>
                  <w:rFonts w:ascii="Times New Roman;sans-serif" w:hAnsi="Times New Roman;sans-serif"/>
                  <w:b w:val="false"/>
                  <w:color w:val="0000FF"/>
                  <w:sz w:val="20"/>
                  <w:u w:val="single"/>
                </w:rPr>
                <w:t>Unaudited Condensed Consolidated Statements of Shareholders’ Equity</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31">
              <w:r>
                <w:rPr>
                  <w:rStyle w:val="InternetLink"/>
                  <w:rFonts w:ascii="Times New Roman;sans-serif" w:hAnsi="Times New Roman;sans-serif"/>
                  <w:b w:val="false"/>
                  <w:strike w:val="false"/>
                  <w:dstrike w:val="false"/>
                  <w:color w:val="000000"/>
                  <w:sz w:val="20"/>
                  <w:u w:val="none"/>
                  <w:effect w:val="none"/>
                </w:rPr>
                <w:t>6</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34">
              <w:r>
                <w:rPr>
                  <w:rStyle w:val="InternetLink"/>
                  <w:rFonts w:ascii="Times New Roman;sans-serif" w:hAnsi="Times New Roman;sans-serif"/>
                  <w:b w:val="false"/>
                  <w:color w:val="0000FF"/>
                  <w:sz w:val="20"/>
                  <w:u w:val="single"/>
                </w:rPr>
                <w:t>Unaudited Condensed Consolidated Statements of Cash Flows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34">
              <w:r>
                <w:rPr>
                  <w:rStyle w:val="InternetLink"/>
                  <w:rFonts w:ascii="Times New Roman;sans-serif" w:hAnsi="Times New Roman;sans-serif"/>
                  <w:b w:val="false"/>
                  <w:strike w:val="false"/>
                  <w:dstrike w:val="false"/>
                  <w:color w:val="000000"/>
                  <w:sz w:val="20"/>
                  <w:u w:val="none"/>
                  <w:effect w:val="none"/>
                </w:rPr>
                <w:t>7</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37">
              <w:r>
                <w:rPr>
                  <w:rStyle w:val="InternetLink"/>
                  <w:rFonts w:ascii="Times New Roman;sans-serif" w:hAnsi="Times New Roman;sans-serif"/>
                  <w:b w:val="false"/>
                  <w:color w:val="0000FF"/>
                  <w:sz w:val="20"/>
                  <w:u w:val="single"/>
                </w:rPr>
                <w:t>Notes to Unaudited Condensed Consolidated Financial Statements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37">
              <w:r>
                <w:rPr>
                  <w:rStyle w:val="InternetLink"/>
                  <w:rFonts w:ascii="Times New Roman;sans-serif" w:hAnsi="Times New Roman;sans-serif"/>
                  <w:b w:val="false"/>
                  <w:strike w:val="false"/>
                  <w:dstrike w:val="false"/>
                  <w:color w:val="000000"/>
                  <w:sz w:val="20"/>
                  <w:u w:val="none"/>
                  <w:effect w:val="none"/>
                </w:rPr>
                <w:t>8</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85">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85">
              <w:r>
                <w:rPr>
                  <w:rStyle w:val="InternetLink"/>
                  <w:rFonts w:ascii="Times New Roman;sans-serif" w:hAnsi="Times New Roman;sans-serif"/>
                  <w:b w:val="false"/>
                  <w:strike w:val="false"/>
                  <w:dstrike w:val="false"/>
                  <w:color w:val="000000"/>
                  <w:sz w:val="20"/>
                  <w:u w:val="none"/>
                  <w:effect w:val="none"/>
                </w:rPr>
                <w:t>17</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12">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12">
              <w:r>
                <w:rPr>
                  <w:rStyle w:val="InternetLink"/>
                  <w:rFonts w:ascii="Times New Roman;sans-serif" w:hAnsi="Times New Roman;sans-serif"/>
                  <w:b w:val="false"/>
                  <w:color w:val="0000FF"/>
                  <w:sz w:val="20"/>
                  <w:u w:val="single"/>
                </w:rPr>
                <w:t>Quantitative and Qualitative Disclosures About Market Risk</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12">
              <w:r>
                <w:rPr>
                  <w:rStyle w:val="InternetLink"/>
                  <w:rFonts w:ascii="Times New Roman;sans-serif" w:hAnsi="Times New Roman;sans-serif"/>
                  <w:b w:val="false"/>
                  <w:strike w:val="false"/>
                  <w:dstrike w:val="false"/>
                  <w:color w:val="000000"/>
                  <w:sz w:val="20"/>
                  <w:u w:val="none"/>
                  <w:effect w:val="none"/>
                </w:rPr>
                <w:t>26</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15">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15">
              <w:r>
                <w:rPr>
                  <w:rStyle w:val="InternetLink"/>
                  <w:rFonts w:ascii="Times New Roman;sans-serif" w:hAnsi="Times New Roman;sans-serif"/>
                  <w:b w:val="false"/>
                  <w:color w:val="0000FF"/>
                  <w:sz w:val="20"/>
                  <w:u w:val="single"/>
                </w:rPr>
                <w:t>Controls and Procedures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15">
              <w:r>
                <w:rPr>
                  <w:rStyle w:val="InternetLink"/>
                  <w:rFonts w:ascii="Times New Roman;sans-serif" w:hAnsi="Times New Roman;sans-serif"/>
                  <w:b w:val="false"/>
                  <w:strike w:val="false"/>
                  <w:dstrike w:val="false"/>
                  <w:color w:val="000000"/>
                  <w:sz w:val="20"/>
                  <w:u w:val="none"/>
                  <w:effect w:val="none"/>
                </w:rPr>
                <w:t>27</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18">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18">
              <w:r>
                <w:rPr>
                  <w:rStyle w:val="InternetLink"/>
                  <w:rFonts w:ascii="Times New Roman;sans-serif" w:hAnsi="Times New Roman;sans-serif"/>
                  <w:b/>
                  <w:color w:val="0000FF"/>
                  <w:sz w:val="20"/>
                  <w:u w:val="single"/>
                </w:rPr>
                <w:t>OTHER INFORMATION</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18">
              <w:r>
                <w:rPr>
                  <w:rStyle w:val="InternetLink"/>
                  <w:rFonts w:ascii="Times New Roman;sans-serif" w:hAnsi="Times New Roman;sans-serif"/>
                  <w:b w:val="false"/>
                  <w:strike w:val="false"/>
                  <w:dstrike w:val="false"/>
                  <w:color w:val="000000"/>
                  <w:sz w:val="20"/>
                  <w:u w:val="none"/>
                  <w:effect w:val="none"/>
                </w:rPr>
                <w:t>28</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21">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21">
              <w:r>
                <w:rPr>
                  <w:rStyle w:val="InternetLink"/>
                  <w:rFonts w:ascii="Times New Roman;sans-serif" w:hAnsi="Times New Roman;sans-serif"/>
                  <w:b w:val="false"/>
                  <w:color w:val="0000FF"/>
                  <w:sz w:val="20"/>
                  <w:u w:val="single"/>
                </w:rPr>
                <w:t>Legal Proceedings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21">
              <w:r>
                <w:rPr>
                  <w:rStyle w:val="InternetLink"/>
                  <w:rFonts w:ascii="Times New Roman;sans-serif" w:hAnsi="Times New Roman;sans-serif"/>
                  <w:b w:val="false"/>
                  <w:strike w:val="false"/>
                  <w:dstrike w:val="false"/>
                  <w:color w:val="000000"/>
                  <w:sz w:val="20"/>
                  <w:u w:val="none"/>
                  <w:effect w:val="none"/>
                </w:rPr>
                <w:t>28</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24">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24">
              <w:r>
                <w:rPr>
                  <w:rStyle w:val="InternetLink"/>
                  <w:rFonts w:ascii="Times New Roman;sans-serif" w:hAnsi="Times New Roman;sans-serif"/>
                  <w:b w:val="false"/>
                  <w:color w:val="0000FF"/>
                  <w:sz w:val="20"/>
                  <w:u w:val="single"/>
                </w:rPr>
                <w:t>Risk Factors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24">
              <w:r>
                <w:rPr>
                  <w:rStyle w:val="InternetLink"/>
                  <w:rFonts w:ascii="Times New Roman;sans-serif" w:hAnsi="Times New Roman;sans-serif"/>
                  <w:b w:val="false"/>
                  <w:strike w:val="false"/>
                  <w:dstrike w:val="false"/>
                  <w:color w:val="000000"/>
                  <w:sz w:val="20"/>
                  <w:u w:val="none"/>
                  <w:effect w:val="none"/>
                </w:rPr>
                <w:t>28</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27">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27">
              <w:r>
                <w:rPr>
                  <w:rStyle w:val="InternetLink"/>
                  <w:rFonts w:ascii="Times New Roman;sans-serif" w:hAnsi="Times New Roman;sans-serif"/>
                  <w:b w:val="false"/>
                  <w:color w:val="0000FF"/>
                  <w:sz w:val="20"/>
                  <w:u w:val="single"/>
                </w:rPr>
                <w:t>Unregistered Sales of Equity Securities and Use of Proceeds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27">
              <w:r>
                <w:rPr>
                  <w:rStyle w:val="InternetLink"/>
                  <w:rFonts w:ascii="Times New Roman;sans-serif" w:hAnsi="Times New Roman;sans-serif"/>
                  <w:b w:val="false"/>
                  <w:strike w:val="false"/>
                  <w:dstrike w:val="false"/>
                  <w:color w:val="000000"/>
                  <w:sz w:val="20"/>
                  <w:u w:val="none"/>
                  <w:effect w:val="none"/>
                </w:rPr>
                <w:t>28</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30">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30">
              <w:r>
                <w:rPr>
                  <w:rStyle w:val="InternetLink"/>
                  <w:rFonts w:ascii="Times New Roman;sans-serif" w:hAnsi="Times New Roman;sans-serif"/>
                  <w:b w:val="false"/>
                  <w:color w:val="0000FF"/>
                  <w:sz w:val="20"/>
                  <w:u w:val="single"/>
                </w:rPr>
                <w:t>Defaults Upon Senior Securities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30">
              <w:r>
                <w:rPr>
                  <w:rStyle w:val="InternetLink"/>
                  <w:rFonts w:ascii="Times New Roman;sans-serif" w:hAnsi="Times New Roman;sans-serif"/>
                  <w:b w:val="false"/>
                  <w:strike w:val="false"/>
                  <w:dstrike w:val="false"/>
                  <w:color w:val="000000"/>
                  <w:sz w:val="20"/>
                  <w:u w:val="none"/>
                  <w:effect w:val="none"/>
                </w:rPr>
                <w:t>28</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33">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33">
              <w:r>
                <w:rPr>
                  <w:rStyle w:val="InternetLink"/>
                  <w:rFonts w:ascii="Times New Roman;sans-serif" w:hAnsi="Times New Roman;sans-serif"/>
                  <w:b w:val="false"/>
                  <w:color w:val="0000FF"/>
                  <w:sz w:val="20"/>
                  <w:u w:val="single"/>
                </w:rPr>
                <w:t>Mine Safety Disclosures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33">
              <w:r>
                <w:rPr>
                  <w:rStyle w:val="InternetLink"/>
                  <w:rFonts w:ascii="Times New Roman;sans-serif" w:hAnsi="Times New Roman;sans-serif"/>
                  <w:b w:val="false"/>
                  <w:strike w:val="false"/>
                  <w:dstrike w:val="false"/>
                  <w:color w:val="000000"/>
                  <w:sz w:val="20"/>
                  <w:u w:val="none"/>
                  <w:effect w:val="none"/>
                </w:rPr>
                <w:t>28</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36">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36">
              <w:r>
                <w:rPr>
                  <w:rStyle w:val="InternetLink"/>
                  <w:rFonts w:ascii="Times New Roman;sans-serif" w:hAnsi="Times New Roman;sans-serif"/>
                  <w:b w:val="false"/>
                  <w:color w:val="0000FF"/>
                  <w:sz w:val="20"/>
                  <w:u w:val="single"/>
                </w:rPr>
                <w:t>Other Information</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36">
              <w:r>
                <w:rPr>
                  <w:rStyle w:val="InternetLink"/>
                  <w:rFonts w:ascii="Times New Roman;sans-serif" w:hAnsi="Times New Roman;sans-serif"/>
                  <w:b w:val="false"/>
                  <w:strike w:val="false"/>
                  <w:dstrike w:val="false"/>
                  <w:color w:val="000000"/>
                  <w:sz w:val="20"/>
                  <w:u w:val="none"/>
                  <w:effect w:val="none"/>
                </w:rPr>
                <w:t>28</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39">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39">
              <w:r>
                <w:rPr>
                  <w:rStyle w:val="InternetLink"/>
                  <w:rFonts w:ascii="Times New Roman;sans-serif" w:hAnsi="Times New Roman;sans-serif"/>
                  <w:b w:val="false"/>
                  <w:color w:val="0000FF"/>
                  <w:sz w:val="20"/>
                  <w:u w:val="single"/>
                </w:rPr>
                <w:t>Exhibits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39">
              <w:r>
                <w:rPr>
                  <w:rStyle w:val="InternetLink"/>
                  <w:rFonts w:ascii="Times New Roman;sans-serif" w:hAnsi="Times New Roman;sans-serif"/>
                  <w:b w:val="false"/>
                  <w:strike w:val="false"/>
                  <w:dstrike w:val="false"/>
                  <w:color w:val="000000"/>
                  <w:sz w:val="20"/>
                  <w:u w:val="none"/>
                  <w:effect w:val="none"/>
                </w:rPr>
                <w:t>29</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b37b879bb48407580430c484c8538cd_142">
              <w:r>
                <w:rPr>
                  <w:rStyle w:val="InternetLink"/>
                  <w:rFonts w:ascii="Times New Roman;sans-serif" w:hAnsi="Times New Roman;sans-serif"/>
                  <w:b w:val="false"/>
                  <w:color w:val="0000FF"/>
                  <w:sz w:val="20"/>
                  <w:u w:val="single"/>
                </w:rPr>
                <w:t>Signatures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b37b879bb48407580430c484c8538cd_142">
              <w:r>
                <w:rPr>
                  <w:rStyle w:val="InternetLink"/>
                  <w:rFonts w:ascii="Times New Roman;sans-serif" w:hAnsi="Times New Roman;sans-serif"/>
                  <w:b w:val="false"/>
                  <w:strike w:val="false"/>
                  <w:dstrike w:val="false"/>
                  <w:color w:val="000000"/>
                  <w:sz w:val="20"/>
                  <w:u w:val="none"/>
                  <w:effect w:val="none"/>
                </w:rPr>
                <w:t>30</w:t>
              </w:r>
            </w:hyperlink>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“Quarterly Report”) contains forward-looking statements within the meaning of the Private Securities Litigation Reform Act of 1995,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pStyle w:val="TextBody"/>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under Part I, Item 1A, “Risk Factors” in our Annual Report on Form 10-K for the year ended December 31, 2022 (our “Annual Report”) as filed with the Securities and Exchange Commission (the “SEC”), as such risk factors may be updated from time to time in our periodic filings with the SEC, which are accessible on the SEC’s website at www.sec.gov. Such risks and uncertainties include, but are not limited to, the following:</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dependent on key clients, and the loss of a key client could have an adverse effect on our business and results of operations.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Our clients may terminate contracts before completion or choose not to renew contracts and a loss of business or non-payment from clients could materially affect our results of operations. </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fail to cost-effectively acquire and retain new clients, which would adversely affect our business, financial condition and results of operations.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 </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Trust and Safety, including content monitoring and moderation services, is a large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and results of operations.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Global economic and political conditions, especially in the social media and meal delivery and transport industries from which we generate significant revenue, could adversely affect our business, results of operations, financial condition and prospects.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heavily dependent upon our international operations, particularly in the Philippines and India, and any disruption to those operations would adversely affect us.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is subject to a variety of U.S. federal and state, as well as international laws and regulations, including those regarding data privacy and security, and we or our clients may be subject to regulations related to the processing of certain types of sensitive and confidential information. Any failure to comply with applicable data privacy and security laws and regulations could harm our business, results of operations and financial condition.</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prospects will suffer if we are unable to continue to anticipate our clients’ needs by adapting to market and technology trends, investing in technology as it develops, and adapting our services and solutions to changes in technology and client expectations.     </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Fluctuations against the U.S. dollar in the local currencies in the countries in which we operate could have a material effect on our results of operations. </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depends on a strong brand and corporate reputation, and if we are not able to maintain and enhance our brand, our ability to expand our client base will be impaired and our business and operating results will be adversely affected.</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Pricing pressure may reduce our revenue or gross profits and adversely affect our financial results.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The success of our business depends on our senior management and key employees.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The COVID-19 pandemic, including the resulting global economic uncertainty and measures taken in response to the pandemic, has adversely impacted our business, financial condition and results of operations.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Increases in employee expenses as well as changes to labor laws could reduce our profit margin.</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business relies heavily on owned and third-party technology and computer systems, which subjects us to various uncertainties.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profitability will suffer if we are not able to maintain asset utilization levels, price appropriately and control our costs.</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Our Sponsor and our Co-Founders control us and their interests may conflict with ours or yours in the future.</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w:t>
      </w:r>
    </w:p>
    <w:p>
      <w:pPr>
        <w:pStyle w:val="TextBody"/>
        <w:spacing w:lineRule="auto" w:line="288" w:before="120" w:after="283"/>
        <w:ind w:left="0" w:right="0" w:hanging="540"/>
        <w:jc w:val="both"/>
        <w:rPr/>
      </w:pPr>
      <w:r>
        <w:rPr>
          <w:color w:val="000000"/>
        </w:rPr>
        <w:t>•</w:t>
      </w:r>
      <w:r>
        <w:rPr>
          <w:rFonts w:ascii="Times New Roman;sans-serif" w:hAnsi="Times New Roman;sans-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WEBSITE AND SOCIAL MEDIA DISCLOSURE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and our social media outlets, such as Facebook, Instagram, LinkedIn, TikTok, YouTube, and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TikTok page at tiktok.com/@taskusinc, its YouTube account at youtube.com/c/Taskus/, and its Twitter account at twitter.com/taskus.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Quarterly Report.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539" w:type="dxa"/>
        <w:jc w:val="left"/>
        <w:tblInd w:w="0" w:type="dxa"/>
        <w:tblCellMar>
          <w:top w:w="28" w:type="dxa"/>
          <w:left w:w="28" w:type="dxa"/>
          <w:bottom w:w="28" w:type="dxa"/>
          <w:right w:w="28" w:type="dxa"/>
        </w:tblCellMar>
      </w:tblPr>
      <w:tblGrid>
        <w:gridCol w:w="3045"/>
        <w:gridCol w:w="2503"/>
        <w:gridCol w:w="2504"/>
        <w:gridCol w:w="196"/>
        <w:gridCol w:w="736"/>
        <w:gridCol w:w="109"/>
        <w:gridCol w:w="109"/>
        <w:gridCol w:w="109"/>
        <w:gridCol w:w="109"/>
        <w:gridCol w:w="201"/>
        <w:gridCol w:w="757"/>
        <w:gridCol w:w="161"/>
      </w:tblGrid>
      <w:tr>
        <w:trPr/>
        <w:tc>
          <w:tcPr>
            <w:tcW w:w="3045"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rPr>
                <w:sz w:val="4"/>
                <w:szCs w:val="4"/>
              </w:rPr>
            </w:pPr>
            <w:r>
              <w:rPr>
                <w:sz w:val="4"/>
                <w:szCs w:val="4"/>
              </w:rPr>
            </w:r>
          </w:p>
        </w:tc>
        <w:tc>
          <w:tcPr>
            <w:tcW w:w="250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8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133,992 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doubtful accounts of $3,422 and $3,422,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178,678 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r>
      <w:tr>
        <w:trPr/>
        <w:tc>
          <w:tcPr>
            <w:tcW w:w="8052"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75,053 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41,510 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212,993 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217,382 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560,590 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902,015 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37,062 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48,663 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income tax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264,225 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32,380 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payroll and employee-related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34,514 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336,518 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446,402 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(See Note 10)</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Authorized 2,500,000,000; 29,489,895 issued and 27,450,163 outstanding and 29,257,651 issued and 27,607,720 outstanding,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B convertible common stock, $0.01 par value. Authorized 250,000,000; 70,032,694 and 70,032,694 shares issued and outstanding,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631,908 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(135,674)</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(10,647)</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with 2,039,732 and 1,649,931 shares,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902,015 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8345" w:type="dxa"/>
        <w:jc w:val="left"/>
        <w:tblInd w:w="0" w:type="dxa"/>
        <w:tblCellMar>
          <w:top w:w="28" w:type="dxa"/>
          <w:left w:w="28" w:type="dxa"/>
          <w:bottom w:w="28" w:type="dxa"/>
          <w:right w:w="28" w:type="dxa"/>
        </w:tblCellMar>
      </w:tblPr>
      <w:tblGrid>
        <w:gridCol w:w="1537"/>
        <w:gridCol w:w="1349"/>
        <w:gridCol w:w="1358"/>
        <w:gridCol w:w="109"/>
        <w:gridCol w:w="109"/>
        <w:gridCol w:w="173"/>
        <w:gridCol w:w="173"/>
        <w:gridCol w:w="173"/>
        <w:gridCol w:w="173"/>
        <w:gridCol w:w="312"/>
        <w:gridCol w:w="1174"/>
        <w:gridCol w:w="173"/>
        <w:gridCol w:w="109"/>
        <w:gridCol w:w="109"/>
        <w:gridCol w:w="109"/>
        <w:gridCol w:w="220"/>
        <w:gridCol w:w="831"/>
        <w:gridCol w:w="154"/>
      </w:tblGrid>
      <w:tr>
        <w:trPr/>
        <w:tc>
          <w:tcPr>
            <w:tcW w:w="1537"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32" w:type="dxa"/>
            <w:gridSpan w:val="6"/>
            <w:tcBorders/>
            <w:shd w:fill="auto" w:val="clea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137,762 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64,294 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9,661 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vAlign w:val="center"/>
          </w:tcPr>
          <w:p>
            <w:pPr>
              <w:pStyle w:val="TableContents"/>
              <w:spacing w:before="0" w:after="283"/>
              <w:rPr>
                <w:sz w:val="4"/>
                <w:szCs w:val="4"/>
              </w:rPr>
            </w:pPr>
            <w:r>
              <w:rPr>
                <w:sz w:val="4"/>
                <w:szCs w:val="4"/>
              </w:rPr>
            </w:r>
          </w:p>
        </w:tc>
        <w:tc>
          <w:tcPr>
            <w:tcW w:w="16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216,906 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97,561,650 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97,481,412 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100,952,573 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104,122,026 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Comprehensive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6894" w:type="dxa"/>
        <w:jc w:val="left"/>
        <w:tblInd w:w="0" w:type="dxa"/>
        <w:tblCellMar>
          <w:top w:w="28" w:type="dxa"/>
          <w:left w:w="28" w:type="dxa"/>
          <w:bottom w:w="28" w:type="dxa"/>
          <w:right w:w="28" w:type="dxa"/>
        </w:tblCellMar>
      </w:tblPr>
      <w:tblGrid>
        <w:gridCol w:w="1084"/>
        <w:gridCol w:w="955"/>
        <w:gridCol w:w="961"/>
        <w:gridCol w:w="109"/>
        <w:gridCol w:w="109"/>
        <w:gridCol w:w="219"/>
        <w:gridCol w:w="219"/>
        <w:gridCol w:w="395"/>
        <w:gridCol w:w="1301"/>
        <w:gridCol w:w="219"/>
        <w:gridCol w:w="109"/>
        <w:gridCol w:w="109"/>
        <w:gridCol w:w="109"/>
        <w:gridCol w:w="196"/>
        <w:gridCol w:w="646"/>
        <w:gridCol w:w="154"/>
      </w:tblGrid>
      <w:tr>
        <w:trPr/>
        <w:tc>
          <w:tcPr>
            <w:tcW w:w="108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23" w:type="dxa"/>
            <w:gridSpan w:val="6"/>
            <w:tcBorders/>
            <w:shd w:fill="auto" w:val="clea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benefit reserves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Shareholders’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3573" w:type="dxa"/>
        <w:jc w:val="center"/>
        <w:tblInd w:w="0" w:type="dxa"/>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62"/>
        <w:gridCol w:w="763"/>
        <w:gridCol w:w="146"/>
        <w:gridCol w:w="109"/>
        <w:gridCol w:w="109"/>
        <w:gridCol w:w="109"/>
        <w:gridCol w:w="203"/>
        <w:gridCol w:w="203"/>
        <w:gridCol w:w="196"/>
        <w:gridCol w:w="109"/>
        <w:gridCol w:w="109"/>
        <w:gridCol w:w="109"/>
        <w:gridCol w:w="196"/>
        <w:gridCol w:w="406"/>
        <w:gridCol w:w="109"/>
        <w:gridCol w:w="109"/>
        <w:gridCol w:w="109"/>
        <w:gridCol w:w="109"/>
        <w:gridCol w:w="203"/>
        <w:gridCol w:w="763"/>
        <w:gridCol w:w="160"/>
      </w:tblGrid>
      <w:tr>
        <w:trPr/>
        <w:tc>
          <w:tcPr>
            <w:tcW w:w="75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27,431,264 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379,134 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137,794 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(45,389)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19,605 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11,586 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2022</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27,523,669 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(3,919)</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407,100 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bl>
    <w:tbl>
      <w:tblPr>
        <w:tblW w:w="14293" w:type="dxa"/>
        <w:jc w:val="center"/>
        <w:tblInd w:w="0" w:type="dxa"/>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37"/>
        <w:gridCol w:w="801"/>
        <w:gridCol w:w="133"/>
        <w:gridCol w:w="109"/>
        <w:gridCol w:w="109"/>
        <w:gridCol w:w="109"/>
        <w:gridCol w:w="435"/>
        <w:gridCol w:w="436"/>
        <w:gridCol w:w="196"/>
        <w:gridCol w:w="109"/>
        <w:gridCol w:w="109"/>
        <w:gridCol w:w="109"/>
        <w:gridCol w:w="196"/>
        <w:gridCol w:w="661"/>
        <w:gridCol w:w="109"/>
        <w:gridCol w:w="109"/>
        <w:gridCol w:w="109"/>
        <w:gridCol w:w="109"/>
        <w:gridCol w:w="203"/>
        <w:gridCol w:w="763"/>
        <w:gridCol w:w="160"/>
      </w:tblGrid>
      <w:tr>
        <w:trPr/>
        <w:tc>
          <w:tcPr>
            <w:tcW w:w="75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stock and 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convertible 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29,257,651 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1,649,931 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246,537 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389,801 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(6,374)</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13,464 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9,509 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29,489,895 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(7,056)</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2,039,732 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475,755 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color w:val="000000"/>
        </w:rPr>
      </w:pPr>
      <w:r>
        <w:rPr>
          <w:color w:val="000000"/>
        </w:rPr>
        <w:t>    </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8186" w:type="dxa"/>
        <w:jc w:val="center"/>
        <w:tblInd w:w="0" w:type="dxa"/>
        <w:tblCellMar>
          <w:top w:w="28" w:type="dxa"/>
          <w:left w:w="28" w:type="dxa"/>
          <w:bottom w:w="28" w:type="dxa"/>
          <w:right w:w="28" w:type="dxa"/>
        </w:tblCellMar>
      </w:tblPr>
      <w:tblGrid>
        <w:gridCol w:w="2097"/>
        <w:gridCol w:w="1839"/>
        <w:gridCol w:w="1853"/>
        <w:gridCol w:w="199"/>
        <w:gridCol w:w="747"/>
        <w:gridCol w:w="110"/>
        <w:gridCol w:w="110"/>
        <w:gridCol w:w="110"/>
        <w:gridCol w:w="110"/>
        <w:gridCol w:w="199"/>
        <w:gridCol w:w="656"/>
        <w:gridCol w:w="156"/>
      </w:tblGrid>
      <w:tr>
        <w:trPr/>
        <w:tc>
          <w:tcPr>
            <w:tcW w:w="2097"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financing fees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losses on accounts receivable</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foreign exchange losses (gains) on forward contracts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employee-related liabilities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(5,244)</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loan receivable</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plans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stock repurchases</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cash and cash equivalents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w:t>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133,992 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63,584 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167,011 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77,074 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TASKUS,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1. Description of Business and Organization</w:t>
      </w:r>
    </w:p>
    <w:p>
      <w:pPr>
        <w:pStyle w:val="TextBody"/>
        <w:spacing w:lineRule="auto" w:line="288" w:before="120" w:after="283"/>
        <w:ind w:left="0" w:right="0" w:firstLine="540"/>
        <w:jc w:val="both"/>
        <w:rPr/>
      </w:pPr>
      <w:r>
        <w:rPr>
          <w:rFonts w:ascii="Times New Roman;sans-serif" w:hAnsi="Times New Roman;sans-serif"/>
          <w:b w:val="false"/>
          <w:color w:val="000000"/>
          <w:sz w:val="20"/>
          <w:highlight w:val="white"/>
        </w:rPr>
        <w:t>TaskUs, Inc.</w:t>
      </w:r>
      <w:r>
        <w:rPr>
          <w:color w:val="000000"/>
        </w:rPr>
        <w:t xml:space="preserve"> </w:t>
      </w:r>
      <w:r>
        <w:rPr>
          <w:rFonts w:ascii="Times New Roman;sans-serif" w:hAnsi="Times New Roman;sans-serif"/>
          <w:b w:val="false"/>
          <w:color w:val="000000"/>
          <w:sz w:val="20"/>
        </w:rPr>
        <w:t>(formerly known as TU TopCo, Inc.) (“TaskUs” and, together with its subsidiaries, the “Company,” “we,” “us” or “our”) was formed by investment funds affiliated with Blackstone Inc. (“Blackstone”) as a vehicle for the acquisition of TaskUs Holdings, Inc. (formerly known as TaskUs,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is a provider of outsourced digital services and next-generation customer experience to the world’s most innovative companies, helping its clients represent, protect and grow their brands. The Company’s global, omni-channel delivery model is focused on providing its clients three key services - Digital Customer Experience, Trust and Safety and Artificial Intelligence (“AI”) Services. The Company has designed its platform to enable it to rapidly scale and benefit from its clients’ growth. Through its agile and responsive operational model, the Company delivers services from multiple delivery sites that span globally from the United States, Philippines, India and other parts of the world.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service offerings are described in more detail below:</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Digital Customer Experience</w:t>
      </w:r>
      <w:r>
        <w:rPr>
          <w:rFonts w:ascii="Times New Roman;sans-serif" w:hAnsi="Times New Roman;sans-serif"/>
          <w:b w:val="false"/>
          <w:color w:val="000000"/>
          <w:sz w:val="20"/>
        </w:rPr>
        <w:t>: Principally consists of omni-channel customer care services, primarily delivered through digital (non-voice) channels.</w:t>
      </w:r>
    </w:p>
    <w:p>
      <w:pPr>
        <w:pStyle w:val="TextBody"/>
        <w:spacing w:lineRule="auto" w:line="288" w:before="120" w:after="283"/>
        <w:ind w:left="0" w:right="0" w:hanging="360"/>
        <w:jc w:val="both"/>
        <w:rPr/>
      </w:pPr>
      <w:r>
        <w:rPr>
          <w:color w:val="000000"/>
          <w:highlight w:val="white"/>
        </w:rPr>
        <w:t>•</w:t>
      </w:r>
      <w:r>
        <w:rPr>
          <w:rFonts w:ascii="Times New Roman;sans-serif" w:hAnsi="Times New Roman;sans-serif"/>
          <w:b w:val="false"/>
          <w:i/>
          <w:color w:val="000000"/>
          <w:sz w:val="20"/>
        </w:rPr>
        <w:t>Trust and Safety</w:t>
      </w:r>
      <w:r>
        <w:rPr>
          <w:rFonts w:ascii="Times New Roman;sans-serif" w:hAnsi="Times New Roman;sans-serif"/>
          <w:b w:val="false"/>
          <w:color w:val="000000"/>
          <w:sz w:val="20"/>
        </w:rPr>
        <w:t>: Principally consists of review and disposition of user and advertiser generated visual, text and audio content for purposes which include removal or labeling of policy violating, offensive or misleading content. Also included in this area are our offerings for risk management, compliance, identity management and fraud.</w:t>
      </w:r>
    </w:p>
    <w:p>
      <w:pPr>
        <w:pStyle w:val="TextBody"/>
        <w:spacing w:lineRule="auto" w:line="288" w:before="120" w:after="283"/>
        <w:ind w:left="0" w:right="0" w:hanging="360"/>
        <w:jc w:val="both"/>
        <w:rPr/>
      </w:pPr>
      <w:r>
        <w:rPr>
          <w:color w:val="000000"/>
        </w:rPr>
        <w:t>•</w:t>
      </w:r>
      <w:r>
        <w:rPr>
          <w:rFonts w:ascii="Times New Roman;sans-serif" w:hAnsi="Times New Roman;sans-serif"/>
          <w:b w:val="false"/>
          <w:i/>
          <w:color w:val="000000"/>
          <w:sz w:val="20"/>
        </w:rPr>
        <w:t>AI Services</w:t>
      </w:r>
      <w:r>
        <w:rPr>
          <w:rFonts w:ascii="Times New Roman;sans-serif" w:hAnsi="Times New Roman;sans-serif"/>
          <w:b w:val="false"/>
          <w:color w:val="000000"/>
          <w:sz w:val="20"/>
        </w:rPr>
        <w:t>: Principally consists of high-quality data labeling services, annotation, context relevance and transcription services performed for the purpose of training and tuning machine learning algorithms, enabling them to develop cutting-edge AI systems.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(a) Basis of Presentation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and reporting policies of the Company are in accordance with accounting principles generally accepted in the United States of America (“US GAAP”). Our Annual Report on Form 10-K for the year ended December 31, 2022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2022 included in the Annual Report. In the opinion of the Company, the accompanying unaudited condensed consolidated financial statements contain all adjustments, consisting of only normal recurring adjustments, necessary for a fair statement of its financial position as of March 31, 2023 and its results of operations, comprehensive income and shareholders’ equity for the three months ended March 31, 2023 and 2022, and cash flows for the three months ended March 31, 2023 and 2022. The condensed consolidated balance sheet as of December 31, 2022, was derived from audited annual financial statements but does not contain all of the footnote disclosures from the annual financial statements.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made certain reclassifications to prior period consolidated financial statements to conform to current period presentation. India, which was previously included in Rest of World, is now reported separately within revenue disaggregation by geographical location. Other receivables, Prepaid expenses and Other current assets have been combined into Prepaid expenses and other current assets.</w:t>
      </w:r>
    </w:p>
    <w:p>
      <w:pPr>
        <w:pStyle w:val="TextBody"/>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(b) Use of Estimates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jc w:val="both"/>
        <w:rPr/>
      </w:pPr>
      <w:r>
        <w:rPr>
          <w:rFonts w:ascii="Times New Roman;sans-serif" w:hAnsi="Times New Roman;sans-serif"/>
          <w:b w:val="false"/>
          <w:color w:val="000000"/>
          <w:sz w:val="20"/>
        </w:rPr>
        <w:t xml:space="preserve">reporting period. Actual results could differ from those estimates. Significant items subject to such estimates and assumptions include: the determination of useful lives and impairment of fixed assets; allowances for doubtful accounts and other receivables; the valuation of deferred tax assets; the measurement of lease liabilities and right-of-use assets; valuation of forward contracts; valuation of stock-based compensation; </w:t>
      </w:r>
      <w:r>
        <w:rPr>
          <w:rFonts w:ascii="Times New Roman;sans-serif" w:hAnsi="Times New Roman;sans-serif"/>
          <w:b w:val="false"/>
          <w:color w:val="000000"/>
          <w:sz w:val="20"/>
          <w:highlight w:val="white"/>
        </w:rPr>
        <w:t>valuation of acquired intangible assets and goodwill, as well as related impairment assessments; and reserves for income tax uncertainties and other contingencies.</w:t>
      </w:r>
      <w:r>
        <w:rPr>
          <w:color w:val="000000"/>
        </w:rPr>
        <w:t xml:space="preserve"> </w:t>
      </w:r>
    </w:p>
    <w:p>
      <w:pPr>
        <w:pStyle w:val="TextBody"/>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 Principles of Consolidation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TextBody"/>
        <w:spacing w:lineRule="auto" w:line="28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(d) Concentration Risk</w:t>
      </w:r>
    </w:p>
    <w:p>
      <w:pPr>
        <w:pStyle w:val="TextBody"/>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Company’s customers are located in the United States. Customers outside of the United States are concentrated in Europe.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following customers represented greater than 10% of the Company’s service revenue:</w:t>
      </w:r>
    </w:p>
    <w:tbl>
      <w:tblPr>
        <w:tblW w:w="4041" w:type="dxa"/>
        <w:jc w:val="center"/>
        <w:tblInd w:w="0" w:type="dxa"/>
        <w:tblCellMar>
          <w:top w:w="28" w:type="dxa"/>
          <w:left w:w="28" w:type="dxa"/>
          <w:bottom w:w="28" w:type="dxa"/>
          <w:right w:w="28" w:type="dxa"/>
        </w:tblCellMar>
      </w:tblPr>
      <w:tblGrid>
        <w:gridCol w:w="201"/>
        <w:gridCol w:w="177"/>
        <w:gridCol w:w="178"/>
        <w:gridCol w:w="109"/>
        <w:gridCol w:w="109"/>
        <w:gridCol w:w="109"/>
        <w:gridCol w:w="275"/>
        <w:gridCol w:w="275"/>
        <w:gridCol w:w="649"/>
        <w:gridCol w:w="201"/>
        <w:gridCol w:w="201"/>
        <w:gridCol w:w="201"/>
        <w:gridCol w:w="201"/>
        <w:gridCol w:w="201"/>
        <w:gridCol w:w="473"/>
        <w:gridCol w:w="109"/>
        <w:gridCol w:w="109"/>
        <w:gridCol w:w="109"/>
        <w:gridCol w:w="154"/>
      </w:tblGrid>
      <w:tr>
        <w:trPr/>
        <w:tc>
          <w:tcPr>
            <w:tcW w:w="2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7"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Service revenue percentage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Less than 10 %</w:t>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following clients represented greater than 10% of the Company’s accounts receivable:</w:t>
      </w:r>
    </w:p>
    <w:tbl>
      <w:tblPr>
        <w:tblW w:w="4287" w:type="dxa"/>
        <w:jc w:val="center"/>
        <w:tblInd w:w="0" w:type="dxa"/>
        <w:tblCellMar>
          <w:top w:w="28" w:type="dxa"/>
          <w:left w:w="28" w:type="dxa"/>
          <w:bottom w:w="28" w:type="dxa"/>
          <w:right w:w="28" w:type="dxa"/>
        </w:tblCellMar>
      </w:tblPr>
      <w:tblGrid>
        <w:gridCol w:w="201"/>
        <w:gridCol w:w="177"/>
        <w:gridCol w:w="178"/>
        <w:gridCol w:w="109"/>
        <w:gridCol w:w="109"/>
        <w:gridCol w:w="109"/>
        <w:gridCol w:w="289"/>
        <w:gridCol w:w="289"/>
        <w:gridCol w:w="681"/>
        <w:gridCol w:w="200"/>
        <w:gridCol w:w="200"/>
        <w:gridCol w:w="200"/>
        <w:gridCol w:w="322"/>
        <w:gridCol w:w="322"/>
        <w:gridCol w:w="901"/>
      </w:tblGrid>
      <w:tr>
        <w:trPr/>
        <w:tc>
          <w:tcPr>
            <w:tcW w:w="201"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r>
      <w:tr>
        <w:trPr/>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 percentage</w:t>
            </w:r>
          </w:p>
        </w:tc>
      </w:tr>
      <w:tr>
        <w:trPr/>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Client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6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600"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operations, including the majority of its employees and the fixed assets owned by its wholly owned subsidiaries, are located in the Philippines.</w:t>
      </w:r>
    </w:p>
    <w:p>
      <w:pPr>
        <w:pStyle w:val="TextBody"/>
        <w:spacing w:lineRule="auto" w:line="268" w:before="12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(e) Recent Accounting Pronouncements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pStyle w:val="TextBody"/>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June 2016, the Financial Accounting Standards Board ("FASB") issued Accounting Standards Update ("ASU") 2016-13, Financial Instruments—Credit Losses (Topic 326): Measurement of Credit Losses on Financial Instruments ("ASU 2016-13").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The company adopted this standard as of January 1, 2023. The adoption of ASU 2016-13 did not have a material impact on the Company’s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3. Business Combination</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15, 2022 (the “Closing Date”), the Company completed the acquisition of 100% of the equity interests of Parsec d.o.o. and Q Experience d.o.o. (collectively, "heloo") for $35.4 million. The former shareholders of heloo are also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eligible to receive contingent earn-out payments not to exceed €20 million, based on performance compared to prescribed EBITDA targets outlined in the purchase agreement during each of the one year periods ending April 30, 2023 and 2024, respectively. The total fair value of contingent earn-out payments was determined to be $18.5 million and $14.9 million as March 31, 2023 and December 31, 2022, respectively, based on a Monte Carlo simulation model, utilizing a discounted payout analysis based on probabilities and timing of achieving the prescribed targets. Since these payments are contingent on future service conditions, they are recognized as compensation expense ratably over the required service period. For the three months ended March 31, 2023, the Company recognized $6.6 million in compensation expense related to the contingent earn-out payments included in selling, general, and administrative expenses.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4. Revenue from Contracts with Customers</w:t>
      </w:r>
    </w:p>
    <w:p>
      <w:pPr>
        <w:pStyle w:val="TextBody"/>
        <w:spacing w:lineRule="auto" w:line="288" w:before="120" w:after="283"/>
        <w:ind w:left="0" w:right="0" w:firstLine="504"/>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derived from contracts with customers related to business outsourcing services that it provides. The following table presents the breakdown of the Company’s revenues by service offering:</w:t>
      </w:r>
    </w:p>
    <w:tbl>
      <w:tblPr>
        <w:tblW w:w="5050" w:type="dxa"/>
        <w:jc w:val="left"/>
        <w:tblInd w:w="0" w:type="dxa"/>
        <w:tblCellMar>
          <w:top w:w="28" w:type="dxa"/>
          <w:left w:w="28" w:type="dxa"/>
          <w:bottom w:w="28" w:type="dxa"/>
          <w:right w:w="28" w:type="dxa"/>
        </w:tblCellMar>
      </w:tblPr>
      <w:tblGrid>
        <w:gridCol w:w="782"/>
        <w:gridCol w:w="688"/>
        <w:gridCol w:w="690"/>
        <w:gridCol w:w="196"/>
        <w:gridCol w:w="736"/>
        <w:gridCol w:w="109"/>
        <w:gridCol w:w="109"/>
        <w:gridCol w:w="109"/>
        <w:gridCol w:w="109"/>
        <w:gridCol w:w="196"/>
        <w:gridCol w:w="736"/>
        <w:gridCol w:w="109"/>
        <w:gridCol w:w="109"/>
        <w:gridCol w:w="109"/>
        <w:gridCol w:w="109"/>
        <w:gridCol w:w="154"/>
      </w:tblGrid>
      <w:tr>
        <w:trPr/>
        <w:tc>
          <w:tcPr>
            <w:tcW w:w="7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4134" w:type="dxa"/>
        <w:jc w:val="left"/>
        <w:tblInd w:w="0" w:type="dxa"/>
        <w:tblCellMar>
          <w:top w:w="28" w:type="dxa"/>
          <w:left w:w="28" w:type="dxa"/>
          <w:bottom w:w="28" w:type="dxa"/>
          <w:right w:w="28" w:type="dxa"/>
        </w:tblCellMar>
      </w:tblPr>
      <w:tblGrid>
        <w:gridCol w:w="451"/>
        <w:gridCol w:w="396"/>
        <w:gridCol w:w="397"/>
        <w:gridCol w:w="196"/>
        <w:gridCol w:w="736"/>
        <w:gridCol w:w="109"/>
        <w:gridCol w:w="109"/>
        <w:gridCol w:w="109"/>
        <w:gridCol w:w="109"/>
        <w:gridCol w:w="196"/>
        <w:gridCol w:w="736"/>
        <w:gridCol w:w="109"/>
        <w:gridCol w:w="109"/>
        <w:gridCol w:w="109"/>
        <w:gridCol w:w="109"/>
        <w:gridCol w:w="154"/>
      </w:tblGrid>
      <w:tr>
        <w:trPr/>
        <w:tc>
          <w:tcPr>
            <w:tcW w:w="45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04"/>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doubtful accounts includes $84.2 million and $80.8 million of unbilled revenues as of March 31, 2023 and December 31, 2022, respectively.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5. Forward Contracts and Fair Value Measurement</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 Company transacts business in various foreign currencies and has international sales and expenses denominated in foreign currencies, subjecting the Company to foreign currency exchange rate risk. During 2023 and 2022, the Company entered into foreign currency exchange rate forward contracts, with two commercial banks as the counterparties, with maturities of generally 12 months or less, to reduce the volatility of cash flows primarily related to forecasted costs denominated in Philippine pesos. </w:t>
      </w:r>
      <w:r>
        <w:rPr>
          <w:rFonts w:ascii="Times New Roman;sans-serif" w:hAnsi="Times New Roman;sans-serif"/>
          <w:b w:val="false"/>
          <w:color w:val="000000"/>
          <w:sz w:val="20"/>
          <w:highlight w:val="white"/>
        </w:rPr>
        <w:t xml:space="preserve">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expense (income) in the consolidated statements of operations. </w:t>
      </w:r>
      <w:r>
        <w:rPr>
          <w:rFonts w:ascii="Times New Roman;sans-serif" w:hAnsi="Times New Roman;sans-serif"/>
          <w:b w:val="false"/>
          <w:color w:val="000000"/>
          <w:sz w:val="20"/>
        </w:rPr>
        <w:t xml:space="preserve">The forward contract receivable (payable) resulting from changes in fair value was recorded under prepaid expenses and other current assets (accounts payable and accrued liabilities).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settled forward contracts and realized and unrealized losses (gains) associated with derivative contracts:</w:t>
      </w:r>
    </w:p>
    <w:tbl>
      <w:tblPr>
        <w:tblW w:w="6985" w:type="dxa"/>
        <w:jc w:val="left"/>
        <w:tblInd w:w="0" w:type="dxa"/>
        <w:tblCellMar>
          <w:top w:w="28" w:type="dxa"/>
          <w:left w:w="28" w:type="dxa"/>
          <w:bottom w:w="28" w:type="dxa"/>
          <w:right w:w="28" w:type="dxa"/>
        </w:tblCellMar>
      </w:tblPr>
      <w:tblGrid>
        <w:gridCol w:w="1385"/>
        <w:gridCol w:w="1218"/>
        <w:gridCol w:w="1221"/>
        <w:gridCol w:w="109"/>
        <w:gridCol w:w="109"/>
        <w:gridCol w:w="109"/>
        <w:gridCol w:w="207"/>
        <w:gridCol w:w="682"/>
        <w:gridCol w:w="115"/>
        <w:gridCol w:w="115"/>
        <w:gridCol w:w="115"/>
        <w:gridCol w:w="115"/>
        <w:gridCol w:w="207"/>
        <w:gridCol w:w="682"/>
        <w:gridCol w:w="115"/>
        <w:gridCol w:w="109"/>
        <w:gridCol w:w="109"/>
        <w:gridCol w:w="109"/>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settled forward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losses from settlement of forward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(gains) on forward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outstanding forward contracts:</w:t>
      </w:r>
    </w:p>
    <w:tbl>
      <w:tblPr>
        <w:tblW w:w="7152" w:type="dxa"/>
        <w:jc w:val="left"/>
        <w:tblInd w:w="0" w:type="dxa"/>
        <w:tblCellMar>
          <w:top w:w="28" w:type="dxa"/>
          <w:left w:w="28" w:type="dxa"/>
          <w:bottom w:w="28" w:type="dxa"/>
          <w:right w:w="28" w:type="dxa"/>
        </w:tblCellMar>
      </w:tblPr>
      <w:tblGrid>
        <w:gridCol w:w="1456"/>
        <w:gridCol w:w="1280"/>
        <w:gridCol w:w="1284"/>
        <w:gridCol w:w="237"/>
        <w:gridCol w:w="891"/>
        <w:gridCol w:w="132"/>
        <w:gridCol w:w="109"/>
        <w:gridCol w:w="109"/>
        <w:gridCol w:w="109"/>
        <w:gridCol w:w="279"/>
        <w:gridCol w:w="1047"/>
        <w:gridCol w:w="219"/>
      </w:tblGrid>
      <w:tr>
        <w:trPr/>
        <w:tc>
          <w:tcPr>
            <w:tcW w:w="1456"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notional amount of outstanding forward contracts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110,925 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175,050 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financial statement presentation purposes, we offset assets and liabilities for forward contracts with the same counterparty that we intend to net settle upon maturity; however, we do not offset assets and liabilities under master netting arrangements that we do not intend to net settle. The following table presents information about the Company’s assets and liabilities that are measured at fair value on a recurring basis at March 31, 2023 and December 31, 2022 and indicates the fair value hierarchy of the valuation techniques utilized to determine such fair value:</w:t>
      </w:r>
    </w:p>
    <w:tbl>
      <w:tblPr>
        <w:tblW w:w="10539" w:type="dxa"/>
        <w:jc w:val="left"/>
        <w:tblInd w:w="0" w:type="dxa"/>
        <w:tblCellMar>
          <w:top w:w="28" w:type="dxa"/>
          <w:left w:w="28" w:type="dxa"/>
          <w:bottom w:w="28" w:type="dxa"/>
          <w:right w:w="28" w:type="dxa"/>
        </w:tblCellMar>
      </w:tblPr>
      <w:tblGrid>
        <w:gridCol w:w="302"/>
        <w:gridCol w:w="266"/>
        <w:gridCol w:w="267"/>
        <w:gridCol w:w="196"/>
        <w:gridCol w:w="556"/>
        <w:gridCol w:w="109"/>
        <w:gridCol w:w="109"/>
        <w:gridCol w:w="109"/>
        <w:gridCol w:w="109"/>
        <w:gridCol w:w="196"/>
        <w:gridCol w:w="556"/>
        <w:gridCol w:w="109"/>
        <w:gridCol w:w="109"/>
        <w:gridCol w:w="109"/>
        <w:gridCol w:w="109"/>
        <w:gridCol w:w="196"/>
        <w:gridCol w:w="406"/>
        <w:gridCol w:w="109"/>
        <w:gridCol w:w="109"/>
        <w:gridCol w:w="109"/>
        <w:gridCol w:w="109"/>
        <w:gridCol w:w="197"/>
        <w:gridCol w:w="560"/>
        <w:gridCol w:w="109"/>
        <w:gridCol w:w="109"/>
        <w:gridCol w:w="109"/>
        <w:gridCol w:w="109"/>
        <w:gridCol w:w="324"/>
        <w:gridCol w:w="673"/>
        <w:gridCol w:w="182"/>
        <w:gridCol w:w="109"/>
        <w:gridCol w:w="109"/>
        <w:gridCol w:w="109"/>
        <w:gridCol w:w="198"/>
        <w:gridCol w:w="562"/>
        <w:gridCol w:w="110"/>
        <w:gridCol w:w="109"/>
        <w:gridCol w:w="109"/>
        <w:gridCol w:w="109"/>
        <w:gridCol w:w="317"/>
        <w:gridCol w:w="658"/>
        <w:gridCol w:w="178"/>
        <w:gridCol w:w="109"/>
        <w:gridCol w:w="109"/>
        <w:gridCol w:w="109"/>
        <w:gridCol w:w="196"/>
        <w:gridCol w:w="556"/>
        <w:gridCol w:w="162"/>
      </w:tblGrid>
      <w:tr>
        <w:trPr/>
        <w:tc>
          <w:tcPr>
            <w:tcW w:w="3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4"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Counter-party Netting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on Balance Sheet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4" w:type="dxa"/>
            <w:gridSpan w:val="3"/>
            <w:tcBorders/>
            <w:shd w:fill="auto" w:val="clear"/>
            <w:vAlign w:val="center"/>
          </w:tcPr>
          <w:p>
            <w:pPr>
              <w:pStyle w:val="TableContents"/>
              <w:spacing w:before="0" w:after="283"/>
              <w:rPr>
                <w:sz w:val="4"/>
                <w:szCs w:val="4"/>
              </w:rPr>
            </w:pPr>
            <w:r>
              <w:rPr>
                <w:sz w:val="4"/>
                <w:szCs w:val="4"/>
              </w:rPr>
            </w:r>
          </w:p>
        </w:tc>
      </w:tr>
      <w:tr>
        <w:trPr/>
        <w:tc>
          <w:tcPr>
            <w:tcW w:w="8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4" w:type="dxa"/>
            <w:gridSpan w:val="3"/>
            <w:tcBorders/>
            <w:shd w:fill="auto" w:val="clear"/>
            <w:vAlign w:val="center"/>
          </w:tcPr>
          <w:p>
            <w:pPr>
              <w:pStyle w:val="TableContents"/>
              <w:spacing w:before="0" w:after="283"/>
              <w:rPr>
                <w:sz w:val="4"/>
                <w:szCs w:val="4"/>
              </w:rPr>
            </w:pPr>
            <w:r>
              <w:rPr>
                <w:sz w:val="4"/>
                <w:szCs w:val="4"/>
              </w:rPr>
            </w:r>
          </w:p>
        </w:tc>
      </w:tr>
      <w:tr>
        <w:trPr/>
        <w:tc>
          <w:tcPr>
            <w:tcW w:w="83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4" w:type="dxa"/>
            <w:gridSpan w:val="3"/>
            <w:tcBorders/>
            <w:shd w:fill="auto" w:val="cle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344"/>
        <w:gridCol w:w="263"/>
        <w:gridCol w:w="264"/>
        <w:gridCol w:w="196"/>
        <w:gridCol w:w="556"/>
        <w:gridCol w:w="109"/>
        <w:gridCol w:w="109"/>
        <w:gridCol w:w="109"/>
        <w:gridCol w:w="109"/>
        <w:gridCol w:w="196"/>
        <w:gridCol w:w="556"/>
        <w:gridCol w:w="109"/>
        <w:gridCol w:w="109"/>
        <w:gridCol w:w="109"/>
        <w:gridCol w:w="109"/>
        <w:gridCol w:w="196"/>
        <w:gridCol w:w="406"/>
        <w:gridCol w:w="109"/>
        <w:gridCol w:w="109"/>
        <w:gridCol w:w="109"/>
        <w:gridCol w:w="109"/>
        <w:gridCol w:w="196"/>
        <w:gridCol w:w="556"/>
        <w:gridCol w:w="109"/>
        <w:gridCol w:w="109"/>
        <w:gridCol w:w="109"/>
        <w:gridCol w:w="109"/>
        <w:gridCol w:w="309"/>
        <w:gridCol w:w="689"/>
        <w:gridCol w:w="173"/>
        <w:gridCol w:w="109"/>
        <w:gridCol w:w="109"/>
        <w:gridCol w:w="109"/>
        <w:gridCol w:w="196"/>
        <w:gridCol w:w="556"/>
        <w:gridCol w:w="109"/>
        <w:gridCol w:w="109"/>
        <w:gridCol w:w="109"/>
        <w:gridCol w:w="109"/>
        <w:gridCol w:w="255"/>
        <w:gridCol w:w="743"/>
        <w:gridCol w:w="143"/>
        <w:gridCol w:w="109"/>
        <w:gridCol w:w="109"/>
        <w:gridCol w:w="109"/>
        <w:gridCol w:w="196"/>
        <w:gridCol w:w="556"/>
        <w:gridCol w:w="160"/>
      </w:tblGrid>
      <w:tr>
        <w:trPr/>
        <w:tc>
          <w:tcPr>
            <w:tcW w:w="34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8"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Counter-party Netting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on Balance Sheet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Master Netting Arrangements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w:t>
            </w:r>
          </w:p>
        </w:tc>
      </w:tr>
      <w:tr>
        <w:trPr/>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3 inputs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c>
          <w:tcPr>
            <w:tcW w:w="91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receivable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6. Property and Equipment, net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components of property and equipment, net as of March 31, 2023 and December 31, 2022 were as follows:</w:t>
      </w:r>
    </w:p>
    <w:tbl>
      <w:tblPr>
        <w:tblW w:w="4712" w:type="dxa"/>
        <w:jc w:val="left"/>
        <w:tblInd w:w="0" w:type="dxa"/>
        <w:tblCellMar>
          <w:top w:w="28" w:type="dxa"/>
          <w:left w:w="28" w:type="dxa"/>
          <w:bottom w:w="28" w:type="dxa"/>
          <w:right w:w="28" w:type="dxa"/>
        </w:tblCellMar>
      </w:tblPr>
      <w:tblGrid>
        <w:gridCol w:w="829"/>
        <w:gridCol w:w="730"/>
        <w:gridCol w:w="735"/>
        <w:gridCol w:w="196"/>
        <w:gridCol w:w="646"/>
        <w:gridCol w:w="109"/>
        <w:gridCol w:w="109"/>
        <w:gridCol w:w="109"/>
        <w:gridCol w:w="109"/>
        <w:gridCol w:w="224"/>
        <w:gridCol w:w="740"/>
        <w:gridCol w:w="176"/>
      </w:tblGrid>
      <w:tr>
        <w:trPr/>
        <w:tc>
          <w:tcPr>
            <w:tcW w:w="829"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computers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process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property and equipment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gross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170,780 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(95,727)</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75,053 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operations are in the Philippines where the majority of property and equipment resides under its wholly owned subsidiaries. The table below presents the Company’s total property and equipment by geographic location as of March 31, 2023 and December 31, 2022:</w:t>
      </w:r>
    </w:p>
    <w:tbl>
      <w:tblPr>
        <w:tblW w:w="4532" w:type="dxa"/>
        <w:jc w:val="left"/>
        <w:tblInd w:w="0" w:type="dxa"/>
        <w:tblCellMar>
          <w:top w:w="28" w:type="dxa"/>
          <w:left w:w="28" w:type="dxa"/>
          <w:bottom w:w="28" w:type="dxa"/>
          <w:right w:w="28" w:type="dxa"/>
        </w:tblCellMar>
      </w:tblPr>
      <w:tblGrid>
        <w:gridCol w:w="766"/>
        <w:gridCol w:w="673"/>
        <w:gridCol w:w="675"/>
        <w:gridCol w:w="196"/>
        <w:gridCol w:w="646"/>
        <w:gridCol w:w="109"/>
        <w:gridCol w:w="109"/>
        <w:gridCol w:w="109"/>
        <w:gridCol w:w="109"/>
        <w:gridCol w:w="224"/>
        <w:gridCol w:w="740"/>
        <w:gridCol w:w="176"/>
      </w:tblGrid>
      <w:tr>
        <w:trPr/>
        <w:tc>
          <w:tcPr>
            <w:tcW w:w="766"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75,053 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7. Goodwill and Intangibles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during the period were as follows:</w:t>
      </w:r>
    </w:p>
    <w:tbl>
      <w:tblPr>
        <w:tblW w:w="3591" w:type="dxa"/>
        <w:jc w:val="left"/>
        <w:tblInd w:w="0" w:type="dxa"/>
        <w:tblCellMar>
          <w:top w:w="28" w:type="dxa"/>
          <w:left w:w="28" w:type="dxa"/>
          <w:bottom w:w="28" w:type="dxa"/>
          <w:right w:w="28" w:type="dxa"/>
        </w:tblCellMar>
      </w:tblPr>
      <w:tblGrid>
        <w:gridCol w:w="907"/>
        <w:gridCol w:w="798"/>
        <w:gridCol w:w="800"/>
        <w:gridCol w:w="196"/>
        <w:gridCol w:w="736"/>
        <w:gridCol w:w="154"/>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as of March 31, 2023 and December 31, 2022 were as follows:</w:t>
      </w:r>
    </w:p>
    <w:tbl>
      <w:tblPr>
        <w:tblW w:w="10196" w:type="dxa"/>
        <w:jc w:val="left"/>
        <w:tblInd w:w="0" w:type="dxa"/>
        <w:tblCellMar>
          <w:top w:w="28" w:type="dxa"/>
          <w:left w:w="28" w:type="dxa"/>
          <w:bottom w:w="28" w:type="dxa"/>
          <w:right w:w="28" w:type="dxa"/>
        </w:tblCellMar>
      </w:tblPr>
      <w:tblGrid>
        <w:gridCol w:w="635"/>
        <w:gridCol w:w="559"/>
        <w:gridCol w:w="560"/>
        <w:gridCol w:w="109"/>
        <w:gridCol w:w="109"/>
        <w:gridCol w:w="109"/>
        <w:gridCol w:w="109"/>
        <w:gridCol w:w="196"/>
        <w:gridCol w:w="736"/>
        <w:gridCol w:w="109"/>
        <w:gridCol w:w="109"/>
        <w:gridCol w:w="109"/>
        <w:gridCol w:w="109"/>
        <w:gridCol w:w="219"/>
        <w:gridCol w:w="739"/>
        <w:gridCol w:w="123"/>
        <w:gridCol w:w="109"/>
        <w:gridCol w:w="109"/>
        <w:gridCol w:w="109"/>
        <w:gridCol w:w="196"/>
        <w:gridCol w:w="736"/>
        <w:gridCol w:w="109"/>
        <w:gridCol w:w="109"/>
        <w:gridCol w:w="109"/>
        <w:gridCol w:w="109"/>
        <w:gridCol w:w="196"/>
        <w:gridCol w:w="736"/>
        <w:gridCol w:w="109"/>
        <w:gridCol w:w="109"/>
        <w:gridCol w:w="109"/>
        <w:gridCol w:w="109"/>
        <w:gridCol w:w="219"/>
        <w:gridCol w:w="739"/>
        <w:gridCol w:w="123"/>
        <w:gridCol w:w="109"/>
        <w:gridCol w:w="109"/>
        <w:gridCol w:w="109"/>
        <w:gridCol w:w="196"/>
        <w:gridCol w:w="736"/>
        <w:gridCol w:w="154"/>
      </w:tblGrid>
      <w:tr>
        <w:trPr/>
        <w:tc>
          <w:tcPr>
            <w:tcW w:w="63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Intangibles,</w:t>
              <w:br/>
              <w:t>Net</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(73,288)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(68,987)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(12,727)</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(11,986)</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(86,320)</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(81,178)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balances of current and non-current portions of debt consist of the following as of March 31, 2023 and December 31, 2022:</w:t>
      </w:r>
    </w:p>
    <w:tbl>
      <w:tblPr>
        <w:tblW w:w="9485" w:type="dxa"/>
        <w:jc w:val="left"/>
        <w:tblInd w:w="0" w:type="dxa"/>
        <w:tblCellMar>
          <w:top w:w="28" w:type="dxa"/>
          <w:left w:w="28" w:type="dxa"/>
          <w:bottom w:w="28" w:type="dxa"/>
          <w:right w:w="28" w:type="dxa"/>
        </w:tblCellMar>
      </w:tblPr>
      <w:tblGrid>
        <w:gridCol w:w="695"/>
        <w:gridCol w:w="611"/>
        <w:gridCol w:w="613"/>
        <w:gridCol w:w="196"/>
        <w:gridCol w:w="556"/>
        <w:gridCol w:w="10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736"/>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Noncurrent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Debt financing fees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7, 2022, the Company entered into a credit agreement (the “2022 Credit Agreement”) with both new and existing lenders which amended and restated its previous credit agreement. The 2022 Credit Agreement includes a $270.0 million term loan (the "2022 Term Loan Facility") and a $190.0 million revolving credit facility (the "2022 Revolving Credit Facility" and, together with the 2022 Term Loan Facility, the “2022 Credit Facilities”).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2022 Term Loan Facility matures on September 7, 2027, and commencing with the fiscal quarter ending December 31, 2022, requires quarterly principal payments of 0.25% of the original principal amount through September 30, 2023, 0.625% of the original principal amount through September 30, 2024, 1.25% of the original principal amount through September 30, 2025, 1.875% of the original principal amount through September 30, 2026 and 2.50% of the original principal amount thereafter, with the remaining principal due in a lump sum at the maturity date. Voluntary principal prepayments are permitted.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2022 Revolving Credit Facility provides the Company with access to a $15.0 million letter of credit facility and a $15.0 million swing line facility, each of which, to the extent used, reduces borrowing availability under the 2022 Revolving Credit Facility. The 2022 Revolving Credit Facility terminates on September 7, 2027. As of March 31, 2023, we had $190.0 million of borrowing availability under the 2022 Revolving Credit Facility.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2022 Credit Agreement, with the exception of swing line borrowings, bear interest, at our option, either at (i) an adjusted Term Secured Overnight Financing Rate ("SOFR rate") plus a margin of 2.25% per annum, subject to a Term SOFR rate floor of 0.00% or (ii) an alternative base rate plus a margin of 1.25% per annum, subject to an alternative base rate floor of 1.00%. Any borrowings under the swing line will be subject to the base rate. The 2022 Revolving Credit Facility also requires a commitment fee of 0.40% per annum of undrawn commitments to be paid quarterly in arrears. We have elected to pay interest on borrowings under the 2022 Term Loan Facility based on the SOFR rate. The interest rate in effect for the 2022 Term Loan Facility as of March 31, 2023 was 6.993% per annum.</w:t>
      </w:r>
    </w:p>
    <w:p>
      <w:pPr>
        <w:pStyle w:val="TextBody"/>
        <w:spacing w:lineRule="auto" w:line="288" w:before="120" w:after="283"/>
        <w:ind w:left="0" w:right="0" w:firstLine="540"/>
        <w:jc w:val="both"/>
        <w:rPr/>
      </w:pPr>
      <w:r>
        <w:rPr>
          <w:rFonts w:ascii="Times New Roman;sans-serif" w:hAnsi="Times New Roman;sans-serif"/>
          <w:b w:val="false"/>
          <w:color w:val="000000"/>
          <w:sz w:val="20"/>
        </w:rPr>
        <w:t>The 2022 Credit Agreement contains a financial covenant requiring compliance with a maximum total net leverage ratio and certain other covenants, including, among other things, covenants restricting additional borrowings, investments (including acquisitions) and distributions. We were in compliance with all debt covenants as of March 31, 2023. Substantially all assets of our direct wholly owned subsidiary TU</w:t>
      </w:r>
      <w:r>
        <w:rPr>
          <w:color w:val="000000"/>
          <w:highlight w:val="white"/>
        </w:rPr>
        <w:t xml:space="preserve"> </w:t>
      </w:r>
      <w:r>
        <w:rPr>
          <w:rFonts w:ascii="Times New Roman;sans-serif" w:hAnsi="Times New Roman;sans-serif"/>
          <w:b w:val="false"/>
          <w:color w:val="000000"/>
          <w:sz w:val="20"/>
          <w:highlight w:val="white"/>
        </w:rPr>
        <w:t>MidCo</w:t>
      </w:r>
      <w:r>
        <w:rPr>
          <w:rFonts w:ascii="Times New Roman;sans-serif" w:hAnsi="Times New Roman;sans-serif"/>
          <w:b w:val="false"/>
          <w:color w:val="000000"/>
          <w:sz w:val="20"/>
        </w:rPr>
        <w:t>, Inc., its wholly owned subsidiary, TU BidCo, Inc. and its material wholly owned domestic subsidiaries are pledged as collateral under the 2022 Credit Agreement, subject to certain customary exceptions.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costs recorded to cost of services was $4.4 million and $4.0 million for the three months ended March 31, 2023 and 2022, respectively. Operating lease costs recorded to selling, general, and administrative expense were immaterial.</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remaining lease term and weighted average discount rate for the Company's operating leases as of March 31, 2023 and December 31, 2022:</w:t>
      </w:r>
    </w:p>
    <w:tbl>
      <w:tblPr>
        <w:tblW w:w="6338" w:type="dxa"/>
        <w:jc w:val="left"/>
        <w:tblInd w:w="0" w:type="dxa"/>
        <w:tblCellMar>
          <w:top w:w="28" w:type="dxa"/>
          <w:left w:w="28" w:type="dxa"/>
          <w:bottom w:w="28" w:type="dxa"/>
          <w:right w:w="28" w:type="dxa"/>
        </w:tblCellMar>
      </w:tblPr>
      <w:tblGrid>
        <w:gridCol w:w="1042"/>
        <w:gridCol w:w="917"/>
        <w:gridCol w:w="920"/>
        <w:gridCol w:w="109"/>
        <w:gridCol w:w="109"/>
        <w:gridCol w:w="109"/>
        <w:gridCol w:w="288"/>
        <w:gridCol w:w="288"/>
        <w:gridCol w:w="684"/>
        <w:gridCol w:w="109"/>
        <w:gridCol w:w="109"/>
        <w:gridCol w:w="109"/>
        <w:gridCol w:w="323"/>
        <w:gridCol w:w="323"/>
        <w:gridCol w:w="899"/>
      </w:tblGrid>
      <w:tr>
        <w:trPr/>
        <w:tc>
          <w:tcPr>
            <w:tcW w:w="1042"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years</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6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8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related to the Company's operating leases:</w:t>
      </w:r>
    </w:p>
    <w:tbl>
      <w:tblPr>
        <w:tblW w:w="8466" w:type="dxa"/>
        <w:jc w:val="left"/>
        <w:tblInd w:w="0" w:type="dxa"/>
        <w:tblCellMar>
          <w:top w:w="28" w:type="dxa"/>
          <w:left w:w="28" w:type="dxa"/>
          <w:bottom w:w="28" w:type="dxa"/>
          <w:right w:w="28" w:type="dxa"/>
        </w:tblCellMar>
      </w:tblPr>
      <w:tblGrid>
        <w:gridCol w:w="2080"/>
        <w:gridCol w:w="1830"/>
        <w:gridCol w:w="1835"/>
        <w:gridCol w:w="109"/>
        <w:gridCol w:w="109"/>
        <w:gridCol w:w="109"/>
        <w:gridCol w:w="224"/>
        <w:gridCol w:w="637"/>
        <w:gridCol w:w="124"/>
        <w:gridCol w:w="124"/>
        <w:gridCol w:w="124"/>
        <w:gridCol w:w="124"/>
        <w:gridCol w:w="224"/>
        <w:gridCol w:w="637"/>
        <w:gridCol w:w="176"/>
      </w:tblGrid>
      <w:tr>
        <w:trPr/>
        <w:tc>
          <w:tcPr>
            <w:tcW w:w="2080"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lease payments on the Company's operating lease liabilities as of March 31, 2023 were as follows:</w:t>
      </w:r>
    </w:p>
    <w:tbl>
      <w:tblPr>
        <w:tblW w:w="3213" w:type="dxa"/>
        <w:jc w:val="left"/>
        <w:tblInd w:w="0" w:type="dxa"/>
        <w:tblCellMar>
          <w:top w:w="28" w:type="dxa"/>
          <w:left w:w="28" w:type="dxa"/>
          <w:bottom w:w="28" w:type="dxa"/>
          <w:right w:w="28" w:type="dxa"/>
        </w:tblCellMar>
      </w:tblPr>
      <w:tblGrid>
        <w:gridCol w:w="684"/>
        <w:gridCol w:w="602"/>
        <w:gridCol w:w="604"/>
        <w:gridCol w:w="109"/>
        <w:gridCol w:w="109"/>
        <w:gridCol w:w="109"/>
        <w:gridCol w:w="196"/>
        <w:gridCol w:w="646"/>
        <w:gridCol w:w="154"/>
      </w:tblGrid>
      <w:tr>
        <w:trPr/>
        <w:tc>
          <w:tcPr>
            <w:tcW w:w="68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2023-remainder of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spacing w:lineRule="auto" w:line="288" w:before="120" w:after="283"/>
        <w:ind w:left="0" w:right="0" w:firstLine="540"/>
        <w:jc w:val="both"/>
        <w:rPr/>
      </w:pPr>
      <w:r>
        <w:rPr>
          <w:rFonts w:ascii="Times New Roman;sans-serif" w:hAnsi="Times New Roman;sans-serif"/>
          <w:b w:val="false"/>
          <w:color w:val="000000"/>
          <w:sz w:val="20"/>
          <w:highlight w:val="white"/>
        </w:rPr>
        <w:t>We are subject to various legal proceedings, claims, and litigation arising in the ordinary course of business. Although the outcomes of such matters cannot be predicted with certainty, we believe that resolution of all such pending matters will not, either individually or in the aggregate, have a material adverse effect on the Company’s business, operating results, cash flows, or financial condition</w:t>
      </w:r>
      <w:r>
        <w:rPr>
          <w:rFonts w:ascii="Times New Roman;sans-serif" w:hAnsi="Times New Roman;sans-serif"/>
          <w:b w:val="false"/>
          <w:color w:val="000000"/>
          <w:sz w:val="20"/>
        </w:rPr>
        <w:t>.</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IPO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BDP FC Aggregator L.P. The complaint seeks unspecified damages and an award of costs and expenses, including reasonable attorneys’ fees, as well as equitable relief. We believe that the lawsuit is without merit and intend to defend the lawsuit vigorously. On February 17, 2023, TaskUs filed a motion to dismiss, which is currently pending. We cannot predict at this point the length of time that this action will be ongoing or the liability, if any, which may arise therefrom.</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received three lawsuits that present in large degree the same legal or factual issues, with allegations that are similar in nature. We believe that these three lawsuits are without merit and intend to defend each vigorously. We cannot predict at this point the length of time that these actions will be ongoing or the liability, if any, which may arise therefrom. As these actions are still in preliminary phases, any potential loss or impact on financial position or results of operations cannot yet be estimated: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2022, a purported class action lawsuit captioned Gregory Forsberg, Christopher Gunter, Samuel Kissinger, and Scott Sipprell vs. TaskUs, Inc. and Shopify, Inc., Shopify Holdings (USA), Inc., Shopify (USA) Inc., No. 1:22-cv-00436-UNA, was filed in the United States District Court for the District of Delaware. The complaint alleges the named defendants failed to exercise reasonable care in securing and safeguarding consumer information in connection with a 2020 data breach impacting Ledger SAS cryptocurrency hardware wallets, resulting in the unauthorized public release of approximately 272,000 pieces of detailed personally identifiable information, including Plaintiffs’ and class members’ full names, email addresses, postal addresses, and telephone numbers. The four named plaintiffs allege aggregate losses of approximately $140,000, and allege that the damages exceed $5 million for purposes of class action jurisdiction. On April 8, 2022, TaskUs filed a motion to dismiss, which is currently pending. This case is currently stayed.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2022, a purported class action lawsuit captioned My Choice Software, LLC vs. Shopify, Inc. Shopify (USA) Inc., TaskUs, Inc., Does 1-100, No. CGC-22-601842, was filed in the Superior Court of the State of California, County of San Francisco. The complaint alleges the named defendants secretly installed tracking cookies on consumers' devices to track individual consumer activity and gather private information and that the defendant Shopify allowed two of its support staff to steal customer data from more than 100 merchants. The complaint seeks unspecified damages and an award of costs and expenses, including reasonable attorneys’ fees, as well as equitable relief. This complaint has not been served on TaskUs, Inc.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2022, a lawsuit captioned My Choice Software, LLC vs. TaskUs, Inc., Tassilo Heinrich, Shopify, Inc., Shopify Holdings (USA) Inc., Shopify (USA) Inc., Does 1-50, No. 22-cv-1710 was filed in the US District Court, Central District of California. The complaint alleges the defendants profited off of the plaintiff's information. The complaint seeks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unspecified damages and an award of costs and expenses, including reasonable attorneys’ fees, as well as equitable and injunctive relief. On February 13, 2023, TaskUs, Inc. filed a motion to dismiss the amended complaint, which is currently pending. </w:t>
      </w:r>
    </w:p>
    <w:p>
      <w:pPr>
        <w:pStyle w:val="TextBody"/>
        <w:spacing w:lineRule="auto" w:line="288" w:before="120" w:after="283"/>
        <w:ind w:left="0" w:right="0" w:firstLine="360"/>
        <w:jc w:val="both"/>
        <w:rPr/>
      </w:pPr>
      <w:r>
        <w:rPr>
          <w:rFonts w:ascii="Times New Roman;sans-serif" w:hAnsi="Times New Roman;sans-serif"/>
          <w:b/>
          <w:i/>
          <w:color w:val="000000"/>
          <w:sz w:val="20"/>
        </w:rPr>
        <w:t>Indemnification</w:t>
      </w:r>
      <w:r>
        <w:rPr>
          <w:color w:val="000000"/>
        </w:rPr>
        <w:t xml:space="preserve"> </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in the ordinary course of business, we enter into agreements of varying scope and terms pursuant to which we agree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spacing w:lineRule="auto" w:line="288" w:before="120" w:after="283"/>
        <w:ind w:left="0" w:right="0" w:firstLine="540"/>
        <w:jc w:val="both"/>
        <w:rPr/>
      </w:pPr>
      <w:r>
        <w:rPr>
          <w:rFonts w:ascii="Times New Roman;sans-serif" w:hAnsi="Times New Roman;sans-serif"/>
          <w:b w:val="false"/>
          <w:color w:val="000000"/>
          <w:sz w:val="20"/>
          <w:highlight w:val="white"/>
        </w:rPr>
        <w:t xml:space="preserve">The following table summarizes the stock option and restricted stock unit ("RSU") activity for the </w:t>
      </w:r>
      <w:r>
        <w:rPr>
          <w:rFonts w:ascii="Times New Roman;sans-serif" w:hAnsi="Times New Roman;sans-serif"/>
          <w:b w:val="false"/>
          <w:color w:val="000000"/>
          <w:sz w:val="20"/>
        </w:rPr>
        <w:t>three months ended March 31, 2023</w:t>
      </w:r>
      <w:r>
        <w:rPr>
          <w:rFonts w:ascii="Times New Roman;sans-serif" w:hAnsi="Times New Roman;sans-serif"/>
          <w:b w:val="false"/>
          <w:color w:val="000000"/>
          <w:sz w:val="20"/>
          <w:highlight w:val="white"/>
        </w:rPr>
        <w:t>:</w:t>
      </w:r>
    </w:p>
    <w:tbl>
      <w:tblPr>
        <w:tblW w:w="8401" w:type="dxa"/>
        <w:jc w:val="left"/>
        <w:tblInd w:w="0" w:type="dxa"/>
        <w:tblCellMar>
          <w:top w:w="28" w:type="dxa"/>
          <w:left w:w="28" w:type="dxa"/>
          <w:bottom w:w="28" w:type="dxa"/>
          <w:right w:w="28" w:type="dxa"/>
        </w:tblCellMar>
      </w:tblPr>
      <w:tblGrid>
        <w:gridCol w:w="847"/>
        <w:gridCol w:w="745"/>
        <w:gridCol w:w="748"/>
        <w:gridCol w:w="435"/>
        <w:gridCol w:w="436"/>
        <w:gridCol w:w="296"/>
        <w:gridCol w:w="109"/>
        <w:gridCol w:w="109"/>
        <w:gridCol w:w="109"/>
        <w:gridCol w:w="246"/>
        <w:gridCol w:w="698"/>
        <w:gridCol w:w="137"/>
        <w:gridCol w:w="109"/>
        <w:gridCol w:w="109"/>
        <w:gridCol w:w="109"/>
        <w:gridCol w:w="435"/>
        <w:gridCol w:w="436"/>
        <w:gridCol w:w="296"/>
        <w:gridCol w:w="109"/>
        <w:gridCol w:w="109"/>
        <w:gridCol w:w="109"/>
        <w:gridCol w:w="359"/>
        <w:gridCol w:w="1021"/>
        <w:gridCol w:w="285"/>
      </w:tblGrid>
      <w:tr>
        <w:trPr/>
        <w:tc>
          <w:tcPr>
            <w:tcW w:w="84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t>
              <w:br/>
              <w:t>average</w:t>
              <w:br/>
              <w:t>grant date fair value</w:t>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7,723,711 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3,895,224 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770,937 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1,379,119 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 or released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(46,132)</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(200,405)</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(334,159)</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(128,503)</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March 31, 2023</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8,114,357 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4,945,435 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highlight w:val="white"/>
        </w:rPr>
        <w:t xml:space="preserve">weighted-average grant-date fair value of options granted during the </w:t>
      </w:r>
      <w:r>
        <w:rPr>
          <w:rFonts w:ascii="Times New Roman;sans-serif" w:hAnsi="Times New Roman;sans-serif"/>
          <w:b w:val="false"/>
          <w:color w:val="000000"/>
          <w:sz w:val="20"/>
        </w:rPr>
        <w:t xml:space="preserve">three months ended March 31, 2023 was </w:t>
      </w:r>
      <w:r>
        <w:rPr>
          <w:rFonts w:ascii="Times New Roman;sans-serif" w:hAnsi="Times New Roman;sans-serif"/>
          <w:b w:val="false"/>
          <w:color w:val="000000"/>
          <w:sz w:val="20"/>
          <w:highlight w:val="white"/>
        </w:rPr>
        <w:t xml:space="preserve">$8.85. There were 3,373,417 performance stock units ("PSUs") outstanding at </w:t>
      </w:r>
      <w:r>
        <w:rPr>
          <w:rFonts w:ascii="Times New Roman;sans-serif" w:hAnsi="Times New Roman;sans-serif"/>
          <w:b w:val="false"/>
          <w:color w:val="000000"/>
          <w:sz w:val="20"/>
        </w:rPr>
        <w:t>January 1, 2023 and March 31, 2023.</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expense recognized for the periods presented:</w:t>
      </w:r>
    </w:p>
    <w:tbl>
      <w:tblPr>
        <w:tblW w:w="6043" w:type="dxa"/>
        <w:jc w:val="left"/>
        <w:tblInd w:w="0" w:type="dxa"/>
        <w:tblCellMar>
          <w:top w:w="28" w:type="dxa"/>
          <w:left w:w="28" w:type="dxa"/>
          <w:bottom w:w="28" w:type="dxa"/>
          <w:right w:w="28" w:type="dxa"/>
        </w:tblCellMar>
      </w:tblPr>
      <w:tblGrid>
        <w:gridCol w:w="1162"/>
        <w:gridCol w:w="1022"/>
        <w:gridCol w:w="1025"/>
        <w:gridCol w:w="207"/>
        <w:gridCol w:w="682"/>
        <w:gridCol w:w="115"/>
        <w:gridCol w:w="115"/>
        <w:gridCol w:w="115"/>
        <w:gridCol w:w="115"/>
        <w:gridCol w:w="207"/>
        <w:gridCol w:w="682"/>
        <w:gridCol w:w="115"/>
        <w:gridCol w:w="109"/>
        <w:gridCol w:w="109"/>
        <w:gridCol w:w="109"/>
        <w:gridCol w:w="154"/>
      </w:tblGrid>
      <w:tr>
        <w:trPr/>
        <w:tc>
          <w:tcPr>
            <w:tcW w:w="116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18,902 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$15.7 million, $68.8 million and $4.5 million of unrecognized compensation expense related to the Company’s unvested stock options, RSUs and PSUs, respectively, that is expected to be recognized over a weighted-average period of 1.2 years, 1.5 years and 1.5 years.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provision for income taxes of $6.0 million and $6.3 million in the three months ended March 31, 2023 and 2022, respectively. The effective tax rate was 38.6% and 35.3% for the three months ended March 31, 2023 and 2022, respectively. The difference between the effective tax rate and the 21% federal statutory rate in the three months ended March 31, 2023 was primarily due to nondeductible earn-out consideration, as well as Global Intangible Low-Taxed Income (“GILTI”) inclusion, Base Erosion Anti-avoidance Tax ("BEAT") and nondeductible compensation of officers. The difference between the effective tax rate and the 21% federal statutory rate in the three months ended March 31, 2022 was primarily due to GILTI inclusion, BEAT, tax benefits of income tax holidays in foreign jurisdiction, and nondeductible compensation of officers.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earnings per share for the three months ended March 31, 2023 and 2022:</w:t>
      </w:r>
    </w:p>
    <w:tbl>
      <w:tblPr>
        <w:tblW w:w="7263" w:type="dxa"/>
        <w:jc w:val="left"/>
        <w:tblInd w:w="0" w:type="dxa"/>
        <w:tblCellMar>
          <w:top w:w="28" w:type="dxa"/>
          <w:left w:w="28" w:type="dxa"/>
          <w:bottom w:w="28" w:type="dxa"/>
          <w:right w:w="28" w:type="dxa"/>
        </w:tblCellMar>
      </w:tblPr>
      <w:tblGrid>
        <w:gridCol w:w="1476"/>
        <w:gridCol w:w="1297"/>
        <w:gridCol w:w="1307"/>
        <w:gridCol w:w="273"/>
        <w:gridCol w:w="778"/>
        <w:gridCol w:w="120"/>
        <w:gridCol w:w="120"/>
        <w:gridCol w:w="120"/>
        <w:gridCol w:w="120"/>
        <w:gridCol w:w="243"/>
        <w:gridCol w:w="808"/>
        <w:gridCol w:w="120"/>
        <w:gridCol w:w="109"/>
        <w:gridCol w:w="109"/>
        <w:gridCol w:w="109"/>
        <w:gridCol w:w="154"/>
      </w:tblGrid>
      <w:tr>
        <w:trPr/>
        <w:tc>
          <w:tcPr>
            <w:tcW w:w="1476"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to common shareholders</w:t>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97,561,650 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97,481,412 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3,390,923 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6,640,614 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100,952,573 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104,122,026 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common share:</w:t>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excluded 3,778,307 and 1,152,816 potential common stock equivalents from the computation of diluted EPS for the three months ended March 31, 2023 and 2022, respectively, because the effect would have been anti-dilutive. There were 4,819,894 and 5,292,857 potential common stock equivalents outstanding as of March 31, 2023 and 2022, respectively, with market conditions which were not met at that date, that were excluded from the calculation of diluted EPS.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14. Subsequent Events</w:t>
      </w:r>
    </w:p>
    <w:p>
      <w:pPr>
        <w:pStyle w:val="TextBody"/>
        <w:spacing w:lineRule="auto" w:line="268" w:before="120" w:after="283"/>
        <w:ind w:left="0" w:right="0" w:firstLine="540"/>
        <w:jc w:val="both"/>
        <w:rPr/>
      </w:pPr>
      <w:r>
        <w:rPr>
          <w:rFonts w:ascii="Times New Roman;sans-serif" w:hAnsi="Times New Roman;sans-serif"/>
          <w:b w:val="false"/>
          <w:color w:val="000000"/>
          <w:sz w:val="20"/>
          <w:highlight w:val="white"/>
        </w:rPr>
        <w:t xml:space="preserve">On May 8, 2023, the Company announced that the Board of Directors of the Company authorized a $100.0 million increase to the Company’s share repurchase program, increasing the total authorization to $200.0 million. After giving effect to repurchases completed under the original share repurchase program and the approved $100.0 million increase, approximately </w:t>
      </w:r>
      <w:r>
        <w:rPr>
          <w:rFonts w:ascii="Times New Roman;sans-serif" w:hAnsi="Times New Roman;sans-serif"/>
          <w:b w:val="false"/>
          <w:color w:val="000000"/>
          <w:sz w:val="20"/>
        </w:rPr>
        <w:t>$155.1 million</w:t>
      </w:r>
      <w:r>
        <w:rPr>
          <w:color w:val="000000"/>
          <w:highlight w:val="white"/>
        </w:rPr>
        <w:t xml:space="preserve"> </w:t>
      </w:r>
      <w:r>
        <w:rPr>
          <w:rFonts w:ascii="Times New Roman;sans-serif" w:hAnsi="Times New Roman;sans-serif"/>
          <w:b w:val="false"/>
          <w:color w:val="000000"/>
          <w:sz w:val="20"/>
          <w:highlight w:val="white"/>
        </w:rPr>
        <w:t xml:space="preserve">remained available for share repurchases as of </w:t>
      </w:r>
      <w:r>
        <w:rPr>
          <w:rFonts w:ascii="Times New Roman;sans-serif" w:hAnsi="Times New Roman;sans-serif"/>
          <w:b w:val="false"/>
          <w:color w:val="000000"/>
          <w:sz w:val="20"/>
        </w:rPr>
        <w:t>May 5,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2022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includes certain historical consolidated financial and other data for TaskUs, Inc. (“we,” “us,” “our” or the “Company”). The following discussion provides a narrative of our results of operations and financial condition for the three months ended March 31, 2023 and 2022. India, which was previously included in Rest of World, is now reported separately within revenue disaggregation by geographical location. As a result, the comparison of service revenue by delivery geography for the three months ended March 31, 2022 has been recast for comparability.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We are a provider of outsourced digital services and next-generation customer experience to the world's most innovative companies, helping our clients represent, protect and grow their respective brands. </w:t>
      </w:r>
      <w:r>
        <w:rPr>
          <w:rFonts w:ascii="Times New Roman;sans-serif" w:hAnsi="Times New Roman;sans-serif"/>
          <w:b w:val="false"/>
          <w:color w:val="000000"/>
          <w:sz w:val="20"/>
          <w:highlight w:val="white"/>
        </w:rPr>
        <w:t>We serve our clients to support their end customers’ urgent needs, navigate an increasingly-complex compliance landscape, handle sensitive tasks, including online content moderation and enable artificial intelligence technology and automation.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global, omni-channel delivery model is focused on providing our clients three key services – Digital Customer Experience ("Digital CX"), Trust and Safety and Artificial Intelligence (“AI”) Services. We have designed our platform to enable us to rapidly scale and benefit from our clients’ growth. We believe our ability to deliver “ridiculously good” outsourcing will enable us to continue to grow our client base.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 Financial Highlights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we recorded service revenue of $235.3 million, a 1.8% decrease from $239.7 million for the three months ended March 31, 2022. </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Net income for the three months ended March 31, 2023 decreased to $9.5 million from $11.6 million for the three months ended March 31, 2022. This decrease is due primarily to rising interest rates and revenue declines associated with </w:t>
      </w:r>
      <w:r>
        <w:rPr>
          <w:rFonts w:ascii="Times New Roman;sans-serif" w:hAnsi="Times New Roman;sans-serif"/>
          <w:b w:val="false"/>
          <w:color w:val="000000"/>
          <w:sz w:val="20"/>
          <w:highlight w:val="white"/>
        </w:rPr>
        <w:t xml:space="preserve">certain clients electing to shift work from the United States, partially offset by </w:t>
      </w:r>
      <w:r>
        <w:rPr>
          <w:rFonts w:ascii="Times New Roman;sans-serif" w:hAnsi="Times New Roman;sans-serif"/>
          <w:b w:val="false"/>
          <w:color w:val="000000"/>
          <w:sz w:val="20"/>
        </w:rPr>
        <w:t>the impact of foreign currency exchange rate changes. Adjusted Net Income for the three months ended March 31, 2023 decreased 7.0% to $32.5 million from $35.0 million for the three months ended March 31, 2022. Adjusted EBITDA for the three months ended March 31, 2023 increased 2.0% to $55.2 million from $54.1 million for the three months ended March 31, 2022.</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in any period are not necessarily indicative of the results that may be expected for any future period.</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2023 Developments</w:t>
      </w:r>
    </w:p>
    <w:p>
      <w:pPr>
        <w:pStyle w:val="TextBody"/>
        <w:spacing w:lineRule="auto" w:line="276" w:before="12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Macroeconomic Trends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Macroeconomic factors, including global economic and geopolitical developments, increased inflation rates, interest rate increases, and foreign currency exchange rate changes, have direct and indirect impacts on our results of operations that are difficult to isolate and quantify. Due to market uncertainty and potential recession or other economic challenges, many of our customers have increased their focus on cost reduction resulting in certain customers electing to shift work from our onshore locations to our offshore delivery locations or reduce vendor spend across the board. These factors contributed to a deceleration in our revenue growth rate and an increase in our operating costs. We expect some or all of these factors to continue to impact our operations in the near term; however, we believe that the increased cost focus also creates meaningful opportunities with both new and existing clients.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management and financial flexibility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three months ended March 31, 2023, we continued to focus on cost management and financial flexibility. We reviewed of our cost structure in order to drive efficiencies across functions. While we incurred certain costs associated with these changes, including severance in some cases, we believe these actions will have long-term benefits to the goal of enabling our future growth and profitability. We generated net cash flow from operating activities of $43.7 million and Free Cash Flow of $38.4 million, respectively.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a description of subsequent events, see Note 14, “Subsequent Events” in the Notes to Unaudited Condensed Consolidated Financial Statements included in this Quarterly Report.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historical consolidated financial information for the three months ended March 31, 2023 and 2022:</w:t>
      </w:r>
    </w:p>
    <w:tbl>
      <w:tblPr>
        <w:tblW w:w="8369" w:type="dxa"/>
        <w:jc w:val="left"/>
        <w:tblInd w:w="0" w:type="dxa"/>
        <w:tblCellMar>
          <w:top w:w="28" w:type="dxa"/>
          <w:left w:w="28" w:type="dxa"/>
          <w:bottom w:w="28" w:type="dxa"/>
          <w:right w:w="28" w:type="dxa"/>
        </w:tblCellMar>
      </w:tblPr>
      <w:tblGrid>
        <w:gridCol w:w="1161"/>
        <w:gridCol w:w="1021"/>
        <w:gridCol w:w="1028"/>
        <w:gridCol w:w="196"/>
        <w:gridCol w:w="736"/>
        <w:gridCol w:w="109"/>
        <w:gridCol w:w="109"/>
        <w:gridCol w:w="109"/>
        <w:gridCol w:w="109"/>
        <w:gridCol w:w="196"/>
        <w:gridCol w:w="736"/>
        <w:gridCol w:w="109"/>
        <w:gridCol w:w="109"/>
        <w:gridCol w:w="109"/>
        <w:gridCol w:w="109"/>
        <w:gridCol w:w="234"/>
        <w:gridCol w:w="754"/>
        <w:gridCol w:w="130"/>
        <w:gridCol w:w="130"/>
        <w:gridCol w:w="130"/>
        <w:gridCol w:w="130"/>
        <w:gridCol w:w="276"/>
        <w:gridCol w:w="280"/>
        <w:gridCol w:w="359"/>
      </w:tblGrid>
      <w:tr>
        <w:trPr/>
        <w:tc>
          <w:tcPr>
            <w:tcW w:w="116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2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(2,154)</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2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 for the three months ended March 31, 2023 and 2022 was $235.3 million and $239.7 million, respectively. Service revenue for the three months ended March 31, 2023 decreased by $4.4 million, or 1.8%, when compared to the three months ended March 31, 2022. </w:t>
      </w:r>
    </w:p>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service offering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service offering for each period:</w:t>
      </w:r>
    </w:p>
    <w:tbl>
      <w:tblPr>
        <w:tblW w:w="7302" w:type="dxa"/>
        <w:jc w:val="left"/>
        <w:tblInd w:w="0" w:type="dxa"/>
        <w:tblCellMar>
          <w:top w:w="28" w:type="dxa"/>
          <w:left w:w="28" w:type="dxa"/>
          <w:bottom w:w="28" w:type="dxa"/>
          <w:right w:w="28" w:type="dxa"/>
        </w:tblCellMar>
      </w:tblPr>
      <w:tblGrid>
        <w:gridCol w:w="781"/>
        <w:gridCol w:w="687"/>
        <w:gridCol w:w="691"/>
        <w:gridCol w:w="196"/>
        <w:gridCol w:w="736"/>
        <w:gridCol w:w="109"/>
        <w:gridCol w:w="109"/>
        <w:gridCol w:w="109"/>
        <w:gridCol w:w="109"/>
        <w:gridCol w:w="196"/>
        <w:gridCol w:w="736"/>
        <w:gridCol w:w="109"/>
        <w:gridCol w:w="109"/>
        <w:gridCol w:w="109"/>
        <w:gridCol w:w="109"/>
        <w:gridCol w:w="234"/>
        <w:gridCol w:w="754"/>
        <w:gridCol w:w="130"/>
        <w:gridCol w:w="130"/>
        <w:gridCol w:w="130"/>
        <w:gridCol w:w="130"/>
        <w:gridCol w:w="268"/>
        <w:gridCol w:w="272"/>
        <w:gridCol w:w="359"/>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Trust and Safety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(5,254)</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period over period declines in Trust and Safety and Digital Customer Experience contributed 2.2% and 1.0%, respectively, while growth in AI Services contributed 1.4% of the total decrease of 1.8% for the three months ended March 31, 2023.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11.5% decline in Trust and Safety was primarily driven by a decrease from existing clients in Social Media and FinTech, partially offset by an increase from existing clients in Entertainment + Gaming, On Demand Travel + Transportation and Retail + E-Commerce, as well as new clients in Social Media.</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1.6% decline in Digital Customer Experience was primarily driven by a decrease from existing clients in FinTech, Social Media, HealthTech, Retail + E-Commerce and Professional Services + Industry. These decreases were mostly offset by an increase from new clients in On Demand Travel + Transportation, FinTech, Retail + E-Commerce, HealthTech and Technology, as well as new clients as a result of the acquisition of Parsec d.o.o. and Q Experience d.o.o. ("heloo"), and existing clients in Technology, Entertainment + Gaming and On Demand Travel + Transportation.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10.2% growth in AI Services was primarily driven by an increase from existing clients in On Demand Travel + Transportation, Social Media and Entertainment + Gaming, as well as new clients in Retail + E-Commerce, partially offset by a decrease from existing clients in Retail + E-Commerce and HealthTech.</w:t>
      </w:r>
    </w:p>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Service revenue by delivery geography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breakdown of our service revenue by geographical location, based on where the services are provided, for each period:</w:t>
      </w:r>
    </w:p>
    <w:tbl>
      <w:tblPr>
        <w:tblW w:w="6973" w:type="dxa"/>
        <w:jc w:val="left"/>
        <w:tblInd w:w="0" w:type="dxa"/>
        <w:tblCellMar>
          <w:top w:w="28" w:type="dxa"/>
          <w:left w:w="28" w:type="dxa"/>
          <w:bottom w:w="28" w:type="dxa"/>
          <w:right w:w="28" w:type="dxa"/>
        </w:tblCellMar>
      </w:tblPr>
      <w:tblGrid>
        <w:gridCol w:w="662"/>
        <w:gridCol w:w="582"/>
        <w:gridCol w:w="586"/>
        <w:gridCol w:w="196"/>
        <w:gridCol w:w="736"/>
        <w:gridCol w:w="109"/>
        <w:gridCol w:w="109"/>
        <w:gridCol w:w="109"/>
        <w:gridCol w:w="109"/>
        <w:gridCol w:w="196"/>
        <w:gridCol w:w="736"/>
        <w:gridCol w:w="109"/>
        <w:gridCol w:w="109"/>
        <w:gridCol w:w="109"/>
        <w:gridCol w:w="109"/>
        <w:gridCol w:w="234"/>
        <w:gridCol w:w="754"/>
        <w:gridCol w:w="130"/>
        <w:gridCol w:w="130"/>
        <w:gridCol w:w="130"/>
        <w:gridCol w:w="130"/>
        <w:gridCol w:w="269"/>
        <w:gridCol w:w="271"/>
        <w:gridCol w:w="359"/>
      </w:tblGrid>
      <w:tr>
        <w:trPr/>
        <w:tc>
          <w:tcPr>
            <w:tcW w:w="662"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(32,469)</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(4,374)</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Revenue generated from services provided from our delivery sites in the Philippines grew primarily from expansion in two of our service offerings, including the impact of certain clients electing to shift work from the United States. Trust and Safety contributed 6.3% of the total increase primarily driven by clients in Social Media. AI Services contributed 3.0% of the total increase primarily driven by clients in Social Media, On Demand Travel + Transportation, Retail + E-Commerce and Entertainment + Gaming. These increases were partially offset by a 3.7% decrease contributed by Digital Customer Experience primarily driven by clients in FinTech, On Demand Travel + Transportation, HealthTech and Professional Services + Industry, partially offset by clients in Technology. </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 generated from services provided from our delivery sites in the United States declined primarily from certain of our clients electing to shift work from the United States to the Philippines and India as well as decreased spending from clients in FinTech, particularly crypto and equity trading clients. Digital Customer Experience contributed 20.4% of the total decrease primarily driven by clients in FinTech and Social Media, partially offset by clients in On Demand Travel + Transportation. Trust and Safety contributed 18.9% of the total decrease primarily driven by clients in Social Media and FinTech. AI Services contributed 1.7% of the total decrease primarily driven by clients in Social Media and Retail + E-Commerce, partially offset by clients in On Demand Travel + Transportation and Entertainment + Gaming.</w:t>
      </w:r>
    </w:p>
    <w:p>
      <w:pPr>
        <w:pStyle w:val="TextBody"/>
        <w:spacing w:lineRule="auto" w:line="288" w:before="120" w:after="283"/>
        <w:ind w:left="0" w:right="0" w:firstLine="540"/>
        <w:jc w:val="both"/>
        <w:rPr/>
      </w:pPr>
      <w:r>
        <w:rPr>
          <w:rFonts w:ascii="Times New Roman;sans-serif" w:hAnsi="Times New Roman;sans-serif"/>
          <w:b w:val="false"/>
          <w:color w:val="000000"/>
          <w:sz w:val="20"/>
          <w:highlight w:val="white"/>
        </w:rPr>
        <w:t>Revenue generated from services provided from our delivery sites in India grew primarily from expansion in all three of our service offering</w:t>
      </w:r>
      <w:r>
        <w:rPr>
          <w:rFonts w:ascii="Times New Roman;sans-serif" w:hAnsi="Times New Roman;sans-serif"/>
          <w:b w:val="false"/>
          <w:color w:val="000000"/>
          <w:sz w:val="20"/>
        </w:rPr>
        <w:t xml:space="preserve">s, including the impact of certain clients electing to shift work from the United States. Digital Customer Experience contributed 9.8% of the total increase primarily driven by clients in On Demand Travel + Transportation and Retail + E-Commerce. Trust and Safety contributed 6.7% of the total increase primarily driven by clients in Social Media, On Demand Travel + Transportation and Retail + E-Commerce, partially offset by clients in FinTech. AI Services contributed 4.3% of the total increase primarily driven by clients in Social Media and On Demand Travel + Transportation, partially offset by clients in HealthTech. </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Revenue generated from services provided from our delivery sites in the Rest of World </w:t>
      </w:r>
      <w:r>
        <w:rPr>
          <w:rFonts w:ascii="Times New Roman;sans-serif" w:hAnsi="Times New Roman;sans-serif"/>
          <w:b w:val="false"/>
          <w:color w:val="000000"/>
          <w:sz w:val="20"/>
          <w:highlight w:val="white"/>
        </w:rPr>
        <w:t>grew</w:t>
      </w:r>
      <w:r>
        <w:rPr>
          <w:color w:val="000000"/>
        </w:rPr>
        <w:t xml:space="preserve"> </w:t>
      </w:r>
      <w:r>
        <w:rPr>
          <w:rFonts w:ascii="Times New Roman;sans-serif" w:hAnsi="Times New Roman;sans-serif"/>
          <w:b w:val="false"/>
          <w:color w:val="000000"/>
          <w:sz w:val="20"/>
        </w:rPr>
        <w:t>primarily from expansion in all three of our service offerings. Digital Customer Experience contributed 92.0% of the total increase primarily driven by new clients as a result of the acquisition of heloo, clients in FinTech, On Demand Travel + Tran</w:t>
      </w:r>
      <w:r>
        <w:rPr>
          <w:rFonts w:ascii="Times New Roman;sans-serif" w:hAnsi="Times New Roman;sans-serif"/>
          <w:b w:val="false"/>
          <w:color w:val="000000"/>
          <w:sz w:val="20"/>
          <w:highlight w:val="white"/>
        </w:rPr>
        <w:t xml:space="preserve">sportation and </w:t>
      </w:r>
      <w:r>
        <w:rPr>
          <w:rFonts w:ascii="Times New Roman;sans-serif" w:hAnsi="Times New Roman;sans-serif"/>
          <w:b w:val="false"/>
          <w:color w:val="000000"/>
          <w:sz w:val="20"/>
        </w:rPr>
        <w:t xml:space="preserve">Entertainment +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jc w:val="both"/>
        <w:rPr/>
      </w:pPr>
      <w:r>
        <w:rPr>
          <w:rFonts w:ascii="Times New Roman;sans-serif" w:hAnsi="Times New Roman;sans-serif"/>
          <w:b w:val="false"/>
          <w:color w:val="000000"/>
          <w:sz w:val="20"/>
        </w:rPr>
        <w:t>Gaming, partially offset by clients in Social Media</w:t>
      </w:r>
      <w:r>
        <w:rPr>
          <w:rFonts w:ascii="Times New Roman;sans-serif" w:hAnsi="Times New Roman;sans-serif"/>
          <w:b w:val="false"/>
          <w:color w:val="000000"/>
          <w:sz w:val="20"/>
          <w:highlight w:val="white"/>
        </w:rPr>
        <w:t>. Trust and Safety contributed 2.9% of the total increase primarily driven by clients in Entertainment + Gaming, mostly offset by clients in Social Media. AI Services contributed 1.1% of the total increase primarily driven by clients in Technology and On Demand Travel + Transportation. Growth in the Rest of World was led by Europe, with consistent growth from Latin America and Asia.</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Cost of services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for the three months ended March 31, 2023 and 2022 was $137.8 million and $141.3 million, respectively. Cost of services for the three months ended March 31, 2023 decreased by $3.5 million, or 2.5%, when compared to the three months ended March 31, 2022. The decrease was primarily driven by lower personnel costs of $3.2 million, including the impact of certain clients electing to shift work from the United States to the Philippines and India. The remaining decrease included lower recruiting costs, mostly offset by costs associated with site expansions and certain teammates operating on-site.</w:t>
      </w:r>
    </w:p>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for the three months ended March 31, 2023 and 2022 was $64.3 million and $64.2 million, respectively. Selling, general, and administrative expense for the three months ended March 31, 2023 remained flat when compared to the three months ended March 31, 2022. Selling, general, and administrative expense was impacted by higher personnel costs of $1.5 million, due primarily to earn-out consideration associated with the acquisition of heloo recognized as compensation expense, as well as severance recognized as we drive efficiencies across functions, mostly offset by a reduction in stock-based compensation expense. The increase in personnel costs were mostly offset by lower recruiting and professional development costs.</w:t>
      </w:r>
    </w:p>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Depreciation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for the three months ended March 31, 2023 and 2022 was $9.7 million and $8.9 million, respectively. The increase in depreciation is a result of capital expenditures for leasehold improvements associated with site expansions.</w:t>
      </w:r>
    </w:p>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for the three months ended March 31, 2023 and 2022 was $5.1 million and $4.7 million, respectively. The increase in amortization is due to the acquisition of heloo on April 15, 2022.</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Other expense (income)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 for the three months ended March 31, 2023 and 2022 was $(2.2) million and $1.1 million, respectively. Changes are driven by our exposure to foreign currency exchange risk resulting from our operations in foreign geographies, primarily the Philippines, offset by economic hedges using foreign currency exchange rate forward contracts. See Part I, Item 3., “Quantitative and Qualitative Disclosures About Market Risk” in this Quarterly Report for additional information on how foreign currency impacts our financial results.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Financing expenses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Financing expense for the three months ended March 31, 2023 and 2022 was $5.1 million and $1.6 million, respectively. Changes in financing expense are primarily driven by the rate of SOFR and LIBOR used to calculate the interest rate of our debt and additional borrowings during 2022.</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for the three months ended March 31, 2023 and 2022 was $6.0 million and $6.3 million, respectively. The effective tax rate for the three months ended March 31, 2023 and 2022 was 38.6% and 35.3%, respectively. Costs related to the issuance of stock-based compensation and costs related to the acquisition of heloo within the provision for income taxes calculation are adjusted for Non-GAAP purposes. If those costs are removed, the provision for income taxes would have been $8.0 million and $8.7 million and the effective tax rate would have been 21.6% and 23.1% for the three months ended March 31, 2023 and 2022, respectively.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Revenue by Top Clients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percentage of our total service revenue derived from our largest clients for the three months ended March 31, 2023 and 2022:</w:t>
      </w:r>
    </w:p>
    <w:tbl>
      <w:tblPr>
        <w:tblW w:w="4258" w:type="dxa"/>
        <w:jc w:val="left"/>
        <w:tblInd w:w="0" w:type="dxa"/>
        <w:tblCellMar>
          <w:top w:w="28" w:type="dxa"/>
          <w:left w:w="28" w:type="dxa"/>
          <w:bottom w:w="28" w:type="dxa"/>
          <w:right w:w="28" w:type="dxa"/>
        </w:tblCellMar>
      </w:tblPr>
      <w:tblGrid>
        <w:gridCol w:w="517"/>
        <w:gridCol w:w="451"/>
        <w:gridCol w:w="456"/>
        <w:gridCol w:w="201"/>
        <w:gridCol w:w="201"/>
        <w:gridCol w:w="473"/>
        <w:gridCol w:w="201"/>
        <w:gridCol w:w="201"/>
        <w:gridCol w:w="201"/>
        <w:gridCol w:w="201"/>
        <w:gridCol w:w="201"/>
        <w:gridCol w:w="473"/>
        <w:gridCol w:w="109"/>
        <w:gridCol w:w="109"/>
        <w:gridCol w:w="109"/>
        <w:gridCol w:w="154"/>
      </w:tblGrid>
      <w:tr>
        <w:trPr/>
        <w:tc>
          <w:tcPr>
            <w:tcW w:w="517"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 ten clients</w:t>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Top twenty clients</w:t>
            </w:r>
          </w:p>
        </w:tc>
        <w:tc>
          <w:tcPr>
            <w:tcW w:w="4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4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47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we generated 20% and 24%, respectively, of our service revenue from our largest client, and we generated less than 10% and 10%, respectively, of our service revenue from our second largest client.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identify and target high growth industry verticals and clients. Our strategy is to acquire new clients and further grow with our existing ones in order to achieve meaningful client and revenue diversification over time.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Net Income, Adjusted Earnings Per Share (“EPS”), EBITDA, Adjusted EBITDA, Free Cash Flow and Conversion of Adjusted EBITDA, as key measures to assess the performance of our business.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Adjusted Net Income</w:t>
      </w:r>
    </w:p>
    <w:p>
      <w:pPr>
        <w:pStyle w:val="TextBody"/>
        <w:spacing w:lineRule="auto" w:line="288" w:before="120" w:after="283"/>
        <w:ind w:left="0" w:right="0" w:firstLine="540"/>
        <w:jc w:val="both"/>
        <w:rPr/>
      </w:pPr>
      <w:r>
        <w:rPr>
          <w:rFonts w:ascii="Times New Roman;sans-serif" w:hAnsi="Times New Roman;sans-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Times New Roman;sans-serif" w:hAnsi="Times New Roman;sans-serif"/>
          <w:b w:val="false"/>
          <w:color w:val="000000"/>
          <w:sz w:val="20"/>
          <w:highlight w:val="white"/>
        </w:rPr>
        <w:t>, transaction costs,</w:t>
      </w:r>
      <w:r>
        <w:rPr>
          <w:color w:val="000000"/>
        </w:rPr>
        <w:t xml:space="preserve"> </w:t>
      </w:r>
      <w:r>
        <w:rPr>
          <w:rFonts w:ascii="Times New Roman;sans-serif" w:hAnsi="Times New Roman;sans-serif"/>
          <w:b w:val="false"/>
          <w:color w:val="000000"/>
          <w:sz w:val="20"/>
        </w:rPr>
        <w:t>earn-out consideration, the effect of foreign currency gains and losses, gains and losses on disposals of assets, stock-based compensation expense and employer payroll tax associated with equity-classified awards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Adjusted Net Income for the three months ended March 31, 2023 and 2022:</w:t>
      </w:r>
    </w:p>
    <w:tbl>
      <w:tblPr>
        <w:tblW w:w="8048" w:type="dxa"/>
        <w:jc w:val="left"/>
        <w:tblInd w:w="0" w:type="dxa"/>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646"/>
        <w:gridCol w:w="256"/>
        <w:gridCol w:w="109"/>
        <w:gridCol w:w="109"/>
        <w:gridCol w:w="109"/>
        <w:gridCol w:w="234"/>
        <w:gridCol w:w="754"/>
        <w:gridCol w:w="130"/>
        <w:gridCol w:w="130"/>
        <w:gridCol w:w="130"/>
        <w:gridCol w:w="130"/>
        <w:gridCol w:w="277"/>
        <w:gridCol w:w="279"/>
        <w:gridCol w:w="359"/>
      </w:tblGrid>
      <w:tr>
        <w:trPr/>
        <w:tc>
          <w:tcPr>
            <w:tcW w:w="1004"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Foreign currency losses (gains)</w:t>
            </w:r>
            <w:r>
              <w:rPr>
                <w:rFonts w:ascii="Times New Roman;sans-serif" w:hAnsi="Times New Roman;sans-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(6,016)</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Tax impacts of adjustments</w:t>
            </w:r>
            <w:r>
              <w:rPr>
                <w:rFonts w:ascii="Times New Roman;sans-serif" w:hAnsi="Times New Roman;sans-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(7)</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Adjusted Net Income Margin</w:t>
            </w:r>
            <w:r>
              <w:rPr>
                <w:rFonts w:ascii="Times New Roman;sans-serif" w:hAnsi="Times New Roman;sans-serif"/>
                <w:b w:val="false"/>
                <w:color w:val="000000"/>
                <w:sz w:val="12"/>
              </w:rPr>
              <w:t>(7)</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bl>
      <w:tblPr>
        <w:tblW w:w="10539" w:type="dxa"/>
        <w:jc w:val="left"/>
        <w:tblInd w:w="0" w:type="dxa"/>
        <w:tblCellMar>
          <w:top w:w="28" w:type="dxa"/>
          <w:left w:w="28" w:type="dxa"/>
          <w:bottom w:w="28" w:type="dxa"/>
          <w:right w:w="28" w:type="dxa"/>
        </w:tblCellMar>
      </w:tblPr>
      <w:tblGrid>
        <w:gridCol w:w="124"/>
        <w:gridCol w:w="109"/>
        <w:gridCol w:w="109"/>
        <w:gridCol w:w="3065"/>
        <w:gridCol w:w="2943"/>
        <w:gridCol w:w="41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5" w:type="dxa"/>
            <w:tcBorders/>
            <w:shd w:fill="auto" w:val="clear"/>
            <w:vAlign w:val="center"/>
          </w:tcPr>
          <w:p>
            <w:pPr>
              <w:pStyle w:val="TableContents"/>
              <w:spacing w:before="0" w:after="283"/>
              <w:rPr>
                <w:sz w:val="4"/>
                <w:szCs w:val="4"/>
              </w:rPr>
            </w:pPr>
            <w:r>
              <w:rPr>
                <w:sz w:val="4"/>
                <w:szCs w:val="4"/>
              </w:rPr>
            </w:r>
          </w:p>
        </w:tc>
        <w:tc>
          <w:tcPr>
            <w:tcW w:w="2943" w:type="dxa"/>
            <w:tcBorders/>
            <w:shd w:fill="auto" w:val="clear"/>
            <w:vAlign w:val="center"/>
          </w:tcPr>
          <w:p>
            <w:pPr>
              <w:pStyle w:val="TableContents"/>
              <w:spacing w:before="0" w:after="283"/>
              <w:rPr>
                <w:sz w:val="4"/>
                <w:szCs w:val="4"/>
              </w:rPr>
            </w:pPr>
            <w:r>
              <w:rPr>
                <w:sz w:val="4"/>
                <w:szCs w:val="4"/>
              </w:rPr>
            </w:r>
          </w:p>
        </w:tc>
        <w:tc>
          <w:tcPr>
            <w:tcW w:w="41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professional service fees related to the acquisition of heloo in 2022 and other non-recurring transactions.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earn-out consideration recognized as compensation expense related to the acquisition of heloo.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Realized and unrealized foreign currency losses (gains) include the effect of fair market value changes of forward contracts and remeasurement of U.S. dollar-denominated accounts to foreign currency.</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197"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severance payments as a result of certain cost optimization measures we undertook during the period to restructure support roles.</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197"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197"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197"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stock-based compensation expense associated with equity-classified awards, as well as associated payroll tax.</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tax impacts of adjustments to net income which resulted in a tax benefit during the period, including stock-based compensation expense and earn-out consideration.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Net Income Margin represents net income divided by service revenue and Adjusted Net Income Margin represents Adjusted Net Income divided by service revenue.</w:t>
            </w:r>
          </w:p>
        </w:tc>
      </w:tr>
    </w:tbl>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Adjusted EPS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income per share – 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GAAP diluted EPS, the most directly comparable GAAP measure, to Adjusted EPS for the three months ended March 31, 2023 and 2022:</w:t>
      </w:r>
    </w:p>
    <w:tbl>
      <w:tblPr>
        <w:tblW w:w="7347" w:type="dxa"/>
        <w:jc w:val="left"/>
        <w:tblInd w:w="0" w:type="dxa"/>
        <w:tblCellMar>
          <w:top w:w="28" w:type="dxa"/>
          <w:left w:w="28" w:type="dxa"/>
          <w:bottom w:w="28" w:type="dxa"/>
          <w:right w:w="28" w:type="dxa"/>
        </w:tblCellMar>
      </w:tblPr>
      <w:tblGrid>
        <w:gridCol w:w="1474"/>
        <w:gridCol w:w="1299"/>
        <w:gridCol w:w="1306"/>
        <w:gridCol w:w="311"/>
        <w:gridCol w:w="740"/>
        <w:gridCol w:w="137"/>
        <w:gridCol w:w="137"/>
        <w:gridCol w:w="137"/>
        <w:gridCol w:w="137"/>
        <w:gridCol w:w="311"/>
        <w:gridCol w:w="740"/>
        <w:gridCol w:w="137"/>
        <w:gridCol w:w="109"/>
        <w:gridCol w:w="109"/>
        <w:gridCol w:w="109"/>
        <w:gridCol w:w="154"/>
      </w:tblGrid>
      <w:tr>
        <w:trPr/>
        <w:tc>
          <w:tcPr>
            <w:tcW w:w="1474"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diluted EPS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Per share adjustments to net income</w:t>
            </w:r>
            <w:r>
              <w:rPr>
                <w:rFonts w:ascii="Times New Roman;sans-serif" w:hAnsi="Times New Roman;sans-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EPS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diluted</w:t>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100,952,573 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104,122,026 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124"/>
        <w:gridCol w:w="109"/>
        <w:gridCol w:w="109"/>
        <w:gridCol w:w="2983"/>
        <w:gridCol w:w="2983"/>
        <w:gridCol w:w="42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2983"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Reflects the aggregate adjustments made to reconcile net income to Adjusted Net Income, as noted in the above table, divided by the GAAP diluted weighted-average number of shares outstanding for the relevant period.</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19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profitability measure that represents EBITDA before certain items that are considered to hinder comparison of the performance of our businesses on a period-over-period basis or with other businesses. During the periods presented, we excluded from Adjusted EBITDA transaction costs, earn-out consideration, the effect of foreign currency gains and losses, gains and losses on disposals of assets, and stock-based compensation expense and employer payroll tax associated with equity-classified awards,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EBITDA and Adjusted EBITDA for the three months ended March 31, 2023 and 2022:</w:t>
      </w:r>
    </w:p>
    <w:tbl>
      <w:tblPr>
        <w:tblW w:w="8048" w:type="dxa"/>
        <w:jc w:val="left"/>
        <w:tblInd w:w="0" w:type="dxa"/>
        <w:tblCellMar>
          <w:top w:w="28" w:type="dxa"/>
          <w:left w:w="28" w:type="dxa"/>
          <w:bottom w:w="28" w:type="dxa"/>
          <w:right w:w="28" w:type="dxa"/>
        </w:tblCellMar>
      </w:tblPr>
      <w:tblGrid>
        <w:gridCol w:w="1004"/>
        <w:gridCol w:w="883"/>
        <w:gridCol w:w="888"/>
        <w:gridCol w:w="196"/>
        <w:gridCol w:w="646"/>
        <w:gridCol w:w="256"/>
        <w:gridCol w:w="109"/>
        <w:gridCol w:w="109"/>
        <w:gridCol w:w="109"/>
        <w:gridCol w:w="196"/>
        <w:gridCol w:w="646"/>
        <w:gridCol w:w="256"/>
        <w:gridCol w:w="109"/>
        <w:gridCol w:w="109"/>
        <w:gridCol w:w="109"/>
        <w:gridCol w:w="234"/>
        <w:gridCol w:w="754"/>
        <w:gridCol w:w="130"/>
        <w:gridCol w:w="130"/>
        <w:gridCol w:w="130"/>
        <w:gridCol w:w="130"/>
        <w:gridCol w:w="277"/>
        <w:gridCol w:w="279"/>
        <w:gridCol w:w="359"/>
      </w:tblGrid>
      <w:tr>
        <w:trPr/>
        <w:tc>
          <w:tcPr>
            <w:tcW w:w="1004"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over Period Change</w:t>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expenses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Transaction costs</w:t>
            </w:r>
            <w:r>
              <w:rPr>
                <w:rFonts w:ascii="Times New Roman;sans-serif" w:hAnsi="Times New Roman;sans-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Earn-out consideration</w:t>
            </w:r>
            <w:r>
              <w:rPr>
                <w:rFonts w:ascii="Times New Roman;sans-serif" w:hAnsi="Times New Roman;sans-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Foreign currency losses (gains)</w:t>
            </w:r>
            <w:r>
              <w:rPr>
                <w:rFonts w:ascii="Times New Roman;sans-serif" w:hAnsi="Times New Roman;sans-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Severance costs</w:t>
            </w:r>
            <w:r>
              <w:rPr>
                <w:rFonts w:ascii="Times New Roman;sans-serif" w:hAnsi="Times New Roman;sans-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c>
          <w:tcPr>
            <w:tcW w:w="390"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Stock-based compensation expense</w:t>
            </w:r>
            <w:r>
              <w:rPr>
                <w:rFonts w:ascii="Times New Roman;sans-serif" w:hAnsi="Times New Roman;sans-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(6,016)</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3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Net Income Margin</w:t>
            </w:r>
            <w:r>
              <w:rPr>
                <w:rFonts w:ascii="Times New Roman;sans-serif" w:hAnsi="Times New Roman;sans-serif"/>
                <w:b w:val="false"/>
                <w:color w:val="000000"/>
                <w:sz w:val="12"/>
              </w:rPr>
              <w:t>(6)</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Adjusted EBITDA Margin</w:t>
            </w:r>
            <w:r>
              <w:rPr>
                <w:rFonts w:ascii="Times New Roman;sans-serif" w:hAnsi="Times New Roman;sans-serif"/>
                <w:b w:val="false"/>
                <w:color w:val="000000"/>
                <w:sz w:val="12"/>
              </w:rPr>
              <w:t>(6)</w:t>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bl>
      <w:tblPr>
        <w:tblW w:w="10539" w:type="dxa"/>
        <w:jc w:val="left"/>
        <w:tblInd w:w="0" w:type="dxa"/>
        <w:tblCellMar>
          <w:top w:w="28" w:type="dxa"/>
          <w:left w:w="28" w:type="dxa"/>
          <w:bottom w:w="28" w:type="dxa"/>
          <w:right w:w="28" w:type="dxa"/>
        </w:tblCellMar>
      </w:tblPr>
      <w:tblGrid>
        <w:gridCol w:w="124"/>
        <w:gridCol w:w="109"/>
        <w:gridCol w:w="109"/>
        <w:gridCol w:w="3065"/>
        <w:gridCol w:w="2943"/>
        <w:gridCol w:w="41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5" w:type="dxa"/>
            <w:tcBorders/>
            <w:shd w:fill="auto" w:val="clear"/>
            <w:vAlign w:val="center"/>
          </w:tcPr>
          <w:p>
            <w:pPr>
              <w:pStyle w:val="TableContents"/>
              <w:spacing w:before="0" w:after="283"/>
              <w:rPr>
                <w:sz w:val="4"/>
                <w:szCs w:val="4"/>
              </w:rPr>
            </w:pPr>
            <w:r>
              <w:rPr>
                <w:sz w:val="4"/>
                <w:szCs w:val="4"/>
              </w:rPr>
            </w:r>
          </w:p>
        </w:tc>
        <w:tc>
          <w:tcPr>
            <w:tcW w:w="2943" w:type="dxa"/>
            <w:tcBorders/>
            <w:shd w:fill="auto" w:val="clear"/>
            <w:vAlign w:val="center"/>
          </w:tcPr>
          <w:p>
            <w:pPr>
              <w:pStyle w:val="TableContents"/>
              <w:spacing w:before="0" w:after="283"/>
              <w:rPr>
                <w:sz w:val="4"/>
                <w:szCs w:val="4"/>
              </w:rPr>
            </w:pPr>
            <w:r>
              <w:rPr>
                <w:sz w:val="4"/>
                <w:szCs w:val="4"/>
              </w:rPr>
            </w:r>
          </w:p>
        </w:tc>
        <w:tc>
          <w:tcPr>
            <w:tcW w:w="41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professional service fees related to the acquisition of heloo in 2022 and other non-recurring transactions.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earn-out consideration recognized as compensation expense related to the acquisition of heloo.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Realized and unrealized foreign currency losses (gains) include the effect of fair market value changes of forward contracts and remeasurement of U.S. dollar-denominated accounts to foreign currency.</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197"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severance payments as a result of certain cost optimization measures we undertook during the period to restructure support roles.</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197"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197"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197"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stock-based compensation expense associated with equity-classified awards, as well as associated payroll tax.</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Net Income Margin represents net income divided by service revenue and Adjusted EBITDA Margin represents Adjusted EBITDA divided by service revenue.</w:t>
            </w:r>
          </w:p>
        </w:tc>
      </w:tr>
    </w:tbl>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the most directly comparable GAAP measure, to Free Cash Flow for the three months ended March 31, 2023 and 2022:</w:t>
      </w:r>
    </w:p>
    <w:tbl>
      <w:tblPr>
        <w:tblW w:w="5567" w:type="dxa"/>
        <w:jc w:val="center"/>
        <w:tblInd w:w="0" w:type="dxa"/>
        <w:tblCellMar>
          <w:top w:w="28" w:type="dxa"/>
          <w:left w:w="28" w:type="dxa"/>
          <w:bottom w:w="28" w:type="dxa"/>
          <w:right w:w="28" w:type="dxa"/>
        </w:tblCellMar>
      </w:tblPr>
      <w:tblGrid>
        <w:gridCol w:w="1087"/>
        <w:gridCol w:w="952"/>
        <w:gridCol w:w="960"/>
        <w:gridCol w:w="196"/>
        <w:gridCol w:w="646"/>
        <w:gridCol w:w="256"/>
        <w:gridCol w:w="109"/>
        <w:gridCol w:w="109"/>
        <w:gridCol w:w="109"/>
        <w:gridCol w:w="196"/>
        <w:gridCol w:w="646"/>
        <w:gridCol w:w="301"/>
      </w:tblGrid>
      <w:tr>
        <w:trPr/>
        <w:tc>
          <w:tcPr>
            <w:tcW w:w="1087"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36,890 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(5,244)</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(17,770)</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Conversion of Adjusted EBITDA</w:t>
            </w:r>
            <w:r>
              <w:rPr>
                <w:rFonts w:ascii="Times New Roman;sans-serif" w:hAnsi="Times New Roman;sans-serif"/>
                <w:b w:val="false"/>
                <w:color w:val="000000"/>
                <w:sz w:val="12"/>
              </w:rPr>
              <w:t>(1)</w:t>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6807" w:type="dxa"/>
        <w:jc w:val="center"/>
        <w:tblInd w:w="0" w:type="dxa"/>
        <w:tblCellMar>
          <w:top w:w="28" w:type="dxa"/>
          <w:left w:w="28" w:type="dxa"/>
          <w:bottom w:w="28" w:type="dxa"/>
          <w:right w:w="28" w:type="dxa"/>
        </w:tblCellMar>
      </w:tblPr>
      <w:tblGrid>
        <w:gridCol w:w="124"/>
        <w:gridCol w:w="109"/>
        <w:gridCol w:w="109"/>
        <w:gridCol w:w="1893"/>
        <w:gridCol w:w="1893"/>
        <w:gridCol w:w="26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26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Conversion of Adjusted EBITDA represents Free Cash Flow divided by Adjusted EBITDA.</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principal sources of liquidity were cash and cash equivalents totaling $167.0 million, which were held for working capital purposes, as well as the borrowing availability under the 2022 Revolving Credit Facility of $190.0 million.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total indebtedness, net of debt financing fees was $267.0 million. The interest rate in effect for the 2022 Term Loan Facility as of March 31, 2023 was 6.993% per annum. We were in compliance with all debt covenants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See Note 8, “Long-Term Debt” in the Notes to Unaudited Condensed Consolidated Financial Statements included in this Quarterly Report for additional information regarding our debt.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repurchased 389,801 shares of our Class A common stock under the share repurchase program for $6.4 million, which we funded principally with available cash. As of March 31, 2023, approximately $62.7 million remained available for share repurchases under our share repurchase program.</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2022 Credit Facilities will be sufficient to meet our working capital and capital expenditure needs for at least the next 12 months.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our consolidated cash flows from operating, investing and financing activities for the periods indicated:</w:t>
      </w:r>
    </w:p>
    <w:tbl>
      <w:tblPr>
        <w:tblW w:w="5397" w:type="dxa"/>
        <w:jc w:val="center"/>
        <w:tblInd w:w="0" w:type="dxa"/>
        <w:tblCellMar>
          <w:top w:w="28" w:type="dxa"/>
          <w:left w:w="28" w:type="dxa"/>
          <w:bottom w:w="28" w:type="dxa"/>
          <w:right w:w="28" w:type="dxa"/>
        </w:tblCellMar>
      </w:tblPr>
      <w:tblGrid>
        <w:gridCol w:w="1086"/>
        <w:gridCol w:w="955"/>
        <w:gridCol w:w="958"/>
        <w:gridCol w:w="206"/>
        <w:gridCol w:w="682"/>
        <w:gridCol w:w="115"/>
        <w:gridCol w:w="115"/>
        <w:gridCol w:w="115"/>
        <w:gridCol w:w="115"/>
        <w:gridCol w:w="206"/>
        <w:gridCol w:w="682"/>
        <w:gridCol w:w="162"/>
      </w:tblGrid>
      <w:tr>
        <w:trPr/>
        <w:tc>
          <w:tcPr>
            <w:tcW w:w="1086"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43,683 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36,890 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(6,244)</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(17,770)</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(4,094)</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three months ended March 31, 2023 was $43.7 million compared to net cash provided by operating activities of $36.9 million for the three months ended March 31, 2022. Net cash provided by operating activities for the three months ended March 31, 2023 reflects net income of $9.5 million, as well as the add back for non-cash charges totaling $22.0 million and changes in operating assets and liabilities of $12.1 million. Non-cash charges primarily consisted of $13.5 million in stock-based compensation expense, $9.7 million of depreciation and $5.1 million of amortization related to intangibles, partially offset by $6.3 million of unrealized foreign exchange gains on forward contracts. Net cash provided by operating activities for the three months ended March 31, 2022 reflects the net income of $11.6 million, as well as the add back for non-cash charges totaling $34.6 million, primarily driven by $19.6 million in stock-based compensation expense, $8.9 million of depreciation and $4.7 million of amortization related to intangibles. These changes were partially offset by changes in operating assets and liabilities of $9.3 million. </w:t>
      </w:r>
    </w:p>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for the three months ended March 31, 2023 was $6.2 million compared to net cash used in investing activities of $17.8 million for the three months ended March 31, 2022. Net cash used in investing activities primarily consisted of investments in technology and computers and build-out costs associated with site expansions. </w:t>
      </w:r>
    </w:p>
    <w:p>
      <w:pPr>
        <w:pStyle w:val="TextBody"/>
        <w:spacing w:lineRule="auto" w:line="288" w:before="120" w:after="283"/>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by financing activities for the three months ended March 31, 2023 was $7.1 million compared to net cash used in financing activities of $4.1 million for the three months ended March 31, 2022. Net cash used by financing activities for the three months ended March 31, 2023 consisted primarily of payments to acquire shares under our share repurchase program, payments on long-term debt and payments for taxes related to net share settlement of equity awards, partially offset by proceeds from employee stock plans. Net cash used in financing activities for the three months ended March 31, 2022 consisted of payments on long-term debt and payments for taxes related to net share settlement of equity awards.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estimates as reported in our Annual Report.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expose us to a variety of financial risks: market risk (includes foreign currency), interest rate risk and credit risk.</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arises principally from exchange rate risk. Although substantially all of our revenues are denominated in U.S. dollars, a substantial portion of our expenses were incurred and paid in the Philippine peso and Indian rupee in the three months ended March 31, 2023 and 2022. We also incur expenses in U.S. dollars, and currencies of the other countries in which we have operations. The exchange rates among the Philippine peso, Indian rupee and the U.S. dollar have changed substantially in recent years and may fluctuate substantially in the future.</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 average exchange rate of the Philippine peso against the U.S. dollar increased from </w:t>
      </w:r>
      <w:r>
        <w:rPr>
          <w:rFonts w:ascii="Times New Roman;sans-serif" w:hAnsi="Times New Roman;sans-serif"/>
          <w:b w:val="false"/>
          <w:color w:val="000000"/>
          <w:sz w:val="20"/>
          <w:highlight w:val="white"/>
        </w:rPr>
        <w:t>51.56</w:t>
      </w:r>
      <w:r>
        <w:rPr>
          <w:color w:val="000000"/>
        </w:rPr>
        <w:t xml:space="preserve"> </w:t>
      </w:r>
      <w:r>
        <w:rPr>
          <w:rFonts w:ascii="Times New Roman;sans-serif" w:hAnsi="Times New Roman;sans-serif"/>
          <w:b w:val="false"/>
          <w:color w:val="000000"/>
          <w:sz w:val="20"/>
        </w:rPr>
        <w:t>pesos during the three months ended March 31, 2022 to 54.83 pesos during the three months ended March 31, 2023, representing a depreciation of the Philippine peso of 6.3%. Based upon our level of operations during the three months ended March 31, 2023, and excluding any forward contract arrangements that we had in place during that period, a 10% appreciation/depreciation in the Philippine peso against the U.S. dollar would have increased or decreased our expenses incurred and paid in the Philippine peso by approximately $9.6 million or $7.8 million, respectively, in the three months ended March 31, 2023.</w:t>
      </w:r>
    </w:p>
    <w:p>
      <w:pPr>
        <w:pStyle w:val="TextBody"/>
        <w:spacing w:lineRule="auto" w:line="288" w:before="120" w:after="283"/>
        <w:ind w:left="0" w:right="0" w:firstLine="540"/>
        <w:jc w:val="both"/>
        <w:rPr/>
      </w:pPr>
      <w:r>
        <w:rPr>
          <w:rFonts w:ascii="Times New Roman;sans-serif" w:hAnsi="Times New Roman;sans-serif"/>
          <w:b w:val="false"/>
          <w:color w:val="000000"/>
          <w:sz w:val="20"/>
          <w:highlight w:val="white"/>
        </w:rPr>
        <w:t xml:space="preserve">The average exchange rate of the Indian rupee against the U.S. dollar increased from 75.17 rupees during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months ended March 31, 2022</w:t>
      </w:r>
      <w:r>
        <w:rPr>
          <w:color w:val="000000"/>
        </w:rPr>
        <w:t xml:space="preserve"> </w:t>
      </w:r>
      <w:r>
        <w:rPr>
          <w:rFonts w:ascii="Times New Roman;sans-serif" w:hAnsi="Times New Roman;sans-serif"/>
          <w:b w:val="false"/>
          <w:color w:val="000000"/>
          <w:sz w:val="20"/>
        </w:rPr>
        <w:t>to 82.22 rupees</w:t>
      </w:r>
      <w:r>
        <w:rPr>
          <w:color w:val="000000"/>
          <w:highlight w:val="white"/>
        </w:rPr>
        <w:t xml:space="preserve"> </w:t>
      </w:r>
      <w:r>
        <w:rPr>
          <w:rFonts w:ascii="Times New Roman;sans-serif" w:hAnsi="Times New Roman;sans-serif"/>
          <w:b w:val="false"/>
          <w:color w:val="000000"/>
          <w:sz w:val="20"/>
          <w:highlight w:val="white"/>
        </w:rPr>
        <w:t xml:space="preserve">during the three months ended March 31, 2023, representing a depreciation of the Indian rupee of 9.4%. Based upon our level of operations during the three months ended March 31, 2023, a 10% appreciation/depreciation in the Indian rupee against the U.S. dollar would have increased or decreased our expenses incurred and paid in the Indian rupee by approximately </w:t>
      </w:r>
      <w:r>
        <w:rPr>
          <w:rFonts w:ascii="Times New Roman;sans-serif" w:hAnsi="Times New Roman;sans-serif"/>
          <w:b w:val="false"/>
          <w:color w:val="000000"/>
          <w:sz w:val="20"/>
        </w:rPr>
        <w:t>$2.2 million</w:t>
      </w:r>
      <w:r>
        <w:rPr>
          <w:color w:val="000000"/>
          <w:highlight w:val="white"/>
        </w:rPr>
        <w:t xml:space="preserve"> </w:t>
      </w:r>
      <w:r>
        <w:rPr>
          <w:rFonts w:ascii="Times New Roman;sans-serif" w:hAnsi="Times New Roman;sans-serif"/>
          <w:b w:val="false"/>
          <w:color w:val="000000"/>
          <w:sz w:val="20"/>
          <w:highlight w:val="white"/>
        </w:rPr>
        <w:t xml:space="preserve">or </w:t>
      </w:r>
      <w:r>
        <w:rPr>
          <w:rFonts w:ascii="Times New Roman;sans-serif" w:hAnsi="Times New Roman;sans-serif"/>
          <w:b w:val="false"/>
          <w:color w:val="000000"/>
          <w:sz w:val="20"/>
        </w:rPr>
        <w:t>$1.8 million</w:t>
      </w:r>
      <w:r>
        <w:rPr>
          <w:rFonts w:ascii="Times New Roman;sans-serif" w:hAnsi="Times New Roman;sans-serif"/>
          <w:b w:val="false"/>
          <w:color w:val="000000"/>
          <w:sz w:val="20"/>
          <w:highlight w:val="white"/>
        </w:rPr>
        <w:t>, respectively, in the three months ended March 31, 2023.</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These derivatives have not been designated as hedges under ASC Topic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 xml:space="preserve">(“ASC 815”). Changes in the fair value of these derivatives are recognized in the consolidated statements of operations and are included in other expense (income).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realized losses of $1.6 million and $1.4 million, respectively, resulting from the settlement of forward contracts were included within other expense (income).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we had outstanding forward contracts. The forward contract receivable (payable) resulting from changes in fair value was recorded under prepaid expenses and other current assets (accounts payable and accrued liabilities). For the three months ended March 31, 2023 and 2022, the unrealized losses (gains) on the forward contracts of $(6.3) million and $0.8 million, respectively, were included within other expense (income).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market risk is influenced by the changes in interest rates paid on any outstanding balance on our borrowings, mainly under our 2022 Credit Facilities. All of our borrowings outstanding under the 2022 Credit Facilities as of March 31, 2023 accrue interest at SOFR plus 2.25%. Our total principal balance outstanding as of March 31, 2023 was $268.7 million. Based on the outstanding balances and interest rates under the 2022 Credit Facilities as of March 31, 2023, a hypothetical 10% increase or decrease in SOFR would cause an increase or decrease in interest expense of approximately $1.3 million over the next 12 months.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accounts receivable, net of allowance for doubtful accounts, of $170.7 million, of which $47.3 million was owed by two of our clients. Collectively, these clients represented approximately 27% of our gross accounts receivable as of March 31,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the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the design and operation of our disclosure controls and procedures as of March 31, 2023. Based upon that evaluation, our Chief Executive Officer and Chief Financial Officer concluded that, as of March 31, 2023, the design and operation of the our disclosure controls and procedures were effective to accomplish their objectives at the reasonable assurance level.</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with respect to this item can be found under Note 10, “Commitments and Contingencies” in the Notes to Unaudited Condensed Consolidated Financial Statements included in this Quarterly Report and is incorporated by reference into this Item 1.</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our purchases of Class A common stock were as follows:</w:t>
      </w:r>
    </w:p>
    <w:tbl>
      <w:tblPr>
        <w:tblW w:w="10539" w:type="dxa"/>
        <w:jc w:val="left"/>
        <w:tblInd w:w="0" w:type="dxa"/>
        <w:tblCellMar>
          <w:top w:w="28" w:type="dxa"/>
          <w:left w:w="28" w:type="dxa"/>
          <w:bottom w:w="28" w:type="dxa"/>
          <w:right w:w="28" w:type="dxa"/>
        </w:tblCellMar>
      </w:tblPr>
      <w:tblGrid>
        <w:gridCol w:w="585"/>
        <w:gridCol w:w="416"/>
        <w:gridCol w:w="419"/>
        <w:gridCol w:w="563"/>
        <w:gridCol w:w="492"/>
        <w:gridCol w:w="493"/>
        <w:gridCol w:w="109"/>
        <w:gridCol w:w="109"/>
        <w:gridCol w:w="109"/>
        <w:gridCol w:w="291"/>
        <w:gridCol w:w="826"/>
        <w:gridCol w:w="162"/>
        <w:gridCol w:w="109"/>
        <w:gridCol w:w="109"/>
        <w:gridCol w:w="109"/>
        <w:gridCol w:w="869"/>
        <w:gridCol w:w="820"/>
        <w:gridCol w:w="823"/>
        <w:gridCol w:w="109"/>
        <w:gridCol w:w="109"/>
        <w:gridCol w:w="109"/>
        <w:gridCol w:w="548"/>
        <w:gridCol w:w="1809"/>
        <w:gridCol w:w="442"/>
      </w:tblGrid>
      <w:tr>
        <w:trPr/>
        <w:tc>
          <w:tcPr>
            <w:tcW w:w="585"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1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154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Approximate Dollar Value of Shares That May Yet Be Purchased Under the Plans or Programs</w:t>
              <w:br/>
              <w:t>(in thousands)</w:t>
            </w:r>
          </w:p>
        </w:tc>
      </w:tr>
      <w:tr>
        <w:trPr/>
        <w:tc>
          <w:tcPr>
            <w:tcW w:w="1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ind w:left="0" w:right="0" w:hanging="240"/>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2023 through January 31, 2023</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106,148 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106,148 </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67,195 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1, 2023 through February 28, 2023</w:t>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48,300 </w:t>
            </w:r>
          </w:p>
        </w:tc>
        <w:tc>
          <w:tcPr>
            <w:tcW w:w="4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48,300 </w:t>
            </w:r>
          </w:p>
        </w:tc>
        <w:tc>
          <w:tcPr>
            <w:tcW w:w="8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66,276 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2023 through March 31, 2023</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235,353 </w:t>
            </w:r>
          </w:p>
        </w:tc>
        <w:tc>
          <w:tcPr>
            <w:tcW w:w="4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235,353 </w:t>
            </w:r>
          </w:p>
        </w:tc>
        <w:tc>
          <w:tcPr>
            <w:tcW w:w="8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62,659 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389,801 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389,801 </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539" w:type="dxa"/>
        <w:jc w:val="center"/>
        <w:tblInd w:w="0" w:type="dxa"/>
        <w:tblCellMar>
          <w:top w:w="28" w:type="dxa"/>
          <w:left w:w="28" w:type="dxa"/>
          <w:bottom w:w="28" w:type="dxa"/>
          <w:right w:w="28" w:type="dxa"/>
        </w:tblCellMar>
      </w:tblPr>
      <w:tblGrid>
        <w:gridCol w:w="124"/>
        <w:gridCol w:w="109"/>
        <w:gridCol w:w="109"/>
        <w:gridCol w:w="2987"/>
        <w:gridCol w:w="2987"/>
        <w:gridCol w:w="42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42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On September 7, 2022, our board of directors authorized the commencement of a share repurchase program, which authorizes us to purchase up to $100.0 million of shares of our Class A common stock from time to time through open market purchases, in privately negotiated transactions or by other means, including through the use of trading plans intended to qualify under Rule 10b5-1 under the Exchange Act. Open market repurchases are expected to be structured to occur within the pricing volume requirements of Rule 10b-18. The timing and total amount of stock repurchases will depend upon, business, economic and market conditions, corporate and regulatory requirements, prevailing stock prices, restrictions under the terms of our loan agreements and other relevant considerations. The repurchase program terminates on December 31, 2024, and may be modified, suspended or discontinued at any time at our discretion. The program does not obligate the Company to acquire any amount of Class A common stock.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197" w:type="dxa"/>
            <w:gridSpan w:val="3"/>
            <w:tcBorders/>
            <w:shd w:fill="auto" w:val="clear"/>
            <w:tcMar>
              <w:top w:w="0" w:type="dxa"/>
              <w:left w:w="0" w:type="dxa"/>
              <w:bottom w:w="0" w:type="dxa"/>
              <w:right w:w="0" w:type="dxa"/>
            </w:tcMar>
            <w:vAlign w:val="center"/>
          </w:tcPr>
          <w:p>
            <w:pPr>
              <w:pStyle w:val="TableContents"/>
              <w:spacing w:lineRule="auto" w:line="240"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Average price paid per share includes costs associated with the repurchases.</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Section 13(r) Disclosure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219 of the Iran Threat Reduction and Syria Human Rights Act of 2012, which added Section 13(r) of the Exchange Act, we hereby incorporate by reference herein Exhibit 99.1 of this report, which includes disclosures regarding activities at Mundys S.p.A. (formerly, Atlantia S.p.A.), which may be, or may have been at the time considered to be, an affiliate of Blackstone and, therefore, our affiliate.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539" w:type="dxa"/>
        <w:jc w:val="left"/>
        <w:tblInd w:w="0" w:type="dxa"/>
        <w:tblCellMar>
          <w:top w:w="28" w:type="dxa"/>
          <w:left w:w="28" w:type="dxa"/>
          <w:bottom w:w="28" w:type="dxa"/>
          <w:right w:w="28" w:type="dxa"/>
        </w:tblCellMar>
      </w:tblPr>
      <w:tblGrid>
        <w:gridCol w:w="276"/>
        <w:gridCol w:w="242"/>
        <w:gridCol w:w="244"/>
        <w:gridCol w:w="2908"/>
        <w:gridCol w:w="2829"/>
        <w:gridCol w:w="4040"/>
      </w:tblGrid>
      <w:tr>
        <w:trPr/>
        <w:tc>
          <w:tcPr>
            <w:tcW w:w="27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908" w:type="dxa"/>
            <w:tcBorders/>
            <w:shd w:fill="auto" w:val="clear"/>
            <w:vAlign w:val="center"/>
          </w:tcPr>
          <w:p>
            <w:pPr>
              <w:pStyle w:val="TableContents"/>
              <w:spacing w:before="0" w:after="283"/>
              <w:rPr>
                <w:sz w:val="4"/>
                <w:szCs w:val="4"/>
              </w:rPr>
            </w:pPr>
            <w:r>
              <w:rPr>
                <w:sz w:val="4"/>
                <w:szCs w:val="4"/>
              </w:rPr>
            </w:r>
          </w:p>
        </w:tc>
        <w:tc>
          <w:tcPr>
            <w:tcW w:w="2829" w:type="dxa"/>
            <w:tcBorders/>
            <w:shd w:fill="auto" w:val="clear"/>
            <w:vAlign w:val="center"/>
          </w:tcPr>
          <w:p>
            <w:pPr>
              <w:pStyle w:val="TableContents"/>
              <w:spacing w:before="0" w:after="283"/>
              <w:rPr>
                <w:sz w:val="4"/>
                <w:szCs w:val="4"/>
              </w:rPr>
            </w:pPr>
            <w:r>
              <w:rPr>
                <w:sz w:val="4"/>
                <w:szCs w:val="4"/>
              </w:rPr>
            </w:r>
          </w:p>
        </w:tc>
        <w:tc>
          <w:tcPr>
            <w:tcW w:w="4040" w:type="dxa"/>
            <w:tcBorders/>
            <w:shd w:fill="auto" w:val="cle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Exhibit </w:t>
              <w:br/>
              <w:t>No.</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Pr>
                <w:t>Third</w:t>
              </w:r>
            </w:hyperlink>
            <w:hyperlink r:id="rId4">
              <w:r>
                <w:rPr>
                  <w:rStyle w:val="InternetLink"/>
                </w:rPr>
                <w:t xml:space="preserve"> Amended and Restated Bylaws of TaskUs, Inc., dated as of </w:t>
              </w:r>
            </w:hyperlink>
            <w:hyperlink r:id="rId5">
              <w:r>
                <w:rPr>
                  <w:rStyle w:val="InternetLink"/>
                </w:rPr>
                <w:t>March</w:t>
              </w:r>
            </w:hyperlink>
            <w:hyperlink r:id="rId6">
              <w:r>
                <w:rPr>
                  <w:rStyle w:val="InternetLink"/>
                </w:rPr>
                <w:t xml:space="preserve"> </w:t>
              </w:r>
            </w:hyperlink>
            <w:hyperlink r:id="rId7">
              <w:r>
                <w:rPr>
                  <w:rStyle w:val="InternetLink"/>
                </w:rPr>
                <w:t>2</w:t>
              </w:r>
            </w:hyperlink>
            <w:hyperlink r:id="rId8">
              <w:r>
                <w:rPr>
                  <w:rStyle w:val="InternetLink"/>
                </w:rPr>
                <w:t>, 202</w:t>
              </w:r>
            </w:hyperlink>
            <w:hyperlink r:id="rId9">
              <w:r>
                <w:rPr>
                  <w:rStyle w:val="InternetLink"/>
                </w:rPr>
                <w:t>3</w:t>
              </w:r>
            </w:hyperlink>
            <w:hyperlink r:id="rId10">
              <w:r>
                <w:rPr>
                  <w:rStyle w:val="InternetLink"/>
                </w:rPr>
                <w:t xml:space="preserve"> (incorporated by reference to Exhibit 3.</w:t>
              </w:r>
            </w:hyperlink>
            <w:hyperlink r:id="rId11">
              <w:r>
                <w:rPr>
                  <w:rStyle w:val="InternetLink"/>
                </w:rPr>
                <w:t>1</w:t>
              </w:r>
            </w:hyperlink>
            <w:hyperlink r:id="rId12">
              <w:r>
                <w:rPr>
                  <w:rStyle w:val="InternetLink"/>
                </w:rPr>
                <w:t xml:space="preserve"> to the Company’s Current Report on Form 8-K filed on </w:t>
              </w:r>
            </w:hyperlink>
            <w:hyperlink r:id="rId13">
              <w:r>
                <w:rPr>
                  <w:rStyle w:val="InternetLink"/>
                </w:rPr>
                <w:t>March</w:t>
              </w:r>
            </w:hyperlink>
            <w:hyperlink r:id="rId14">
              <w:r>
                <w:rPr>
                  <w:rStyle w:val="InternetLink"/>
                </w:rPr>
                <w:t xml:space="preserve"> </w:t>
              </w:r>
            </w:hyperlink>
            <w:hyperlink r:id="rId15">
              <w:r>
                <w:rPr>
                  <w:rStyle w:val="InternetLink"/>
                </w:rPr>
                <w:t>7</w:t>
              </w:r>
            </w:hyperlink>
            <w:hyperlink r:id="rId16">
              <w:r>
                <w:rPr>
                  <w:rStyle w:val="InternetLink"/>
                </w:rPr>
                <w:t>, 202</w:t>
              </w:r>
            </w:hyperlink>
            <w:hyperlink r:id="rId17">
              <w:r>
                <w:rPr>
                  <w:rStyle w:val="InternetLink"/>
                </w:rPr>
                <w:t>3</w:t>
              </w:r>
            </w:hyperlink>
            <w:hyperlink r:id="rId18">
              <w:r>
                <w:rPr>
                  <w:rStyle w:val="InternetLink"/>
                </w:rPr>
                <w:t>).</w:t>
              </w:r>
            </w:hyperlink>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Pay Change Memo, dated February 28, 2023, for Bryce Maddock (incorporated by reference to Exhibit 10.34 to the Company’s Annual Report on Form 10-K filed on March 6, 2023).</w:t>
              </w:r>
            </w:hyperlink>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Pay Change Memo, dated February 28, 2023, for Jaspar Weir (incorporated by reference to Exhibit 10.35 to the Company’s Annual Report on Form 10-K filed on March 6, 2023).</w:t>
              </w:r>
            </w:hyperlink>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q12023.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q12023.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q12023.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q12023.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1irannoticeq12023.htm">
              <w:r>
                <w:rPr>
                  <w:rStyle w:val="InternetLink"/>
                  <w:rFonts w:ascii="Times New Roman;sans-serif" w:hAnsi="Times New Roman;sans-serif"/>
                  <w:b w:val="false"/>
                  <w:color w:val="0000FF"/>
                  <w:sz w:val="20"/>
                  <w:u w:val="single"/>
                </w:rPr>
                <w:t>Section 13(r) Disclosure.</w:t>
              </w:r>
            </w:hyperlink>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XBRL document</w:t>
            </w:r>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Management contract or compensatory plan or arrangement.</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4b37b879bb48407580430c484c8538cd_7">
        <w:r>
          <w:rPr>
            <w:rStyle w:val="InternetLink"/>
          </w:rPr>
          <w:t>Table</w:t>
        </w:r>
      </w:hyperlink>
      <w:hyperlink w:anchor="i4b37b879bb48407580430c484c8538cd_7">
        <w:r>
          <w:rPr>
            <w:rStyle w:val="InternetLink"/>
          </w:rPr>
          <w:t xml:space="preserv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071" w:type="dxa"/>
        <w:jc w:val="left"/>
        <w:tblInd w:w="0" w:type="dxa"/>
        <w:tblCellMar>
          <w:top w:w="28" w:type="dxa"/>
          <w:left w:w="28" w:type="dxa"/>
          <w:bottom w:w="28" w:type="dxa"/>
          <w:right w:w="28" w:type="dxa"/>
        </w:tblCellMar>
      </w:tblPr>
      <w:tblGrid>
        <w:gridCol w:w="200"/>
        <w:gridCol w:w="177"/>
        <w:gridCol w:w="178"/>
        <w:gridCol w:w="379"/>
        <w:gridCol w:w="379"/>
        <w:gridCol w:w="381"/>
        <w:gridCol w:w="216"/>
        <w:gridCol w:w="216"/>
        <w:gridCol w:w="216"/>
        <w:gridCol w:w="790"/>
        <w:gridCol w:w="790"/>
        <w:gridCol w:w="114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TASKUS,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6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Amaya</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Amaya</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President—Finance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Bryce Maddock, certify that: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2023 of TaskUs, Inc.;</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08" w:type="dxa"/>
        <w:jc w:val="left"/>
        <w:tblInd w:w="0" w:type="dxa"/>
        <w:tblCellMar>
          <w:top w:w="28" w:type="dxa"/>
          <w:left w:w="28" w:type="dxa"/>
          <w:bottom w:w="28" w:type="dxa"/>
          <w:right w:w="28" w:type="dxa"/>
        </w:tblCellMar>
      </w:tblPr>
      <w:tblGrid>
        <w:gridCol w:w="591"/>
        <w:gridCol w:w="520"/>
        <w:gridCol w:w="523"/>
        <w:gridCol w:w="723"/>
        <w:gridCol w:w="723"/>
        <w:gridCol w:w="1028"/>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75260"/>
                <wp:effectExtent l="0" t="0" r="0" b="0"/>
                <wp:wrapNone/>
                <wp:docPr id="33" name="Frame3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Balaji Sekar, certify that: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March 31, 2023 of TaskUs, Inc.;</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049" w:type="dxa"/>
        <w:jc w:val="right"/>
        <w:tblInd w:w="0" w:type="dxa"/>
        <w:tblCellMar>
          <w:top w:w="28" w:type="dxa"/>
          <w:left w:w="28" w:type="dxa"/>
          <w:bottom w:w="28" w:type="dxa"/>
          <w:right w:w="28" w:type="dxa"/>
        </w:tblCellMar>
      </w:tblPr>
      <w:tblGrid>
        <w:gridCol w:w="591"/>
        <w:gridCol w:w="520"/>
        <w:gridCol w:w="523"/>
        <w:gridCol w:w="707"/>
        <w:gridCol w:w="707"/>
        <w:gridCol w:w="100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75260"/>
                <wp:effectExtent l="0" t="0" r="0" b="0"/>
                <wp:wrapNone/>
                <wp:docPr id="34" name="Frame3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540"/>
        <w:rPr/>
      </w:pPr>
      <w:r>
        <w:rPr>
          <w:rFonts w:ascii="Times New Roman;sans-serif" w:hAnsi="Times New Roman;sans-serif"/>
          <w:b w:val="false"/>
          <w:color w:val="000000"/>
          <w:sz w:val="20"/>
        </w:rPr>
        <w:t>In connection with the Quarterly Report on Form 10-Q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quarter ended March 31, 2023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Bryce Maddock, Chief Executive Officer of the Company, certify, pursuant to 18 U.S.C. Section 1350, as adopted pursuant to Section 906 of the Sarbanes-Oxley Act of 2002, that: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816" w:type="dxa"/>
        <w:jc w:val="left"/>
        <w:tblInd w:w="0" w:type="dxa"/>
        <w:tblCellMar>
          <w:top w:w="28" w:type="dxa"/>
          <w:left w:w="28" w:type="dxa"/>
          <w:bottom w:w="28" w:type="dxa"/>
          <w:right w:w="28" w:type="dxa"/>
        </w:tblCellMar>
      </w:tblPr>
      <w:tblGrid>
        <w:gridCol w:w="884"/>
        <w:gridCol w:w="779"/>
        <w:gridCol w:w="781"/>
        <w:gridCol w:w="109"/>
        <w:gridCol w:w="109"/>
        <w:gridCol w:w="154"/>
      </w:tblGrid>
      <w:tr>
        <w:trPr/>
        <w:tc>
          <w:tcPr>
            <w:tcW w:w="884"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Bryce Maddock</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Bryce Maddock</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May 9, 2023</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75260"/>
                <wp:effectExtent l="0" t="0" r="0" b="0"/>
                <wp:wrapNone/>
                <wp:docPr id="35" name="Frame3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540"/>
        <w:rPr/>
      </w:pPr>
      <w:r>
        <w:rPr>
          <w:rFonts w:ascii="Times New Roman;sans-serif" w:hAnsi="Times New Roman;sans-serif"/>
          <w:b w:val="false"/>
          <w:color w:val="000000"/>
          <w:sz w:val="20"/>
        </w:rPr>
        <w:t>In connection with the Quarterly Report on Form 10-Q of TaskUs,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for the quarter ended March 31, 2023 as filed with the Securities and Exchange Commission on the date hereof (the “</w:t>
      </w:r>
      <w:r>
        <w:rPr>
          <w:rFonts w:ascii="Times New Roman;sans-serif" w:hAnsi="Times New Roman;sans-serif"/>
          <w:b w:val="false"/>
          <w:color w:val="000000"/>
          <w:sz w:val="20"/>
          <w:u w:val="single"/>
        </w:rPr>
        <w:t>Report</w:t>
      </w:r>
      <w:r>
        <w:rPr>
          <w:color w:val="000000"/>
        </w:rPr>
        <w:t>”</w:t>
      </w:r>
      <w:r>
        <w:rPr>
          <w:rFonts w:ascii="Times New Roman;sans-serif" w:hAnsi="Times New Roman;sans-serif"/>
          <w:b w:val="false"/>
          <w:color w:val="000000"/>
          <w:sz w:val="20"/>
        </w:rPr>
        <w:t>), I, Balaji Sekar, Chief Financial Officer of the Company, certify, pursuant to 18 U.S.C. Section 1350, as adopted pursuant to Section 906 of the Sarbanes-Oxley Act of 2002, that:</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2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CellMar>
          <w:top w:w="28" w:type="dxa"/>
          <w:left w:w="28" w:type="dxa"/>
          <w:bottom w:w="28" w:type="dxa"/>
          <w:right w:w="28" w:type="dxa"/>
        </w:tblCellMar>
      </w:tblPr>
      <w:tblGrid>
        <w:gridCol w:w="865"/>
        <w:gridCol w:w="756"/>
        <w:gridCol w:w="764"/>
        <w:gridCol w:w="109"/>
        <w:gridCol w:w="109"/>
        <w:gridCol w:w="154"/>
      </w:tblGrid>
      <w:tr>
        <w:trPr/>
        <w:tc>
          <w:tcPr>
            <w:tcW w:w="86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Balaji Sekar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Balaji Sekar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May 9, 2023</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75260"/>
                <wp:effectExtent l="0" t="0" r="0" b="0"/>
                <wp:wrapNone/>
                <wp:docPr id="36" name="Frame3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13(r) Disclosure</w:t>
      </w:r>
    </w:p>
    <w:p>
      <w:pPr>
        <w:pStyle w:val="TextBody"/>
        <w:spacing w:before="0" w:after="0"/>
        <w:ind w:left="0" w:right="0" w:firstLine="490"/>
        <w:rPr/>
      </w:pPr>
      <w:r>
        <w:rPr/>
      </w:r>
    </w:p>
    <w:p>
      <w:pPr>
        <w:pStyle w:val="TextBody"/>
        <w:spacing w:lineRule="auto" w:line="268" w:before="0" w:after="0"/>
        <w:ind w:left="0" w:right="0" w:firstLine="540"/>
        <w:jc w:val="both"/>
        <w:rPr/>
      </w:pPr>
      <w:r>
        <w:rPr>
          <w:rFonts w:ascii="Times New Roman;sans-serif" w:hAnsi="Times New Roman;sans-serif"/>
          <w:b w:val="false"/>
          <w:i/>
          <w:color w:val="000000"/>
          <w:sz w:val="20"/>
        </w:rPr>
        <w:t>The disclosure reproduced below was initially included in the Quarterly Report on Form 10-Q filed with the Securities and Exchange Commission by Blackstone Inc. (“Blackstone”) with respect to its fiscal quarter ended March 31, 2023, in accordance with Section 13(r) of the Securities Exchange Act of 1934, as amended, in regard to Mundys S.p.A. (formerly, Atlantia S.PA.).</w:t>
      </w:r>
      <w:r>
        <w:rPr>
          <w:color w:val="000000"/>
        </w:rPr>
        <w:t xml:space="preserve"> </w:t>
      </w:r>
      <w:r>
        <w:rPr>
          <w:rFonts w:ascii="Times New Roman;sans-serif" w:hAnsi="Times New Roman;sans-serif"/>
          <w:b w:val="false"/>
          <w:i/>
          <w:color w:val="000000"/>
          <w:sz w:val="20"/>
        </w:rPr>
        <w:t>Mundys S.p.A. may be, or may have been at the time considered to be, an affiliate of Blackstone, and therefore an affiliate of TaskUs, Inc. (“TaskUs”).</w:t>
      </w:r>
      <w:r>
        <w:rPr>
          <w:color w:val="000000"/>
        </w:rPr>
        <w:t xml:space="preserve"> </w:t>
      </w:r>
      <w:r>
        <w:rPr>
          <w:rFonts w:ascii="Times New Roman;sans-serif" w:hAnsi="Times New Roman;sans-serif"/>
          <w:b w:val="false"/>
          <w:i/>
          <w:color w:val="000000"/>
          <w:sz w:val="20"/>
        </w:rPr>
        <w:t>TaskUs did not independently verify or participate in the preparation of the disclosure reproduced below.</w:t>
      </w:r>
    </w:p>
    <w:p>
      <w:pPr>
        <w:pStyle w:val="TextBody"/>
        <w:spacing w:lineRule="auto" w:line="26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Blackstone included the following disclosure in its Quarterly Report on Form 10-Q for the quarter ended March 31, 2023:</w:t>
      </w:r>
    </w:p>
    <w:p>
      <w:pPr>
        <w:pStyle w:val="TextBody"/>
        <w:spacing w:lineRule="auto" w:line="26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Mundys S.p.A. (formerly “Atlantia S.p.A.”) provided the disclosure reproduced below in connection with activities during the quarter ended March 31, 2023. We have not independently verified or participated in the preparation of this disclosure.</w:t>
      </w:r>
    </w:p>
    <w:p>
      <w:pPr>
        <w:pStyle w:val="TextBody"/>
        <w:spacing w:lineRule="auto" w:line="268" w:before="120" w:after="283"/>
        <w:ind w:left="0" w:right="0" w:firstLine="540"/>
        <w:jc w:val="both"/>
        <w:rPr>
          <w:color w:val="000000"/>
        </w:rPr>
      </w:pPr>
      <w:r>
        <w:rPr>
          <w:color w:val="000000"/>
        </w:rPr>
        <w:t>“</w:t>
      </w:r>
      <w:r>
        <w:rPr>
          <w:rFonts w:ascii="Times New Roman;sans-serif" w:hAnsi="Times New Roman;sans-serif"/>
          <w:b w:val="false"/>
          <w:color w:val="000000"/>
          <w:sz w:val="20"/>
        </w:rPr>
        <w:t>Disclosure pursuant to Section 13(r) of the Securities Exchange Act of 1934. Funds affiliated with Blackstone first invested in Mundys S.p.A. (formerly “Atlantia S.p.A.”) on November 18, 2022 in connection with the voluntary public tender offer by Schema Alfa S.p.A. for all of the shares of Mundys S.p.A., pursuant to which such funds obtained a minority non-controlling interest in Mundys S.p.A. Mundys S.p.A. owns and controls Aeroporti di Roma S.p.A. (“ADR”), an operator of airports in Italy including Leonardo da Vinci-Fiumicino Airport. Iran Air has historically operated periodic flights to and from Leonardo da Vinci-Fiumicino Airport as authorized, from time to time, by an aviation-related bilateral agreement between Italy and Iran, scheduled in compliance with European Regulation 95/93, and approved by the Italian Civil Aviation Authority. ADR, as airport operator, is under a mandatory obligation to provide airport services to all air carriers (including Iran Air) authorized by the applicable Italian authority. The relevant turnover attributable to these activities (whose consideration is calculated on the basis of general tariffs determined by such independent Italian authority) in the quarter ended March 31, 2023 was less than €35,000. Mundys S.p.A. does not track profits specifically attributable to these activities.”</w:t>
      </w:r>
      <w:r>
        <w:br w:type="page"/>
      </w:r>
    </w:p>
    <w:p>
      <w:pPr>
        <w:pStyle w:val="TextBody"/>
        <w:spacing w:before="0" w:after="283"/>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75260"/>
                <wp:effectExtent l="0" t="0" r="0" b="0"/>
                <wp:wrapNone/>
                <wp:docPr id="37" name="Frame3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119312521191190/d191129dex31.htm" TargetMode="External"/><Relationship Id="rId3" Type="http://schemas.openxmlformats.org/officeDocument/2006/relationships/hyperlink" Target="https://www.sec.gov/Archives/edgar/data/1829864/000182986423000026/exhibit31thirdamendedandre.htm" TargetMode="External"/><Relationship Id="rId4" Type="http://schemas.openxmlformats.org/officeDocument/2006/relationships/hyperlink" Target="https://www.sec.gov/Archives/edgar/data/1829864/000182986423000026/exhibit31thirdamendedandre.htm" TargetMode="External"/><Relationship Id="rId5" Type="http://schemas.openxmlformats.org/officeDocument/2006/relationships/hyperlink" Target="https://www.sec.gov/Archives/edgar/data/1829864/000182986423000026/exhibit31thirdamendedandre.htm" TargetMode="External"/><Relationship Id="rId6" Type="http://schemas.openxmlformats.org/officeDocument/2006/relationships/hyperlink" Target="https://www.sec.gov/Archives/edgar/data/1829864/000182986423000026/exhibit31thirdamendedandre.htm" TargetMode="External"/><Relationship Id="rId7" Type="http://schemas.openxmlformats.org/officeDocument/2006/relationships/hyperlink" Target="https://www.sec.gov/Archives/edgar/data/1829864/000182986423000026/exhibit31thirdamendedandre.htm" TargetMode="External"/><Relationship Id="rId8" Type="http://schemas.openxmlformats.org/officeDocument/2006/relationships/hyperlink" Target="https://www.sec.gov/Archives/edgar/data/1829864/000182986423000026/exhibit31thirdamendedandre.htm" TargetMode="External"/><Relationship Id="rId9" Type="http://schemas.openxmlformats.org/officeDocument/2006/relationships/hyperlink" Target="https://www.sec.gov/Archives/edgar/data/1829864/000182986423000026/exhibit31thirdamendedandre.htm" TargetMode="External"/><Relationship Id="rId10" Type="http://schemas.openxmlformats.org/officeDocument/2006/relationships/hyperlink" Target="https://www.sec.gov/Archives/edgar/data/1829864/000182986423000026/exhibit31thirdamendedandre.htm" TargetMode="External"/><Relationship Id="rId11" Type="http://schemas.openxmlformats.org/officeDocument/2006/relationships/hyperlink" Target="https://www.sec.gov/Archives/edgar/data/1829864/000182986423000026/exhibit31thirdamendedandre.htm" TargetMode="External"/><Relationship Id="rId12" Type="http://schemas.openxmlformats.org/officeDocument/2006/relationships/hyperlink" Target="https://www.sec.gov/Archives/edgar/data/1829864/000182986423000026/exhibit31thirdamendedandre.htm" TargetMode="External"/><Relationship Id="rId13" Type="http://schemas.openxmlformats.org/officeDocument/2006/relationships/hyperlink" Target="https://www.sec.gov/Archives/edgar/data/1829864/000182986423000026/exhibit31thirdamendedandre.htm" TargetMode="External"/><Relationship Id="rId14" Type="http://schemas.openxmlformats.org/officeDocument/2006/relationships/hyperlink" Target="https://www.sec.gov/Archives/edgar/data/1829864/000182986423000026/exhibit31thirdamendedandre.htm" TargetMode="External"/><Relationship Id="rId15" Type="http://schemas.openxmlformats.org/officeDocument/2006/relationships/hyperlink" Target="https://www.sec.gov/Archives/edgar/data/1829864/000182986423000026/exhibit31thirdamendedandre.htm" TargetMode="External"/><Relationship Id="rId16" Type="http://schemas.openxmlformats.org/officeDocument/2006/relationships/hyperlink" Target="https://www.sec.gov/Archives/edgar/data/1829864/000182986423000026/exhibit31thirdamendedandre.htm" TargetMode="External"/><Relationship Id="rId17" Type="http://schemas.openxmlformats.org/officeDocument/2006/relationships/hyperlink" Target="https://www.sec.gov/Archives/edgar/data/1829864/000182986423000026/exhibit31thirdamendedandre.htm" TargetMode="External"/><Relationship Id="rId18" Type="http://schemas.openxmlformats.org/officeDocument/2006/relationships/hyperlink" Target="https://www.sec.gov/Archives/edgar/data/1829864/000182986423000026/exhibit31thirdamendedandre.htm" TargetMode="External"/><Relationship Id="rId19" Type="http://schemas.openxmlformats.org/officeDocument/2006/relationships/hyperlink" Target="https://www.sec.gov/Archives/edgar/data/1829864/000182986423000011/exhibit10342022.htm" TargetMode="External"/><Relationship Id="rId20" Type="http://schemas.openxmlformats.org/officeDocument/2006/relationships/hyperlink" Target="https://www.sec.gov/Archives/edgar/data/1829864/000182986423000011/exhibit10352022.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16886</Words>
  <CharactersWithSpaces>110014</CharactersWithSpaces>
  <Paragraphs>2109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