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from_____________to______________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001-40482</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tbl>
      <w:tblPr>
        <w:tblW w:w="7304" w:type="dxa"/>
        <w:jc w:val="left"/>
        <w:tblInd w:w="0" w:type="dxa"/>
        <w:tblLayout w:type="fixed"/>
        <w:tblCellMar>
          <w:top w:w="28" w:type="dxa"/>
          <w:left w:w="28" w:type="dxa"/>
          <w:bottom w:w="28" w:type="dxa"/>
          <w:right w:w="28" w:type="dxa"/>
        </w:tblCellMar>
      </w:tblPr>
      <w:tblGrid>
        <w:gridCol w:w="1648"/>
        <w:gridCol w:w="1446"/>
        <w:gridCol w:w="1466"/>
        <w:gridCol w:w="801"/>
        <w:gridCol w:w="801"/>
        <w:gridCol w:w="1142"/>
      </w:tblGrid>
      <w:t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1650 Independence Drive, Suite 100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Braunfels, Texas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78132</w:t>
            </w:r>
          </w:p>
        </w:tc>
      </w:tr>
      <w:t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(888) 400-8275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ind w:left="0" w:right="0" w:firstLine="540"/>
        <w:jc w:val="both"/>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240" w:after="283"/>
        <w:ind w:left="0" w:right="0" w:firstLine="540"/>
        <w:jc w:val="both"/>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92"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18"/>
        <w:gridCol w:w="118"/>
        <w:gridCol w:w="170"/>
      </w:tblGrid>
      <w:t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bl>
    <w:p>
      <w:pPr>
        <w:pStyle w:val="TextBody"/>
        <w:bidi w:val="0"/>
        <w:spacing w:lineRule="auto" w:line="288" w:before="240" w:after="283"/>
        <w:ind w:left="0" w:right="0" w:firstLine="540"/>
        <w:jc w:val="both"/>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540"/>
        <w:jc w:val="both"/>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October 30, 2026, the number of shares outstanding of the registrant’s common stock was as follows: Class A common stock, par value $0.01 per share: 36,698,979; Class B common stock, par value $0.01 per share: 55,032,694.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Quarterly Period Ended 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062" w:type="dxa"/>
        <w:jc w:val="left"/>
        <w:tblInd w:w="0" w:type="dxa"/>
        <w:tblLayout w:type="fixed"/>
        <w:tblCellMar>
          <w:top w:w="28" w:type="dxa"/>
          <w:left w:w="28" w:type="dxa"/>
          <w:bottom w:w="28" w:type="dxa"/>
          <w:right w:w="28" w:type="dxa"/>
        </w:tblCellMar>
      </w:tblPr>
      <w:tblGrid>
        <w:gridCol w:w="321"/>
        <w:gridCol w:w="281"/>
        <w:gridCol w:w="284"/>
        <w:gridCol w:w="2454"/>
        <w:gridCol w:w="2454"/>
        <w:gridCol w:w="2457"/>
        <w:gridCol w:w="237"/>
        <w:gridCol w:w="237"/>
        <w:gridCol w:w="337"/>
      </w:tblGrid>
      <w:t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0">
              <w:r>
                <w:rPr>
                  <w:rStyle w:val="InternetLink"/>
                  <w:rFonts w:ascii="Times New Roman;serif" w:hAnsi="Times New Roman;serif"/>
                  <w:b w:val="false"/>
                  <w:color w:val="0000FF"/>
                  <w:sz w:val="20"/>
                  <w:u w:val="single"/>
                </w:rPr>
                <w:t>CAUTIONARY NOTE REGARDING 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0">
              <w:r>
                <w:rPr>
                  <w:rStyle w:val="InternetLink"/>
                  <w:rFonts w:ascii="Times New Roman;serif" w:hAnsi="Times New Roman;serif"/>
                  <w:b w:val="false"/>
                  <w:strike w:val="false"/>
                  <w:dstrike w:val="false"/>
                  <w:color w:val="000000"/>
                  <w:sz w:val="20"/>
                  <w:u w:val="none"/>
                  <w:effect w:val="none"/>
                </w:rPr>
                <w:t>1</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3">
              <w:r>
                <w:rPr>
                  <w:rStyle w:val="InternetLink"/>
                  <w:rFonts w:ascii="Times New Roman;serif" w:hAnsi="Times New Roman;serif"/>
                  <w:b w:val="false"/>
                  <w:color w:val="0000FF"/>
                  <w:sz w:val="20"/>
                  <w:u w:val="single"/>
                </w:rPr>
                <w:t>WEBSITE AND SOCIAL MEDIA DISCLOSURE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3">
              <w:r>
                <w:rPr>
                  <w:rStyle w:val="InternetLink"/>
                  <w:rFonts w:ascii="Times New Roman;serif" w:hAnsi="Times New Roman;serif"/>
                  <w:b w:val="false"/>
                  <w:strike w:val="false"/>
                  <w:dstrike w:val="false"/>
                  <w:color w:val="000000"/>
                  <w:sz w:val="20"/>
                  <w:u w:val="none"/>
                  <w:effect w:val="none"/>
                </w:rPr>
                <w:t>2</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6">
              <w:r>
                <w:rPr>
                  <w:rStyle w:val="InternetLink"/>
                  <w:rFonts w:ascii="Times New Roman;serif" w:hAnsi="Times New Roman;serif"/>
                  <w:b/>
                  <w:color w:val="000000"/>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6">
              <w:r>
                <w:rPr>
                  <w:rStyle w:val="InternetLink"/>
                  <w:rFonts w:ascii="Times New Roman;serif" w:hAnsi="Times New Roman;serif"/>
                  <w:b/>
                  <w:color w:val="0000FF"/>
                  <w:sz w:val="20"/>
                  <w:u w:val="singl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6">
              <w:r>
                <w:rPr>
                  <w:rStyle w:val="InternetLink"/>
                  <w:rFonts w:ascii="Times New Roman;serif" w:hAnsi="Times New Roman;serif"/>
                  <w:b w:val="false"/>
                  <w:strike w:val="false"/>
                  <w:dstrike w:val="false"/>
                  <w:color w:val="000000"/>
                  <w:sz w:val="20"/>
                  <w:u w:val="none"/>
                  <w:effect w:val="none"/>
                </w:rPr>
                <w:t>3</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9">
              <w:r>
                <w:rPr>
                  <w:rStyle w:val="InternetLink"/>
                  <w:rFonts w:ascii="Times New Roman;serif" w:hAnsi="Times New Roman;serif"/>
                  <w:b w:val="false"/>
                  <w:color w:val="0000FF"/>
                  <w:sz w:val="20"/>
                  <w:u w:val="single"/>
                </w:rPr>
                <w:t>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9">
              <w:r>
                <w:rPr>
                  <w:rStyle w:val="InternetLink"/>
                  <w:rFonts w:ascii="Times New Roman;serif" w:hAnsi="Times New Roman;serif"/>
                  <w:b w:val="false"/>
                  <w:strike w:val="false"/>
                  <w:dstrike w:val="false"/>
                  <w:color w:val="000000"/>
                  <w:sz w:val="20"/>
                  <w:u w:val="none"/>
                  <w:effect w:val="none"/>
                </w:rPr>
                <w:t>3</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22">
              <w:r>
                <w:rPr>
                  <w:rStyle w:val="InternetLink"/>
                  <w:rFonts w:ascii="Times New Roman;serif" w:hAnsi="Times New Roman;serif"/>
                  <w:b w:val="false"/>
                  <w:color w:val="0000FF"/>
                  <w:sz w:val="20"/>
                  <w:u w:val="single"/>
                </w:rPr>
                <w:t>Unaudited 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22">
              <w:r>
                <w:rPr>
                  <w:rStyle w:val="InternetLink"/>
                  <w:rFonts w:ascii="Times New Roman;serif" w:hAnsi="Times New Roman;serif"/>
                  <w:b w:val="false"/>
                  <w:strike w:val="false"/>
                  <w:dstrike w:val="false"/>
                  <w:color w:val="000000"/>
                  <w:sz w:val="20"/>
                  <w:u w:val="none"/>
                  <w:effect w:val="none"/>
                </w:rPr>
                <w:t>3</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25">
              <w:r>
                <w:rPr>
                  <w:rStyle w:val="InternetLink"/>
                  <w:rFonts w:ascii="Times New Roman;serif" w:hAnsi="Times New Roman;serif"/>
                  <w:b w:val="false"/>
                  <w:color w:val="0000FF"/>
                  <w:sz w:val="20"/>
                  <w:u w:val="single"/>
                </w:rPr>
                <w:t>Unaudited Condensed Consolidated Statements of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25">
              <w:r>
                <w:rPr>
                  <w:rStyle w:val="InternetLink"/>
                  <w:rFonts w:ascii="Times New Roman;serif" w:hAnsi="Times New Roman;serif"/>
                  <w:b w:val="false"/>
                  <w:strike w:val="false"/>
                  <w:dstrike w:val="false"/>
                  <w:color w:val="000000"/>
                  <w:sz w:val="20"/>
                  <w:u w:val="none"/>
                  <w:effect w:val="none"/>
                </w:rPr>
                <w:t>4</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28">
              <w:r>
                <w:rPr>
                  <w:rStyle w:val="InternetLink"/>
                  <w:rFonts w:ascii="Times New Roman;serif" w:hAnsi="Times New Roman;serif"/>
                  <w:b w:val="false"/>
                  <w:color w:val="0000FF"/>
                  <w:sz w:val="20"/>
                  <w:u w:val="single"/>
                </w:rPr>
                <w:t>Unaudited Condensed 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28">
              <w:r>
                <w:rPr>
                  <w:rStyle w:val="InternetLink"/>
                  <w:rFonts w:ascii="Times New Roman;serif" w:hAnsi="Times New Roman;serif"/>
                  <w:b w:val="false"/>
                  <w:strike w:val="false"/>
                  <w:dstrike w:val="false"/>
                  <w:color w:val="000000"/>
                  <w:sz w:val="20"/>
                  <w:u w:val="none"/>
                  <w:effect w:val="none"/>
                </w:rPr>
                <w:t>5</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31">
              <w:r>
                <w:rPr>
                  <w:rStyle w:val="InternetLink"/>
                  <w:rFonts w:ascii="Times New Roman;serif" w:hAnsi="Times New Roman;serif"/>
                  <w:b w:val="false"/>
                  <w:color w:val="0000FF"/>
                  <w:sz w:val="20"/>
                  <w:u w:val="single"/>
                </w:rPr>
                <w:t>Unaudited Condensed Consolidated Statements of Shareholders’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31">
              <w:r>
                <w:rPr>
                  <w:rStyle w:val="InternetLink"/>
                  <w:rFonts w:ascii="Times New Roman;serif" w:hAnsi="Times New Roman;serif"/>
                  <w:b w:val="false"/>
                  <w:strike w:val="false"/>
                  <w:dstrike w:val="false"/>
                  <w:color w:val="000000"/>
                  <w:sz w:val="20"/>
                  <w:u w:val="none"/>
                  <w:effect w:val="none"/>
                </w:rPr>
                <w:t>6</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34">
              <w:r>
                <w:rPr>
                  <w:rStyle w:val="InternetLink"/>
                  <w:rFonts w:ascii="Times New Roman;serif" w:hAnsi="Times New Roman;serif"/>
                  <w:b w:val="false"/>
                  <w:color w:val="0000FF"/>
                  <w:sz w:val="20"/>
                  <w:u w:val="single"/>
                </w:rPr>
                <w:t>Unaudited 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34">
              <w:r>
                <w:rPr>
                  <w:rStyle w:val="InternetLink"/>
                  <w:rFonts w:ascii="Times New Roman;serif" w:hAnsi="Times New Roman;serif"/>
                  <w:b w:val="false"/>
                  <w:strike w:val="false"/>
                  <w:dstrike w:val="false"/>
                  <w:color w:val="000000"/>
                  <w:sz w:val="20"/>
                  <w:u w:val="none"/>
                  <w:effect w:val="none"/>
                </w:rPr>
                <w:t>7</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37">
              <w:r>
                <w:rPr>
                  <w:rStyle w:val="InternetLink"/>
                  <w:rFonts w:ascii="Times New Roman;serif" w:hAnsi="Times New Roman;serif"/>
                  <w:b w:val="false"/>
                  <w:color w:val="0000FF"/>
                  <w:sz w:val="20"/>
                  <w:u w:val="single"/>
                </w:rPr>
                <w:t>Notes to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37">
              <w:r>
                <w:rPr>
                  <w:rStyle w:val="InternetLink"/>
                  <w:rFonts w:ascii="Times New Roman;serif" w:hAnsi="Times New Roman;serif"/>
                  <w:b w:val="false"/>
                  <w:strike w:val="false"/>
                  <w:dstrike w:val="false"/>
                  <w:color w:val="000000"/>
                  <w:sz w:val="20"/>
                  <w:u w:val="none"/>
                  <w:effect w:val="none"/>
                </w:rPr>
                <w:t>8</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97">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97">
              <w:r>
                <w:rPr>
                  <w:rStyle w:val="InternetLink"/>
                  <w:rFonts w:ascii="Times New Roman;serif" w:hAnsi="Times New Roman;serif"/>
                  <w:b w:val="false"/>
                  <w:strike w:val="false"/>
                  <w:dstrike w:val="false"/>
                  <w:color w:val="000000"/>
                  <w:sz w:val="20"/>
                  <w:u w:val="none"/>
                  <w:effect w:val="none"/>
                </w:rPr>
                <w:t>23</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30">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30">
              <w:r>
                <w:rPr>
                  <w:rStyle w:val="InternetLink"/>
                  <w:rFonts w:ascii="Times New Roman;serif" w:hAnsi="Times New Roman;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30">
              <w:r>
                <w:rPr>
                  <w:rStyle w:val="InternetLink"/>
                  <w:rFonts w:ascii="Times New Roman;serif" w:hAnsi="Times New Roman;serif"/>
                  <w:b w:val="false"/>
                  <w:strike w:val="false"/>
                  <w:dstrike w:val="false"/>
                  <w:color w:val="000000"/>
                  <w:sz w:val="20"/>
                  <w:u w:val="none"/>
                  <w:effect w:val="none"/>
                </w:rPr>
                <w:t>34</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3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33">
              <w:r>
                <w:rPr>
                  <w:rStyle w:val="InternetLink"/>
                  <w:rFonts w:ascii="Times New Roman;serif" w:hAnsi="Times New Roman;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33">
              <w:r>
                <w:rPr>
                  <w:rStyle w:val="InternetLink"/>
                  <w:rFonts w:ascii="Times New Roman;serif" w:hAnsi="Times New Roman;serif"/>
                  <w:b w:val="false"/>
                  <w:strike w:val="false"/>
                  <w:dstrike w:val="false"/>
                  <w:color w:val="000000"/>
                  <w:sz w:val="20"/>
                  <w:u w:val="none"/>
                  <w:effect w:val="none"/>
                </w:rPr>
                <w:t>35</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36">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36">
              <w:r>
                <w:rPr>
                  <w:rStyle w:val="InternetLink"/>
                  <w:rFonts w:ascii="Times New Roman;serif" w:hAnsi="Times New Roman;serif"/>
                  <w:b/>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36">
              <w:r>
                <w:rPr>
                  <w:rStyle w:val="InternetLink"/>
                  <w:rFonts w:ascii="Times New Roman;serif" w:hAnsi="Times New Roman;serif"/>
                  <w:b w:val="false"/>
                  <w:strike w:val="false"/>
                  <w:dstrike w:val="false"/>
                  <w:color w:val="000000"/>
                  <w:sz w:val="20"/>
                  <w:u w:val="none"/>
                  <w:effect w:val="none"/>
                </w:rPr>
                <w:t>36</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3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39">
              <w:r>
                <w:rPr>
                  <w:rStyle w:val="InternetLink"/>
                  <w:rFonts w:ascii="Times New Roman;serif" w:hAnsi="Times New Roman;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39">
              <w:r>
                <w:rPr>
                  <w:rStyle w:val="InternetLink"/>
                  <w:rFonts w:ascii="Times New Roman;serif" w:hAnsi="Times New Roman;serif"/>
                  <w:b w:val="false"/>
                  <w:strike w:val="false"/>
                  <w:dstrike w:val="false"/>
                  <w:color w:val="000000"/>
                  <w:sz w:val="20"/>
                  <w:u w:val="none"/>
                  <w:effect w:val="none"/>
                </w:rPr>
                <w:t>36</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42">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42">
              <w:r>
                <w:rPr>
                  <w:rStyle w:val="InternetLink"/>
                  <w:rFonts w:ascii="Times New Roman;serif" w:hAnsi="Times New Roman;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42">
              <w:r>
                <w:rPr>
                  <w:rStyle w:val="InternetLink"/>
                  <w:rFonts w:ascii="Times New Roman;serif" w:hAnsi="Times New Roman;serif"/>
                  <w:b w:val="false"/>
                  <w:strike w:val="false"/>
                  <w:dstrike w:val="false"/>
                  <w:color w:val="000000"/>
                  <w:sz w:val="20"/>
                  <w:u w:val="none"/>
                  <w:effect w:val="none"/>
                </w:rPr>
                <w:t>36</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4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45">
              <w:r>
                <w:rPr>
                  <w:rStyle w:val="InternetLink"/>
                  <w:rFonts w:ascii="Times New Roman;serif" w:hAnsi="Times New Roman;serif"/>
                  <w:b w:val="false"/>
                  <w:color w:val="0000FF"/>
                  <w:sz w:val="20"/>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45">
              <w:r>
                <w:rPr>
                  <w:rStyle w:val="InternetLink"/>
                  <w:rFonts w:ascii="Times New Roman;serif" w:hAnsi="Times New Roman;serif"/>
                  <w:b w:val="false"/>
                  <w:strike w:val="false"/>
                  <w:dstrike w:val="false"/>
                  <w:color w:val="000000"/>
                  <w:sz w:val="20"/>
                  <w:u w:val="none"/>
                  <w:effect w:val="none"/>
                </w:rPr>
                <w:t>36</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4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48">
              <w:r>
                <w:rPr>
                  <w:rStyle w:val="InternetLink"/>
                  <w:rFonts w:ascii="Times New Roman;serif" w:hAnsi="Times New Roman;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48">
              <w:r>
                <w:rPr>
                  <w:rStyle w:val="InternetLink"/>
                  <w:rFonts w:ascii="Times New Roman;serif" w:hAnsi="Times New Roman;serif"/>
                  <w:b w:val="false"/>
                  <w:strike w:val="false"/>
                  <w:dstrike w:val="false"/>
                  <w:color w:val="000000"/>
                  <w:sz w:val="20"/>
                  <w:u w:val="none"/>
                  <w:effect w:val="none"/>
                </w:rPr>
                <w:t>36</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5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51">
              <w:r>
                <w:rPr>
                  <w:rStyle w:val="InternetLink"/>
                  <w:rFonts w:ascii="Times New Roman;serif" w:hAnsi="Times New Roman;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51">
              <w:r>
                <w:rPr>
                  <w:rStyle w:val="InternetLink"/>
                  <w:rFonts w:ascii="Times New Roman;serif" w:hAnsi="Times New Roman;serif"/>
                  <w:b w:val="false"/>
                  <w:strike w:val="false"/>
                  <w:dstrike w:val="false"/>
                  <w:color w:val="000000"/>
                  <w:sz w:val="20"/>
                  <w:u w:val="none"/>
                  <w:effect w:val="none"/>
                </w:rPr>
                <w:t>36</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54">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54">
              <w:r>
                <w:rPr>
                  <w:rStyle w:val="InternetLink"/>
                  <w:rFonts w:ascii="Times New Roman;serif" w:hAnsi="Times New Roman;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54">
              <w:r>
                <w:rPr>
                  <w:rStyle w:val="InternetLink"/>
                  <w:rFonts w:ascii="Times New Roman;serif" w:hAnsi="Times New Roman;serif"/>
                  <w:b w:val="false"/>
                  <w:strike w:val="false"/>
                  <w:dstrike w:val="false"/>
                  <w:color w:val="000000"/>
                  <w:sz w:val="20"/>
                  <w:u w:val="none"/>
                  <w:effect w:val="none"/>
                </w:rPr>
                <w:t>36</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60">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60">
              <w:r>
                <w:rPr>
                  <w:rStyle w:val="InternetLink"/>
                  <w:rFonts w:ascii="Times New Roman;serif" w:hAnsi="Times New Roman;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60">
              <w:r>
                <w:rPr>
                  <w:rStyle w:val="InternetLink"/>
                  <w:rFonts w:ascii="Times New Roman;serif" w:hAnsi="Times New Roman;serif"/>
                  <w:b w:val="false"/>
                  <w:strike w:val="false"/>
                  <w:dstrike w:val="false"/>
                  <w:color w:val="000000"/>
                  <w:sz w:val="20"/>
                  <w:u w:val="none"/>
                  <w:effect w:val="none"/>
                </w:rPr>
                <w:t>37</w:t>
              </w:r>
            </w:hyperlink>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a5795aff7ea4561af991aeda6797cc6_163">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a5795aff7ea4561af991aeda6797cc6_163">
              <w:r>
                <w:rPr>
                  <w:rStyle w:val="InternetLink"/>
                  <w:rFonts w:ascii="Times New Roman;serif" w:hAnsi="Times New Roman;serif"/>
                  <w:b w:val="false"/>
                  <w:strike w:val="false"/>
                  <w:dstrike w:val="false"/>
                  <w:color w:val="000000"/>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Private Securities Litigation Reform Act of 1995. Forward-looking statements, which may also be contained in our other filing under Section 27A of the Securities Act of 1933, as amended (the "Securities Act"), and Section 21E of the Securities Exchange Act of 1934, as amended (the "Exchange Act"),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update or revise any forward-looking statements, whether as a result of new information, future events or otherwise, except as required by law.</w:t>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list is only a summary of the principal risks that may materially adversely affect our business, financial condition and results of operations; these factors should not be construed as exhaustive and should be read in conjunction with the other cautionary statements that are included in this Quarterly Report and the Company's other filings with the Securities and Exchange Commission (the "SEC"), and the more complete discussion of the risk factors we face, which are set forth under Part I, Item 1A, "Risk Factors" in our Annual Report on Form 10-K for the year ended December 31, 2025 (our "Annual Report"), as filed with the SEC, as such risk factors may be further updated from time to time in our periodic filings with the SEC, which are accessible on the SEC’s website at www.sec.gov. Such risks and uncertainties include, but are not limited to, the following:</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business is dependent on key clients, and the loss of a key client could have an adverse effect on our business, financial condition or results of operations.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 xml:space="preserve">Our clients may terminate contracts before completion or choose not to renew contracts and a loss of business or non-payment from clients could materially affect our results of operations.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We may fail to cost-effectively acquire and retain new clients, which would adversely affect our business, financial condition or results of operations.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If we provide inadequate service or cause disruptions in our clients’ businesses, or if we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 xml:space="preserve">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Increased adoption and utilization of artificial intelligence (“AI”), including Generative AI and Agentic AI, by our clients or us, or our failure to appropriately incorporate AI into our operations could adversely affect our business, reputation, or financial results.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Trust &amp; Safety, including content moderation and monitoring services, is a meaningful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or results of operations.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financial condition or results of operations.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Global economic and political conditions, especially in the social media and meal delivery and transport industries from which we generate significant revenue, could adversely affect our business, financial condition, results of operations or prospects.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 xml:space="preserve">Our indebtedness and debt service obligations following our March 2026 refinancing.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business is subject to a variety of state, federal and international laws, including those related to data privacy and security, and we or our clients may be subject to regulations related to the processing of certain types of personal and sensitive information. These laws impose strict requirements on the collection, storage and sharing of personal and sensitive data. Non-compliance by us or our clients could result in legal consequences, including fines, penalties and reputational damage. Additionally, breaches of regulatory requirements could result in litigation, increased scrutiny from regulatory bodies, and loss of customer trust, all of which may adversely affect our business, financial condition, operational results and long-term prospects.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 xml:space="preserve">Fluctuations against the U.S. dollar in the local currencies in the countries in which we operate could have a material effect on our business, financial condition or results of operations.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business depends on a strong brand and corporate reputation, and if we are not able to maintain and enhance our brand, our ability to maintain and expand our client base will be impaired and our business, financial condition and results of operations will be adversely affected.</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Pricing pressure may reduce our revenue or gross profits and adversely affect our business, financial condition or results of operations.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business, financial condition and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success of our business depends on our senior management and key employees.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Increases in employee expenses as well as changes to labor laws could reduce our profit margin.    </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business, financial condition or results of operations.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business relies heavily on owned and third-party technology and computer systems, which subjects us to various uncertainties.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profitability will suffer if we are not able to maintain asset utilization levels, price appropriately and control our costs.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Sponsor and our Co-Founders control us and their interests may conflict with ours or yours in the future.</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our website (www.taskus.com) and our social media outlets, such as Facebook, Instagram, LinkedIn, YouTube, X and TikTok as channels of distribution of Company information. In addition, our Chief Executive Officer, Bryce Maddock, and Chief Financial Officer, Rishabh Khemka, may post information regarding the Company on their personal LinkedIn profiles (https://www.linkedin.com/in/brycemaddock and https://www.linkedin.com/in/rishabh-khemka-3060032a).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youtube.com/@taskus, its X account at x.com/taskus and its TikTok account at tiktok.com/@taskusph.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“Shareholder Resources—Email Alerts” section of our investor relations website at ir.taskus.com. The contents of our website and social media channels are not, however,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856"/>
        <w:gridCol w:w="2315"/>
        <w:gridCol w:w="2309"/>
        <w:gridCol w:w="196"/>
        <w:gridCol w:w="871"/>
        <w:gridCol w:w="109"/>
        <w:gridCol w:w="109"/>
        <w:gridCol w:w="109"/>
        <w:gridCol w:w="109"/>
        <w:gridCol w:w="196"/>
        <w:gridCol w:w="871"/>
        <w:gridCol w:w="155"/>
      </w:tblGrid>
      <w:tr>
        <w:tc>
          <w:tcPr>
            <w:tcW w:w="2856"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$1,061 and $911,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450,776 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9)</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$0.01 par value. Authorized 2,500,000,000; 52,121,737 issued and 36,685,513 outstanding and 50,899,239 issued and 35,463,015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B convertible common stock, $0.01 par value. Authorized 250,000,000; 55,032,694 and 55,032,694 shares issued and outstanding,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Treasury stock, at cost. 15,436,224 and 15,436,224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1,050,765 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9799" w:type="dxa"/>
        <w:jc w:val="left"/>
        <w:tblInd w:w="0" w:type="dxa"/>
        <w:tblLayout w:type="fixed"/>
        <w:tblCellMar>
          <w:top w:w="28" w:type="dxa"/>
          <w:left w:w="28" w:type="dxa"/>
          <w:bottom w:w="28" w:type="dxa"/>
          <w:right w:w="28" w:type="dxa"/>
        </w:tblCellMar>
      </w:tblPr>
      <w:tblGrid>
        <w:gridCol w:w="1537"/>
        <w:gridCol w:w="1350"/>
        <w:gridCol w:w="1358"/>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605,378 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278,232 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825,834 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91,701,561 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90,128,176 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91,371,514 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89,887,246 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93,337,979 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93,057,417 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92,975,915 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93,096,587 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171" w:type="dxa"/>
        <w:jc w:val="left"/>
        <w:tblInd w:w="0" w:type="dxa"/>
        <w:tblLayout w:type="fixed"/>
        <w:tblCellMar>
          <w:top w:w="28" w:type="dxa"/>
          <w:left w:w="28" w:type="dxa"/>
          <w:bottom w:w="28" w:type="dxa"/>
          <w:right w:w="28" w:type="dxa"/>
        </w:tblCellMar>
      </w:tblPr>
      <w:tblGrid>
        <w:gridCol w:w="1306"/>
        <w:gridCol w:w="1150"/>
        <w:gridCol w:w="1158"/>
        <w:gridCol w:w="232"/>
        <w:gridCol w:w="765"/>
        <w:gridCol w:w="129"/>
        <w:gridCol w:w="129"/>
        <w:gridCol w:w="129"/>
        <w:gridCol w:w="129"/>
        <w:gridCol w:w="232"/>
        <w:gridCol w:w="765"/>
        <w:gridCol w:w="129"/>
        <w:gridCol w:w="109"/>
        <w:gridCol w:w="109"/>
        <w:gridCol w:w="109"/>
        <w:gridCol w:w="223"/>
        <w:gridCol w:w="737"/>
        <w:gridCol w:w="124"/>
        <w:gridCol w:w="124"/>
        <w:gridCol w:w="124"/>
        <w:gridCol w:w="124"/>
        <w:gridCol w:w="223"/>
        <w:gridCol w:w="737"/>
        <w:gridCol w:w="175"/>
      </w:tblGrid>
      <w:tr>
        <w:tc>
          <w:tcPr>
            <w:tcW w:w="130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derivative contracts,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 reserves,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76,400 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4573" w:type="dxa"/>
        <w:jc w:val="center"/>
        <w:tblInd w:w="0" w:type="dxa"/>
        <w:tblLayout w:type="fixed"/>
        <w:tblCellMar>
          <w:top w:w="28" w:type="dxa"/>
          <w:left w:w="28" w:type="dxa"/>
          <w:bottom w:w="28" w:type="dxa"/>
          <w:right w:w="28" w:type="dxa"/>
        </w:tblCellMar>
      </w:tblPr>
      <w:tblGrid>
        <w:gridCol w:w="804"/>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196"/>
        <w:gridCol w:w="806"/>
        <w:gridCol w:w="10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c>
          <w:tcPr>
            <w:tcW w:w="8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pPr>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p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50,899,239 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(475,988)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liability-portion of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Distribution of dividends ($3.65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(332,788)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51,950,389 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52,082,428 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299,845 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51,439 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52,121,737 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(41,960)</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322,304 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tbl>
      <w:tblPr>
        <w:tblW w:w="14543"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7"/>
        <w:gridCol w:w="489"/>
        <w:gridCol w:w="182"/>
        <w:gridCol w:w="109"/>
        <w:gridCol w:w="109"/>
        <w:gridCol w:w="109"/>
        <w:gridCol w:w="196"/>
        <w:gridCol w:w="421"/>
        <w:gridCol w:w="109"/>
        <w:gridCol w:w="109"/>
        <w:gridCol w:w="109"/>
        <w:gridCol w:w="109"/>
        <w:gridCol w:w="196"/>
        <w:gridCol w:w="736"/>
        <w:gridCol w:w="109"/>
        <w:gridCol w:w="109"/>
        <w:gridCol w:w="109"/>
        <w:gridCol w:w="109"/>
        <w:gridCol w:w="225"/>
        <w:gridCol w:w="760"/>
        <w:gridCol w:w="126"/>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p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p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33,215,441 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13,323,977 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1,237,630 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750,691 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34,076,321 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14,074,668 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1,126,778 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1,361,556 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50,149,749 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(9,417)</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544,550 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882,953 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50,800,317 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(21,559)</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567,520 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381" w:type="dxa"/>
        <w:jc w:val="center"/>
        <w:tblInd w:w="0" w:type="dxa"/>
        <w:tblLayout w:type="fixed"/>
        <w:tblCellMar>
          <w:top w:w="28" w:type="dxa"/>
          <w:left w:w="28" w:type="dxa"/>
          <w:bottom w:w="28" w:type="dxa"/>
          <w:right w:w="28" w:type="dxa"/>
        </w:tblCellMar>
      </w:tblPr>
      <w:tblGrid>
        <w:gridCol w:w="2097"/>
        <w:gridCol w:w="1839"/>
        <w:gridCol w:w="1853"/>
        <w:gridCol w:w="207"/>
        <w:gridCol w:w="778"/>
        <w:gridCol w:w="115"/>
        <w:gridCol w:w="115"/>
        <w:gridCol w:w="115"/>
        <w:gridCol w:w="115"/>
        <w:gridCol w:w="207"/>
        <w:gridCol w:w="778"/>
        <w:gridCol w:w="162"/>
      </w:tblGrid>
      <w:t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financing fees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employee-related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107,549 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deferred business acquisition consideration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financing fees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stock repurchases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of dividends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(96,194)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189,690 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209,981 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 Description of Business and Organization</w:t>
      </w:r>
    </w:p>
    <w:p>
      <w:pPr>
        <w:pStyle w:val="TextBody"/>
        <w:bidi w:val="0"/>
        <w:spacing w:lineRule="auto" w:line="288" w:before="120" w:after="283"/>
        <w:ind w:left="0" w:right="0" w:firstLine="540"/>
        <w:jc w:val="both"/>
      </w:pPr>
      <w:r>
        <w:rPr>
          <w:rFonts w:ascii="Times New Roman;serif" w:hAnsi="Times New Roman;serif"/>
          <w:b w:val="false"/>
          <w:color w:val="000000"/>
          <w:sz w:val="20"/>
          <w:shd w:fill="FFFFFF" w:val="clear"/>
        </w:rPr>
        <w:t>TaskUs, Inc.</w:t>
      </w:r>
      <w:r>
        <w:rPr>
          <w:color w:val="000000"/>
        </w:rPr>
        <w:t xml:space="preserve"> </w:t>
      </w:r>
      <w:r>
        <w:rPr>
          <w:rFonts w:ascii="Times New Roman;serif" w:hAnsi="Times New Roman;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was incorporated in Delaware in July 2018, and is headquartered in New Braunfels, Texas.</w:t>
      </w:r>
    </w:p>
    <w:p>
      <w:pPr>
        <w:pStyle w:val="TextBody"/>
        <w:bidi w:val="0"/>
        <w:spacing w:lineRule="auto" w:line="288" w:before="120" w:after="283"/>
        <w:ind w:left="0" w:right="0" w:firstLine="540"/>
        <w:jc w:val="both"/>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delivers outsourced digital services that power the companies shaping the future. By combining specialized human talent and intelligent technology, the Company solves complex operational challenges for global category leaders within </w:t>
      </w:r>
      <w:r>
        <w:rPr>
          <w:rFonts w:ascii="Times New Roman;serif" w:hAnsi="Times New Roman;serif"/>
          <w:b w:val="false"/>
          <w:color w:val="000000"/>
          <w:sz w:val="20"/>
          <w:shd w:fill="FFFFFF" w:val="clear"/>
        </w:rPr>
        <w:t>Artificial Intelligence (“AI”)</w:t>
      </w:r>
      <w:r>
        <w:rPr>
          <w:rFonts w:ascii="Times New Roman;serif" w:hAnsi="Times New Roman;serif"/>
          <w:b w:val="false"/>
          <w:color w:val="000000"/>
          <w:sz w:val="20"/>
        </w:rPr>
        <w:t xml:space="preserve">, autonomous vehicles, robotics, social media, financial services, healthcare, and beyond. The Company enables its clients to elevate their customer experience, protect their platforms, and grow their brands. </w:t>
      </w:r>
      <w:r>
        <w:rPr>
          <w:rFonts w:ascii="Times New Roman;serif" w:hAnsi="Times New Roman;serif"/>
          <w:b w:val="false"/>
          <w:color w:val="000000"/>
          <w:sz w:val="20"/>
          <w:shd w:fill="FFFFFF" w:val="clear"/>
        </w:rPr>
        <w:t>The Company’s global, omnichannel delivery model is focused on providing its clients three key services – Digital Customer Experience, Trust &amp; Safety and AI Services. The Company has designed its platform to enable it to rapidly scale and benefit from its clients’ growth. Through its agile and responsive operational model, the Company delivers services from multiple delivery sites that span globally from the United States, Philippines, India and other parts of the world.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major service offerings are described in more detail below:</w:t>
      </w:r>
    </w:p>
    <w:p>
      <w:pPr>
        <w:pStyle w:val="TextBody"/>
        <w:bidi w:val="0"/>
        <w:spacing w:lineRule="auto" w:line="288" w:before="120" w:after="283"/>
        <w:ind w:left="0" w:right="0" w:hanging="360"/>
        <w:jc w:val="both"/>
      </w:pPr>
      <w:r>
        <w:rPr>
          <w:color w:val="000000"/>
        </w:rPr>
        <w:t>•</w:t>
      </w:r>
      <w:r>
        <w:rPr>
          <w:rFonts w:ascii="Times New Roman;serif" w:hAnsi="Times New Roman;serif"/>
          <w:b w:val="false"/>
          <w:i/>
          <w:color w:val="000000"/>
          <w:sz w:val="20"/>
        </w:rPr>
        <w:t>Digital Customer Experience</w:t>
      </w:r>
      <w:r>
        <w:rPr>
          <w:rFonts w:ascii="Times New Roman;serif" w:hAnsi="Times New Roman;serif"/>
          <w:b w:val="false"/>
          <w:color w:val="000000"/>
          <w:sz w:val="20"/>
        </w:rPr>
        <w:t>: Principally consists of omnichannel customer care services, primarily delivered through digital (non-voice) channels. Also included in this offering are learning experience and sales and customer acquisition services.</w:t>
      </w:r>
    </w:p>
    <w:p>
      <w:pPr>
        <w:pStyle w:val="TextBody"/>
        <w:bidi w:val="0"/>
        <w:spacing w:lineRule="auto" w:line="288" w:before="120" w:after="283"/>
        <w:ind w:left="0" w:right="0" w:hanging="360"/>
        <w:jc w:val="both"/>
      </w:pPr>
      <w:r>
        <w:rPr>
          <w:color w:val="000000"/>
          <w:shd w:fill="FFFFFF" w:val="clear"/>
        </w:rPr>
        <w:t>•</w:t>
      </w:r>
      <w:r>
        <w:rPr>
          <w:rFonts w:ascii="Times New Roman;serif" w:hAnsi="Times New Roman;serif"/>
          <w:b w:val="false"/>
          <w:i/>
          <w:color w:val="000000"/>
          <w:sz w:val="20"/>
        </w:rPr>
        <w:t>Trust &amp; Safety</w:t>
      </w:r>
      <w:r>
        <w:rPr>
          <w:rFonts w:ascii="Times New Roman;serif" w:hAnsi="Times New Roman;serif"/>
          <w:b w:val="false"/>
          <w:color w:val="000000"/>
          <w:sz w:val="20"/>
        </w:rPr>
        <w:t>: Principally consists of monitoring, reviewing and managing user and advertiser-generated content on online platforms to ensure it complies with community guidelines, legal regulations and platform specific policies. Also included in this offering are our services for risk management, compliance, identity management and fraud.</w:t>
      </w:r>
    </w:p>
    <w:p>
      <w:pPr>
        <w:pStyle w:val="TextBody"/>
        <w:bidi w:val="0"/>
        <w:spacing w:lineRule="auto" w:line="288" w:before="120" w:after="283"/>
        <w:ind w:left="0" w:right="0" w:hanging="360"/>
        <w:jc w:val="both"/>
      </w:pPr>
      <w:r>
        <w:rPr>
          <w:color w:val="000000"/>
        </w:rPr>
        <w:t>•</w:t>
      </w:r>
      <w:r>
        <w:rPr>
          <w:rFonts w:ascii="Times New Roman;serif" w:hAnsi="Times New Roman;serif"/>
          <w:b w:val="false"/>
          <w:i/>
          <w:color w:val="000000"/>
          <w:sz w:val="20"/>
        </w:rPr>
        <w:t>AI Services</w:t>
      </w:r>
      <w:r>
        <w:rPr>
          <w:rFonts w:ascii="Times New Roman;serif" w:hAnsi="Times New Roman;serif"/>
          <w:b w:val="false"/>
          <w:color w:val="000000"/>
          <w:sz w:val="20"/>
        </w:rPr>
        <w:t>: Principally consists of large language model support and high-quality data labeling services, annotation, context relevance and transcription services performed for the purpose of training and tuning machine learning algorithms, enabling them to develop cutting-edge AI systems. Also included in this offering are our remote operations and field services for developers of autonomous vehicles and robotics.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(a)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and reporting policies of the Company are in accordance with accounting principles generally accepted in the United States of America ("US GAAP"). Our Annual Report on Form 10-K for the year ended December 31, 2025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2025 included in the Annual Report. In the opinion of the Company, the accompanying unaudited condensed consolidated financial statements contain all adjustments, consisting of only normal recurring adjustments, necessary for a fair statement of its financial position as of September 30, 2026 and its statements of income, comprehensive income and shareholders’ equity for the three and nine months ended September 30, 2026 and 2025, and cash flows for the nine months ended September 30, 2026 and 2025. The condensed consolidated balance sheet as of December 31, 2025, was derived from audited annual financial statements but does not contain all of the footnote disclosures from the annual financial statements.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(b) Use of Estimates</w:t>
      </w:r>
    </w:p>
    <w:p>
      <w:pPr>
        <w:pStyle w:val="TextBody"/>
        <w:bidi w:val="0"/>
        <w:spacing w:lineRule="auto" w:line="288" w:before="120" w:after="283"/>
        <w:ind w:left="0" w:right="0" w:firstLine="540"/>
        <w:jc w:val="both"/>
      </w:pPr>
      <w:r>
        <w:rPr>
          <w:rFonts w:ascii="Times New Roman;serif" w:hAnsi="Times New Roman;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w:t>
      </w:r>
      <w:r>
        <w:rPr>
          <w:rFonts w:ascii="Times New Roman;serif" w:hAnsi="Times New Roman;serif"/>
          <w:b w:val="false"/>
          <w:color w:val="000000"/>
          <w:sz w:val="20"/>
          <w:shd w:fill="FFFFFF" w:val="clear"/>
        </w:rPr>
        <w:t>valuation of acquired intangible assets and goodwill, as well as related impairment assessments; determination of useful lives of intangible assets; and reserves for income tax uncertainties and other contingencies.</w:t>
      </w:r>
      <w:r>
        <w:rPr>
          <w:color w:val="000000"/>
        </w:rPr>
        <w:t xml:space="preserve">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 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(d) Concentration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Most of the Company’s clients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service revenue percentage and accounts receivable percentage for clients that represented greater than 10% of the Company’s service revenue:</w:t>
      </w:r>
    </w:p>
    <w:tbl>
      <w:tblPr>
        <w:tblW w:w="10205"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224"/>
        <w:gridCol w:w="199"/>
        <w:gridCol w:w="469"/>
        <w:gridCol w:w="199"/>
        <w:gridCol w:w="199"/>
        <w:gridCol w:w="199"/>
        <w:gridCol w:w="255"/>
        <w:gridCol w:w="230"/>
        <w:gridCol w:w="543"/>
        <w:gridCol w:w="109"/>
        <w:gridCol w:w="109"/>
        <w:gridCol w:w="109"/>
        <w:gridCol w:w="218"/>
        <w:gridCol w:w="194"/>
        <w:gridCol w:w="455"/>
        <w:gridCol w:w="194"/>
        <w:gridCol w:w="194"/>
        <w:gridCol w:w="194"/>
        <w:gridCol w:w="254"/>
        <w:gridCol w:w="231"/>
        <w:gridCol w:w="542"/>
        <w:gridCol w:w="109"/>
        <w:gridCol w:w="109"/>
        <w:gridCol w:w="109"/>
        <w:gridCol w:w="320"/>
        <w:gridCol w:w="320"/>
        <w:gridCol w:w="754"/>
        <w:gridCol w:w="182"/>
        <w:gridCol w:w="182"/>
        <w:gridCol w:w="182"/>
        <w:gridCol w:w="312"/>
        <w:gridCol w:w="312"/>
        <w:gridCol w:w="725"/>
        <w:gridCol w:w="109"/>
        <w:gridCol w:w="109"/>
        <w:gridCol w:w="168"/>
      </w:tblGrid>
      <w:t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 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 receivable percentage</w:t>
            </w:r>
          </w:p>
        </w:tc>
        <w:tc>
          <w:tcPr>
            <w:tcW w:w="386" w:type="dxa"/>
            <w:gridSpan w:val="3"/>
            <w:tcBorders/>
          </w:tcPr>
          <w:p>
            <w:pPr>
              <w:pStyle w:val="TableContents"/>
              <w:bidi w:val="0"/>
              <w:spacing w:before="0" w:after="283"/>
              <w:jc w:val="left"/>
              <w:rPr>
                <w:sz w:val="4"/>
                <w:szCs w:val="4"/>
              </w:rPr>
            </w:pPr>
            <w:r>
              <w:rPr>
                <w:sz w:val="4"/>
                <w:szCs w:val="4"/>
              </w:rPr>
            </w:r>
          </w:p>
        </w:tc>
      </w:tr>
      <w:tr>
        <w:tc>
          <w:tcPr>
            <w:tcW w:w="5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5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principal operations, including the majority of its employees and the fixed assets owned by its wholly owned subsidiaries, are located in the Philippines and India.</w:t>
      </w:r>
    </w:p>
    <w:p>
      <w:pPr>
        <w:pStyle w:val="TextBody"/>
        <w:bidi w:val="0"/>
        <w:spacing w:lineRule="auto" w:line="26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(e) Dividends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25, 2026, the Board of Directors declared a special cash dividend of $3.65 per share of outstanding Class A and Class B common stock (the “Special Dividend”). On March 25, 2026, the Company paid, in aggregate, $131.9 million and $200.9 million to shareholders of outstanding Class A and Class B common stock, respectively. The Company records dividends to shareholders that are not a legal return of capital under Delaware General Corporation Law as a reduction of retained earnings or an increase in accumulated deficit.</w:t>
      </w:r>
    </w:p>
    <w:p>
      <w:pPr>
        <w:pStyle w:val="TextBody"/>
        <w:bidi w:val="0"/>
        <w:spacing w:lineRule="auto" w:line="26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(f) 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 The Company will lose its status as an emerging growth company on December 31, 2026, the last day of the fiscal year following the fifth anniversary of its initial public offering. As a result, the Company will no longer be entitled to take advantage of specified reduced reporting requirements after that date.</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adopted ASU 2025-05, Financial Instruments - Credit Losses (Topic 326): Measurement of Credit Losses for Accounts Receivable and Contract Assets. The amendments in this Update simplify the measurement of credit losses by providing a practical expedient which permits an entity, when estimating expected credit losses for current accounts receivable and contract assets, to make an election to assume that current conditions as of the balance sheet date will remain unchanged for the asset's remaining life. The Company elected to apply this expedient. The adoption of this ASU did not have a material impact on the Company’s condensed consolidated financial statements.</w:t>
      </w:r>
    </w:p>
    <w:p>
      <w:pPr>
        <w:pStyle w:val="TextBody"/>
        <w:bidi w:val="0"/>
        <w:spacing w:before="120" w:after="283"/>
        <w:ind w:left="0" w:right="0" w:firstLine="540"/>
        <w:jc w:val="both"/>
      </w:pPr>
      <w:r/>
    </w:p>
    <w:p>
      <w:pPr>
        <w:pStyle w:val="TextBody"/>
        <w:bidi w:val="0"/>
        <w:spacing w:before="120" w:after="283"/>
        <w:ind w:left="0" w:right="0" w:firstLine="540"/>
        <w:jc w:val="both"/>
      </w:pPr>
      <w:r/>
    </w:p>
    <w:p>
      <w:pPr>
        <w:pStyle w:val="TextBody"/>
        <w:bidi w:val="0"/>
        <w:spacing w:before="120" w:after="283"/>
        <w:ind w:left="0" w:right="0" w:firstLine="54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 The amendments in this Update require (1) disclosure of employee compensation, depreciation and intangible asset amortization included in each expense caption presented on the face of the income statement within continuing operations (“relevant expense captions”); (2) certain amounts that are already required to be disclosed under current GAAP to be included in the same disclosure as the other disaggregation requirements; (3) a qualitative description of the amounts remaining in relevant expense captions that are not separately disaggregated quantitatively; and (4) disclosure of the total amount of selling expenses and, in annual reporting periods, the Company’s definition of selling expenses. This ASU will be effective for the Company for fiscal years beginning after December 15, 2026, and interim periods within fiscal years beginning after December 15, 2027. Early adoption is permitted. This ASU should be applied either prospectively or retrospectively. The Company is currently evaluating the impact of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This standard modernizes the accounting for internal-use software by (1) removing the previous stage-based development model, (2) requiring capitalization to begin when management commits to funding and it is probable the project will be completed, and (3) clarifying that the probability threshold is not met if significant development uncertainty exists. The amendments also supersede the separate guidance for website development costs, incorporating those requirements into the internal-use software subtopic. This ASU will be effective for the Company for fiscal years beginning after December 15, 2027, and interim periods within those years. Early adoption is permitted. This ASU may be applied on either a prospective or retrospective basis. The Company is currently evaluating the impact of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This standard establishes authoritative guidance for the recognition, measurement, and presentation of government grants received by business entities. The amendments require that a government grant not be recognized until (1) it is probable that the entity will comply with the conditions attached to the grant and (2) the grant will be received. The amendment also requires that a grant related to an asset be recognized on the balance sheet as a business entity incurs the related costs for which the grant is intended to compensate, either as deferred income or an adjustment to the carrying amount of the asset. This ASU will be effective for the Company for fiscal years beginning after December 15, 2028, and interim periods within those years, consistent with the timeline for public business entities since the Company will lose emerging growth company status. Early adoption is permitted. This ASU will be applied using either a modified prospective, modified retrospective, or retrospective approach. The Company is currently evaluating the impact of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Environmental Credits and Environmental Credit Obligations (Topic 818). This standard establishes a comprehensive accounting framework for the recognition, measurement, presentation, and disclosure of environmental credits and related obligations. Environmental credits shall be recognized as assets when it is probable they will be used to satisfy a compliance obligation, transferred in an exchange transaction, or distributed in a nonreciprocal transfer. Costs to obtain all other environmental credits shall be recognized as an expense when incurred. At each reporting date, compliance environmental credits that are probable of being used to settle an environmental credit obligation should be measured at cost, while noncompliance environmental credits should be measured at cost, less impairment losses. Environmental credit obligation liabilities must be recognized when events result in an environmental credit obligation, with measurement based on the cost or fair value of credits expected to be used to settle such obligations. Compliance environmental credits should be presented separately from environmental credit obligations on the balance sheet. This ASU will be effective for the Company for fiscal years beginning after December 15, 2027, and interim periods within those years, consistent with the timeline for public business entities since the Company will lose emerging growth status. Early adoption is permitted. This ASU will be applied on a retrospective basis through a cumulative-effect adjustment. The Company is currently evaluating the impact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7714" w:type="dxa"/>
        <w:jc w:val="left"/>
        <w:tblInd w:w="0" w:type="dxa"/>
        <w:tblLayout w:type="fixed"/>
        <w:tblCellMar>
          <w:top w:w="28" w:type="dxa"/>
          <w:left w:w="28" w:type="dxa"/>
          <w:bottom w:w="28" w:type="dxa"/>
          <w:right w:w="28" w:type="dxa"/>
        </w:tblCellMar>
      </w:tblPr>
      <w:tblGrid>
        <w:gridCol w:w="782"/>
        <w:gridCol w:w="688"/>
        <w:gridCol w:w="690"/>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520,102 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489,153 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314,747 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929,868 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6798" w:type="dxa"/>
        <w:jc w:val="left"/>
        <w:tblInd w:w="0" w:type="dxa"/>
        <w:tblLayout w:type="fixed"/>
        <w:tblCellMar>
          <w:top w:w="28" w:type="dxa"/>
          <w:left w:w="28" w:type="dxa"/>
          <w:bottom w:w="28" w:type="dxa"/>
          <w:right w:w="28" w:type="dxa"/>
        </w:tblCellMar>
      </w:tblPr>
      <w:tblGrid>
        <w:gridCol w:w="451"/>
        <w:gridCol w:w="396"/>
        <w:gridCol w:w="397"/>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314,747 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929,868 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includes $115.5 million and $122.4 million of unbilled revenue as of September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4. Forward Contracts</w:t>
      </w:r>
    </w:p>
    <w:p>
      <w:pPr>
        <w:pStyle w:val="TextBody"/>
        <w:bidi w:val="0"/>
        <w:spacing w:lineRule="auto" w:line="288" w:before="120" w:after="283"/>
        <w:ind w:left="0" w:right="0" w:firstLine="540"/>
        <w:jc w:val="both"/>
      </w:pPr>
      <w:r>
        <w:rPr>
          <w:rFonts w:ascii="Times New Roman;serif" w:hAnsi="Times New Roman;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2026 and 2025, the Company entered into foreign currency exchange rate forward contracts, with six commercial banks as the counterparties, with maturities of generally 12 months or less, to reduce the volatility of cash flows, primarily related to forecasted costs denominated in Philippine pesos, Indian rupees, Mexican pesos, Colombian pesos and euros. </w:t>
      </w:r>
      <w:r>
        <w:rPr>
          <w:rFonts w:ascii="Times New Roman;serif" w:hAnsi="Times New Roman;serif"/>
          <w:b w:val="false"/>
          <w:color w:val="000000"/>
          <w:sz w:val="20"/>
          <w:shd w:fill="FFFFFF" w:val="clear"/>
        </w:rPr>
        <w:t>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w:t>
      </w:r>
    </w:p>
    <w:p>
      <w:pPr>
        <w:pStyle w:val="TextBody"/>
        <w:bidi w:val="0"/>
        <w:spacing w:lineRule="auto" w:line="288" w:before="120" w:after="283"/>
        <w:ind w:left="0" w:right="0" w:firstLine="450"/>
        <w:jc w:val="both"/>
      </w:pPr>
      <w:r>
        <w:rPr>
          <w:rFonts w:ascii="Times New Roman;serif" w:hAnsi="Times New Roman;serif"/>
          <w:b w:val="false"/>
          <w:i/>
          <w:color w:val="000000"/>
          <w:sz w:val="20"/>
        </w:rPr>
        <w:t>Cash Flow Hedges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realized losses (gains) associated with our cash flow hedges reclassified from accumulated other comprehensive loss ("AOCL") to earnings:</w:t>
      </w:r>
    </w:p>
    <w:tbl>
      <w:tblPr>
        <w:tblW w:w="9048"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250"/>
        <w:gridCol w:w="634"/>
        <w:gridCol w:w="139"/>
        <w:gridCol w:w="139"/>
        <w:gridCol w:w="139"/>
        <w:gridCol w:w="139"/>
        <w:gridCol w:w="250"/>
        <w:gridCol w:w="807"/>
        <w:gridCol w:w="139"/>
        <w:gridCol w:w="109"/>
        <w:gridCol w:w="109"/>
        <w:gridCol w:w="109"/>
        <w:gridCol w:w="250"/>
        <w:gridCol w:w="537"/>
        <w:gridCol w:w="139"/>
        <w:gridCol w:w="139"/>
        <w:gridCol w:w="139"/>
        <w:gridCol w:w="139"/>
        <w:gridCol w:w="250"/>
        <w:gridCol w:w="805"/>
        <w:gridCol w:w="196"/>
      </w:tblGrid>
      <w:t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settled forward contracts designated as cash flow hedges:</w:t>
      </w:r>
    </w:p>
    <w:tbl>
      <w:tblPr>
        <w:tblW w:w="10205" w:type="dxa"/>
        <w:jc w:val="left"/>
        <w:tblInd w:w="0" w:type="dxa"/>
        <w:tblLayout w:type="fixed"/>
        <w:tblCellMar>
          <w:top w:w="28" w:type="dxa"/>
          <w:left w:w="28" w:type="dxa"/>
          <w:bottom w:w="28" w:type="dxa"/>
          <w:right w:w="28" w:type="dxa"/>
        </w:tblCellMar>
      </w:tblPr>
      <w:tblGrid>
        <w:gridCol w:w="1738"/>
        <w:gridCol w:w="1514"/>
        <w:gridCol w:w="1518"/>
        <w:gridCol w:w="223"/>
        <w:gridCol w:w="737"/>
        <w:gridCol w:w="124"/>
        <w:gridCol w:w="124"/>
        <w:gridCol w:w="124"/>
        <w:gridCol w:w="124"/>
        <w:gridCol w:w="223"/>
        <w:gridCol w:w="737"/>
        <w:gridCol w:w="124"/>
        <w:gridCol w:w="109"/>
        <w:gridCol w:w="109"/>
        <w:gridCol w:w="109"/>
        <w:gridCol w:w="204"/>
        <w:gridCol w:w="768"/>
        <w:gridCol w:w="113"/>
        <w:gridCol w:w="113"/>
        <w:gridCol w:w="113"/>
        <w:gridCol w:w="113"/>
        <w:gridCol w:w="204"/>
        <w:gridCol w:w="768"/>
        <w:gridCol w:w="172"/>
      </w:tblGrid>
      <w:tr>
        <w:tc>
          <w:tcPr>
            <w:tcW w:w="173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Philippine pesos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151,756 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139,843 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Indian rupees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Mexican pesos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Colombian pesos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euros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settled forward contracts designated as cash flow hedges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91,334 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77,764 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277,470 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224,085 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outstanding forward contracts designated as cash flow hedges:</w:t>
      </w:r>
    </w:p>
    <w:tbl>
      <w:tblPr>
        <w:tblW w:w="9296" w:type="dxa"/>
        <w:jc w:val="left"/>
        <w:tblInd w:w="0" w:type="dxa"/>
        <w:tblLayout w:type="fixed"/>
        <w:tblCellMar>
          <w:top w:w="28" w:type="dxa"/>
          <w:left w:w="28" w:type="dxa"/>
          <w:bottom w:w="28" w:type="dxa"/>
          <w:right w:w="28" w:type="dxa"/>
        </w:tblCellMar>
      </w:tblPr>
      <w:tblGrid>
        <w:gridCol w:w="2276"/>
        <w:gridCol w:w="2002"/>
        <w:gridCol w:w="2007"/>
        <w:gridCol w:w="291"/>
        <w:gridCol w:w="1093"/>
        <w:gridCol w:w="161"/>
        <w:gridCol w:w="109"/>
        <w:gridCol w:w="109"/>
        <w:gridCol w:w="109"/>
        <w:gridCol w:w="205"/>
        <w:gridCol w:w="773"/>
        <w:gridCol w:w="161"/>
      </w:tblGrid>
      <w:tr>
        <w:tc>
          <w:tcPr>
            <w:tcW w:w="227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Philippine pesos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Indian rupees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Mexican pesos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Colombian pesos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euros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outstanding forward contracts designated as cash flow hedges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296,563 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304,432 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pPr>
      <w:r>
        <w:rPr>
          <w:rFonts w:ascii="Times New Roman;serif" w:hAnsi="Times New Roman;serif"/>
          <w:b w:val="false"/>
          <w:color w:val="000000"/>
          <w:sz w:val="20"/>
        </w:rPr>
        <w:t xml:space="preserve">All cash flow hedges were determined to be highly effective, with no component of any gain or loss excluded from the assessment of hedge effectiveness, for the periods presented. Net unrealized losses on cash flow hedges for the three and nine months ended September 30, 2026 were $0.2 million and $0.6 million, respectively. As of September 30, 2026, the net accumulated loss on foreign currency cash flow hedges expected to be reclassified from AOCL into earnings within the next 12 months was $1.5 million. See Note 13, “Accumulated Other Comprehensive Loss” for </w:t>
      </w:r>
      <w:r>
        <w:rPr>
          <w:rFonts w:ascii="Times New Roman;serif" w:hAnsi="Times New Roman;serif"/>
          <w:b w:val="false"/>
          <w:color w:val="000000"/>
          <w:sz w:val="20"/>
          <w:shd w:fill="FFFFFF" w:val="clear"/>
        </w:rPr>
        <w:t>additional information regarding changes in accumulated other comprehensive loss.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derivatives are carried at fair value using various pricing models that incorporate observable market inputs, such as interest rate yield curves and currency rates, which are Level 2 inputs. By entering into derivative contracts, the Company is exposed to counterparty credit risk, or the failure of the counterparty to perform under the terms of the derivative contract. Derivative valuations incorporate credit risk adjustments that are necessary to reflect the probability of default by the counterparty or by the Company. For the periods presented, the non-performance risk of the Company and the counterparties did not have a material impact on the fair value of the derivative instruments.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financial statement presentation purposes, the Company does not offset assets and liabilities under master netting arrangements. The following table presents information about the Company’s assets and liabilities that are measured at fair value on a recurring basis at September 30, 2026 and December 31, 2025 and indicates the fair value hierarchy of the valuation techniques utilized to determine such fair value:</w:t>
      </w:r>
    </w:p>
    <w:tbl>
      <w:tblPr>
        <w:tblW w:w="10205" w:type="dxa"/>
        <w:jc w:val="left"/>
        <w:tblInd w:w="0" w:type="dxa"/>
        <w:tblLayout w:type="fixed"/>
        <w:tblCellMar>
          <w:top w:w="28" w:type="dxa"/>
          <w:left w:w="28" w:type="dxa"/>
          <w:bottom w:w="28" w:type="dxa"/>
          <w:right w:w="28" w:type="dxa"/>
        </w:tblCellMar>
      </w:tblPr>
      <w:tblGrid>
        <w:gridCol w:w="634"/>
        <w:gridCol w:w="479"/>
        <w:gridCol w:w="480"/>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240"/>
        <w:gridCol w:w="792"/>
        <w:gridCol w:w="133"/>
        <w:gridCol w:w="109"/>
        <w:gridCol w:w="109"/>
        <w:gridCol w:w="109"/>
        <w:gridCol w:w="109"/>
        <w:gridCol w:w="109"/>
        <w:gridCol w:w="109"/>
        <w:gridCol w:w="109"/>
        <w:gridCol w:w="109"/>
        <w:gridCol w:w="109"/>
        <w:gridCol w:w="359"/>
        <w:gridCol w:w="1048"/>
        <w:gridCol w:w="201"/>
        <w:gridCol w:w="109"/>
        <w:gridCol w:w="109"/>
        <w:gridCol w:w="109"/>
        <w:gridCol w:w="200"/>
        <w:gridCol w:w="662"/>
        <w:gridCol w:w="165"/>
      </w:tblGrid>
      <w:tr>
        <w:tc>
          <w:tcPr>
            <w:tcW w:w="6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89" w:type="dxa"/>
            <w:gridSpan w:val="12"/>
            <w:tcBorders/>
          </w:tcPr>
          <w:p>
            <w:pPr>
              <w:pStyle w:val="TableContents"/>
              <w:bidi w:val="0"/>
              <w:spacing w:before="0" w:after="283"/>
              <w:jc w:val="left"/>
              <w:rPr>
                <w:sz w:val="4"/>
                <w:szCs w:val="4"/>
              </w:rPr>
            </w:pPr>
            <w:r>
              <w:rPr>
                <w:sz w:val="4"/>
                <w:szCs w:val="4"/>
              </w:rPr>
            </w:r>
          </w:p>
        </w:tc>
      </w:tr>
      <w:t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68,778 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9"/>
        <w:gridCol w:w="514"/>
        <w:gridCol w:w="516"/>
        <w:gridCol w:w="199"/>
        <w:gridCol w:w="750"/>
        <w:gridCol w:w="111"/>
        <w:gridCol w:w="109"/>
        <w:gridCol w:w="109"/>
        <w:gridCol w:w="109"/>
        <w:gridCol w:w="212"/>
        <w:gridCol w:w="604"/>
        <w:gridCol w:w="118"/>
        <w:gridCol w:w="109"/>
        <w:gridCol w:w="109"/>
        <w:gridCol w:w="109"/>
        <w:gridCol w:w="229"/>
        <w:gridCol w:w="474"/>
        <w:gridCol w:w="127"/>
        <w:gridCol w:w="109"/>
        <w:gridCol w:w="109"/>
        <w:gridCol w:w="109"/>
        <w:gridCol w:w="238"/>
        <w:gridCol w:w="894"/>
        <w:gridCol w:w="132"/>
        <w:gridCol w:w="109"/>
        <w:gridCol w:w="109"/>
        <w:gridCol w:w="109"/>
        <w:gridCol w:w="377"/>
        <w:gridCol w:w="1098"/>
        <w:gridCol w:w="211"/>
        <w:gridCol w:w="109"/>
        <w:gridCol w:w="109"/>
        <w:gridCol w:w="109"/>
        <w:gridCol w:w="196"/>
        <w:gridCol w:w="737"/>
        <w:gridCol w:w="164"/>
      </w:tblGrid>
      <w:tr>
        <w:tc>
          <w:tcPr>
            <w:tcW w:w="66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1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240"/>
              <w:jc w:val="left"/>
              <w:rPr>
                <w:sz w:val="4"/>
                <w:szCs w:val="4"/>
              </w:rPr>
            </w:pPr>
            <w:r>
              <w:rPr>
                <w:sz w:val="4"/>
                <w:szCs w:val="4"/>
              </w:rPr>
            </w:r>
          </w:p>
        </w:tc>
      </w:tr>
      <w:tr>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c>
          <w:tcPr>
            <w:tcW w:w="169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property and equipment, net as of September 30, 2026 and December 31, 2025, were as follows:</w:t>
      </w:r>
    </w:p>
    <w:tbl>
      <w:tblPr>
        <w:tblW w:w="4899" w:type="dxa"/>
        <w:jc w:val="left"/>
        <w:tblInd w:w="0" w:type="dxa"/>
        <w:tblLayout w:type="fixed"/>
        <w:tblCellMar>
          <w:top w:w="28" w:type="dxa"/>
          <w:left w:w="28" w:type="dxa"/>
          <w:bottom w:w="28" w:type="dxa"/>
          <w:right w:w="28" w:type="dxa"/>
        </w:tblCellMar>
      </w:tblPr>
      <w:tblGrid>
        <w:gridCol w:w="829"/>
        <w:gridCol w:w="730"/>
        <w:gridCol w:w="735"/>
        <w:gridCol w:w="214"/>
        <w:gridCol w:w="806"/>
        <w:gridCol w:w="119"/>
        <w:gridCol w:w="109"/>
        <w:gridCol w:w="109"/>
        <w:gridCol w:w="109"/>
        <w:gridCol w:w="205"/>
        <w:gridCol w:w="773"/>
        <w:gridCol w:w="161"/>
      </w:tblGrid>
      <w:t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computers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process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property and equipment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gross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292,833 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281,090 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85,618 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95,426 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Company’s total property and equipment by geographic location as of September 30, 2026 and December 31, 2025:</w:t>
      </w:r>
    </w:p>
    <w:tbl>
      <w:tblPr>
        <w:tblW w:w="4721" w:type="dxa"/>
        <w:jc w:val="left"/>
        <w:tblInd w:w="0" w:type="dxa"/>
        <w:tblLayout w:type="fixed"/>
        <w:tblCellMar>
          <w:top w:w="28" w:type="dxa"/>
          <w:left w:w="28" w:type="dxa"/>
          <w:bottom w:w="28" w:type="dxa"/>
          <w:right w:w="28" w:type="dxa"/>
        </w:tblCellMar>
      </w:tblPr>
      <w:tblGrid>
        <w:gridCol w:w="766"/>
        <w:gridCol w:w="673"/>
        <w:gridCol w:w="675"/>
        <w:gridCol w:w="235"/>
        <w:gridCol w:w="775"/>
        <w:gridCol w:w="130"/>
        <w:gridCol w:w="109"/>
        <w:gridCol w:w="109"/>
        <w:gridCol w:w="109"/>
        <w:gridCol w:w="224"/>
        <w:gridCol w:w="740"/>
        <w:gridCol w:w="176"/>
      </w:tblGrid>
      <w:t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Colombia</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85,618 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95,426 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6. Goodwill and Intangibles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period were as follows:</w:t>
      </w:r>
    </w:p>
    <w:tbl>
      <w:tblPr>
        <w:tblW w:w="3620" w:type="dxa"/>
        <w:jc w:val="left"/>
        <w:tblInd w:w="0" w:type="dxa"/>
        <w:tblLayout w:type="fixed"/>
        <w:tblCellMar>
          <w:top w:w="28" w:type="dxa"/>
          <w:left w:w="28" w:type="dxa"/>
          <w:bottom w:w="28" w:type="dxa"/>
          <w:right w:w="28" w:type="dxa"/>
        </w:tblCellMar>
      </w:tblPr>
      <w:tblGrid>
        <w:gridCol w:w="918"/>
        <w:gridCol w:w="807"/>
        <w:gridCol w:w="809"/>
        <w:gridCol w:w="196"/>
        <w:gridCol w:w="736"/>
        <w:gridCol w:w="154"/>
      </w:tblGrid>
      <w:t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September 30, 2026 and December 31, 2025:</w:t>
      </w:r>
    </w:p>
    <w:tbl>
      <w:tblPr>
        <w:tblW w:w="10205" w:type="dxa"/>
        <w:jc w:val="left"/>
        <w:tblInd w:w="0" w:type="dxa"/>
        <w:tblLayout w:type="fixed"/>
        <w:tblCellMar>
          <w:top w:w="28" w:type="dxa"/>
          <w:left w:w="28" w:type="dxa"/>
          <w:bottom w:w="28" w:type="dxa"/>
          <w:right w:w="28" w:type="dxa"/>
        </w:tblCellMar>
      </w:tblPr>
      <w:tblGrid>
        <w:gridCol w:w="617"/>
        <w:gridCol w:w="543"/>
        <w:gridCol w:w="537"/>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56"/>
      </w:tblGrid>
      <w:t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r>
      <w:t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153,490 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balances of current and noncurrent portions of debt consisted of the following as of September 30, 2026 and December 31, 2025:</w:t>
      </w:r>
    </w:p>
    <w:tbl>
      <w:tblPr>
        <w:tblW w:w="9665" w:type="dxa"/>
        <w:jc w:val="left"/>
        <w:tblInd w:w="0" w:type="dxa"/>
        <w:tblLayout w:type="fixed"/>
        <w:tblCellMar>
          <w:top w:w="28" w:type="dxa"/>
          <w:left w:w="28" w:type="dxa"/>
          <w:bottom w:w="28" w:type="dxa"/>
          <w:right w:w="28" w:type="dxa"/>
        </w:tblCellMar>
      </w:tblPr>
      <w:tblGrid>
        <w:gridCol w:w="695"/>
        <w:gridCol w:w="611"/>
        <w:gridCol w:w="61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Debt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2026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2026, the Company entered into a credit agreement (the “2026 Credit Agreement”) with both new and existing lenders which amended and restated the 2022 Credit Agreement (described below). The 2026 Credit Agreement includes a $500.0 million term loan (the “2026 Term Loan Facility”) and a $100.0 million revolving credit facility (the “2026 Revolving Credit Facility” and, together with the 2026 Term Loan Facility, the “2026 Credit Facilities”). The proceeds of the 2026 Term Loan Facility, and cash on the Company's balance sheet, were used to repay all borrowings under the 2022 Credit facilities, pay related fees and expenses and fund a $332.8 million special cash dividend (the “Refinancing”). The Refinancing was accounted for as a debt modification for existing lenders, new debt for new lenders and an extinguishment for exiting lenders. Debt financing fees associated with the Refinancing, including amounts allocated from the 2022 Credit facilities, were $8.6 million associated with the 2026 Term Loan Facility and $2.0 million associated with the undrawn 2026 Revolving Credit Facility. The Refinancing resulted in $0.7 million of third-party costs, recorded in selling, general and administrative expense, and $0.2 million of loss on extinguishment, recorded in financing expenses, on the condensed consolidated statements of income for the nine months ended September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2026 Term Loan Facility matures on March 11, 2031, and commencing with the fiscal quarter ending September 30, 2026, requires quarterly principal payments of 1.25% of the original principal amount of the term loans through March 31, 2029, 1.875% of the original principal amount of the term loans from June 30, 2029 through March 31, 2030 and 2.50% of the original principal amount of the term loans thereafter, with the remaining principal due in a lump sum at the maturity date. Voluntary principal prepayments are permitted.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2026 Revolving Credit Facility provides the Company with access to a $15.0 million letter of credit facility and a $15.0 million swing line facility, each of which, to the extent used, reduces borrowing availability under the 2026 Revolving Credit Facility. The 2026 Revolving Credit Facility terminates on March 11, 2031. As of September 30, 2026, we had no balance outstanding and $100.0 million of borrowing available under the 2026 Revolving Credit Facility.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Borrowings under the 2026 Credit Agreement, with the exception of swing line borrowings, bear interest, at our option, either at (i) an adjusted Term Secured Overnight Financing Rate (“Term SOFR”) plus a margin of 2.75% per annum, subject to a Term SOFR floor of 0.00% or (ii) an alternate base rate plus a margin of 1.75% per annum, subject to an alternative base rate floor of 1.00%. Any borrowings under the swing line facility will be subject to the base rate. The 2026 Revolving Credit Facility also requires a commitment fee of 0.40% per annum of undrawn commitments to be paid quarterly in arrears. The Company has elected to pay interest on borrowings under the 2026 Term Loan Facility based on Term SOFR. The interest rate in effect for the 2026 Term Loan Facility as of September 30, 2026 was 6.825% per annum. Due to its variable interest rates based on Term SOFR, the carrying amount of the debt under the 2026 Credit Agreement approximates fair value based on Level 2 inputs.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2026 Credit Agreement contains a financial covenant requiring compliance with a maximum consolidated total net leverage ratio and certain other covenants, including, among other things, covenants restricting the incurrence of indebtedness, the incurrence of liens, investments (including acquisitions), dispositions, prepayments of payment, subordinated indebtedness and distributions. The Company was in compliance with all debt covenants as of September 30, 2026. Substantially all assets of the Company's direct wholly owned subsidiary TU MidCo, Inc., its wholly owned subsidiary TU BidCo, Inc. and its material wholly owned domestic subsidiaries are pledged as collateral under the 2026 Credit Agreement, subject to certain customary exceptions.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2022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the Refinancing, the Company’s 2022 Credit Agreement consisted of an original term loan facility of $270.0 million and a $190.0 million revolving credit facility. Upon execution of the 2026 Credit Agreement, all outstanding balances under the 2022 Credit Agreement were repaid in full and all commitments thereunder were terminated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operating lease costs recorded to cost of services:</w:t>
      </w:r>
    </w:p>
    <w:tbl>
      <w:tblPr>
        <w:tblW w:w="8791"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252"/>
        <w:gridCol w:w="716"/>
        <w:gridCol w:w="140"/>
        <w:gridCol w:w="140"/>
        <w:gridCol w:w="140"/>
        <w:gridCol w:w="140"/>
        <w:gridCol w:w="252"/>
        <w:gridCol w:w="716"/>
        <w:gridCol w:w="140"/>
        <w:gridCol w:w="109"/>
        <w:gridCol w:w="109"/>
        <w:gridCol w:w="109"/>
        <w:gridCol w:w="223"/>
        <w:gridCol w:w="737"/>
        <w:gridCol w:w="124"/>
        <w:gridCol w:w="124"/>
        <w:gridCol w:w="124"/>
        <w:gridCol w:w="124"/>
        <w:gridCol w:w="223"/>
        <w:gridCol w:w="737"/>
        <w:gridCol w:w="175"/>
      </w:tblGrid>
      <w:t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 -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costs recorded to selling, general and administrative expenses were immaterial.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 average remaining lease term and weighted average discount rate for the Company's operating leases as of September 30, 2026 and December 31, 2025:</w:t>
      </w:r>
    </w:p>
    <w:tbl>
      <w:tblPr>
        <w:tblW w:w="5812"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261"/>
        <w:gridCol w:w="261"/>
        <w:gridCol w:w="617"/>
        <w:gridCol w:w="109"/>
        <w:gridCol w:w="109"/>
        <w:gridCol w:w="109"/>
        <w:gridCol w:w="238"/>
        <w:gridCol w:w="238"/>
        <w:gridCol w:w="664"/>
      </w:tblGrid>
      <w:t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years</w:t>
            </w:r>
          </w:p>
        </w:tc>
      </w:tr>
      <w:t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the Company's operating leases:</w:t>
      </w:r>
    </w:p>
    <w:tbl>
      <w:tblPr>
        <w:tblW w:w="8445" w:type="dxa"/>
        <w:jc w:val="left"/>
        <w:tblInd w:w="0" w:type="dxa"/>
        <w:tblLayout w:type="fixed"/>
        <w:tblCellMar>
          <w:top w:w="28" w:type="dxa"/>
          <w:left w:w="28" w:type="dxa"/>
          <w:bottom w:w="28" w:type="dxa"/>
          <w:right w:w="28" w:type="dxa"/>
        </w:tblCellMar>
      </w:tblPr>
      <w:tblGrid>
        <w:gridCol w:w="2080"/>
        <w:gridCol w:w="1830"/>
        <w:gridCol w:w="1835"/>
        <w:gridCol w:w="109"/>
        <w:gridCol w:w="223"/>
        <w:gridCol w:w="737"/>
        <w:gridCol w:w="124"/>
        <w:gridCol w:w="124"/>
        <w:gridCol w:w="124"/>
        <w:gridCol w:w="124"/>
        <w:gridCol w:w="223"/>
        <w:gridCol w:w="737"/>
        <w:gridCol w:w="175"/>
      </w:tblGrid>
      <w:t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lease payments on the Company's operating lease liabilities as of September 30, 2026 were as follows:</w:t>
      </w:r>
    </w:p>
    <w:tbl>
      <w:tblPr>
        <w:tblW w:w="3213"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646"/>
        <w:gridCol w:w="154"/>
      </w:tblGrid>
      <w:t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2025, putative TaskUs stockholder James Eaton filed a derivative lawsuit in the Court of Chancery of the State of Delaware, captioned Eaton v. Maddock, et al. (C.A. No. 2025-0043-NAC), purportedly on behalf of the Company against certain current and former members of its Board of Directors and officers. Eaton previously delivered a demand pursuant to 8 Del. C. §220 on TaskUs on July 3, 2024, which the Company responded to on September 16, 2024. The Eaton complaint asserts a claim for breach of fiduciary duty and alleges that TaskUs’s public filings included misstatements regarding its low employee attrition rate and high Glassdoor rating in the lead-up periods to the Company’s IPO and secondary public offering in October 2021 (“SPO”). The complaint alleges that because of TaskUs’s breach, the Company has suffered damages in the form of: (1) legal fees associated with litigation; (2) loss of reputation and goodwill; (3) costs associated with investigations into the misstatement allegations; (4) money used to facilitate the IPO and SPO; (5) insider profits derived from the IPO and SPO; and (6) loss of Company revenue and profits. On June 5, 2025, the parties moved to stay the action, which the Court granted on June 6, 2025.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6, 2025, putative TaskUs stockholder Kalvin Tucker filed a derivative lawsuit in the United States District Court for the Southern District of New York, captioned Tucker v. Dixit, et al. (No. 25-cv-01875), purportedly on behalf of the Company against certain current and former members of its Board of Directors and officers. The Tucker complaint includes allegations that are substantially similar to those in the Eaton case and asserts claims for contribution, breach of fiduciary duty, aiding and abetting breaches of fiduciary duty, unjust enrichment, and waste. On June 10, 2025, the parties moved to stay the action, which the Court granted on June 11, 2025.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27, 2025, a purported class action captioned Nelson Estrada, individually and on behalf of all others similarly situated v. TaskUs, Inc., was filed in the United States District Court for the Southern District of New York against the Company. An amended complaint was filed on September 16, 2025 that added additional plaintiffs Allen Joo, Tiba Parsa, Tim Reynolds, and Craig Burson. The amended complaint alleges that plaintiffs’ data was implicated in a Coinbase data breach announced on May 14, 2025, that the breach involved TaskUs employees providing overseas support services to Coinbase who improperly accessed information related to his account, and that a subset of the plaintiffs had cryptocurrency assets stolen in ways that they allege was related to the breach. The amended complaint asserts claims for negligence, negligent hiring/supervision, conversion, fraud, breach of implied contract, unjust enrichment, declaratory and injunctive relief, violation of the unfair and deceptive trade law statutes of various states, and violation of the California Consumer Privacy Act. Plaintiff seeks to certify a class of all persons in the United States whose personally identifiable information was compromised in the Coinbase data breach, as well as a similarly defined California sub-class, and a sub-class of individuals whose cryptocurrency assets were stolen by those who received personally identifiable information as a result of the breach. Plaintiffs request damages, pre- and post-judgment interest, attorneys’ fees, and any other relief allowable under law. On October 30, 2025, the Company filed a motion to dismiss the amended complaint. On July 28, 2026, the Court granted in part and denied in part the Company’s motion to dismiss.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the Company filed a motion to dismiss the amended complaint. In May 2023, the Court issued an Order dismissing certain parties, staying the case as to the Company and denying as moot the Company's previously filed motion to dismiss. This case is currently stayed. The Company is unable to predict, with a reasonable degree of certainty, the likely outcome of this litigation.</w:t>
      </w:r>
    </w:p>
    <w:p>
      <w:pPr>
        <w:pStyle w:val="TextBody"/>
        <w:bidi w:val="0"/>
        <w:spacing w:before="120" w:after="283"/>
        <w:ind w:left="0" w:right="0" w:firstLine="54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7, 2026, a lawsuit captioned Tommy Gardner vs. Ledger SAS, Ledger Technologies, Inc., Shopify, Inc., TaskUs, Inc., TaskUs USA, LLC, TaskUs Holdings, Inc., No. 2026-45412, was filed in the District Court for Harris County, Texas. The complaint alleges the named defendants failed to exercise reasonable care in securing and safeguarding consumer information in connection with a data breach impacting Ledger SAS cryptocurrency hardware wallets, resulting in the unauthorized public release and subsequent misuse of personally identifiable information. The plaintiff seeks equitable and monetary relief and alleges damages in excess of $3,000,000. The Company was served on or about July 16, 2026. In September 2026, the Company filed a motion seeking a stay of the responsive pleading deadline until such time as all defendants are served. That motion is currently pending. The Company is unable to predict, with a reasonable degree of certainty, the likely outcome of this litigation.</w:t>
      </w:r>
    </w:p>
    <w:p>
      <w:pPr>
        <w:pStyle w:val="TextBody"/>
        <w:bidi w:val="0"/>
        <w:spacing w:lineRule="auto" w:line="288" w:before="120" w:after="283"/>
        <w:ind w:left="0" w:right="0" w:firstLine="360"/>
        <w:jc w:val="both"/>
      </w:pPr>
      <w:r>
        <w:rPr>
          <w:rFonts w:ascii="Times New Roman;serif" w:hAnsi="Times New Roman;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 the ordinary course of business, the Company enters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 however, the Company may incur significant losses related to such indemnification obligations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76" w:before="120" w:after="283"/>
        <w:ind w:left="0" w:right="0" w:firstLine="540"/>
        <w:jc w:val="both"/>
      </w:pPr>
      <w:r>
        <w:rPr>
          <w:rFonts w:ascii="Times New Roman;serif" w:hAnsi="Times New Roman;serif"/>
          <w:b w:val="false"/>
          <w:color w:val="000000"/>
          <w:sz w:val="20"/>
        </w:rPr>
        <w:t xml:space="preserve">As required by the 2019 TaskUs, Inc. Stock Incentive Plan and TaskUs, Inc. 2021 Omnibus Incentive Plan (collectively, the "Incentive Plans"), the Company made proportionate adjustments to the terms of outstanding awards in conjunction with the special cash dividend of $3.65 per share (the "Equity Adjustment"). The Company determined that the Equity Adjustment was a modification of the outstanding awards in conjunction with an equity restructuring, in accordance with Accounting Standards Codification Topic 718,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The awards were adjusted as follows: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Each vested, in-the-money stock option will receive a payment of $3.65, resulting in $1.2 million stock-based compensation expense recognized primarily in selling, general and administrative expense on the condensed consolidated statements of income for the nine months ended September 30, 2026.</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Each unvested restricted stock unit ("RSU") and performance stock unit ("PSU") will receive a payment of $3.65 upon vesting, which did not result in a change in fair value of the awards. The Equity Adjustment resulted in a reclassification of $6.7 million from additional paid-in capital to accrued payroll and employee-related liabilities for the portion of the cash payment earned at the time of the Equity Adjustment for prior service. The unearned portion of the cash payment will be recognized as future service is provided.</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The exercise price for each out-of-the-money stock option was reduced so the intrinsic value did not change. The Equity Adjustment did not result in a change in fair value of the awards.</w:t>
      </w:r>
    </w:p>
    <w:p>
      <w:pPr>
        <w:pStyle w:val="TextBody"/>
        <w:bidi w:val="0"/>
        <w:spacing w:lineRule="auto" w:line="288" w:before="120" w:after="283"/>
        <w:ind w:left="0" w:right="0" w:firstLine="540"/>
        <w:jc w:val="both"/>
      </w:pPr>
      <w:r>
        <w:rPr>
          <w:rFonts w:ascii="Times New Roman;serif" w:hAnsi="Times New Roman;serif"/>
          <w:b w:val="false"/>
          <w:color w:val="000000"/>
          <w:sz w:val="20"/>
          <w:shd w:fill="FFFFFF" w:val="clear"/>
        </w:rPr>
        <w:t xml:space="preserve">The following table summarizes the stock option, RSU and PSU activity for the </w:t>
      </w:r>
      <w:r>
        <w:rPr>
          <w:rFonts w:ascii="Times New Roman;serif" w:hAnsi="Times New Roman;serif"/>
          <w:b w:val="false"/>
          <w:color w:val="000000"/>
          <w:sz w:val="20"/>
        </w:rPr>
        <w:t>nine months ended September 30, 2026</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558"/>
        <w:gridCol w:w="393"/>
        <w:gridCol w:w="394"/>
        <w:gridCol w:w="435"/>
        <w:gridCol w:w="436"/>
        <w:gridCol w:w="296"/>
        <w:gridCol w:w="109"/>
        <w:gridCol w:w="109"/>
        <w:gridCol w:w="109"/>
        <w:gridCol w:w="257"/>
        <w:gridCol w:w="732"/>
        <w:gridCol w:w="144"/>
        <w:gridCol w:w="109"/>
        <w:gridCol w:w="109"/>
        <w:gridCol w:w="109"/>
        <w:gridCol w:w="449"/>
        <w:gridCol w:w="451"/>
        <w:gridCol w:w="296"/>
        <w:gridCol w:w="109"/>
        <w:gridCol w:w="109"/>
        <w:gridCol w:w="109"/>
        <w:gridCol w:w="254"/>
        <w:gridCol w:w="720"/>
        <w:gridCol w:w="142"/>
        <w:gridCol w:w="109"/>
        <w:gridCol w:w="109"/>
        <w:gridCol w:w="109"/>
        <w:gridCol w:w="382"/>
        <w:gridCol w:w="383"/>
        <w:gridCol w:w="296"/>
        <w:gridCol w:w="109"/>
        <w:gridCol w:w="109"/>
        <w:gridCol w:w="109"/>
        <w:gridCol w:w="334"/>
        <w:gridCol w:w="947"/>
        <w:gridCol w:w="271"/>
      </w:tblGrid>
      <w:tr>
        <w:tc>
          <w:tcPr>
            <w:tcW w:w="5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Weighted -</w:t>
              <w:br/>
              <w:t>average</w:t>
              <w:br/>
              <w:t>exercise price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Weighted -</w:t>
              <w:br/>
              <w:t>average</w:t>
              <w:br/>
              <w:t>grant date fair value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Weighted - average grant date fair value</w:t>
            </w:r>
            <w:r>
              <w:rPr>
                <w:rFonts w:ascii="Times New Roman;serif" w:hAnsi="Times New Roman;serif"/>
                <w:b/>
                <w:color w:val="000000"/>
                <w:sz w:val="10"/>
              </w:rPr>
              <w:t>(2)(3)</w:t>
            </w:r>
          </w:p>
        </w:tc>
      </w:tr>
      <w:tr>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3,599,988 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3,570,679 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636,198 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2,269,625 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418,441 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or released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(1,635,297)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cancelled, or expired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(450,451)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(697,151)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(117,363)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September 30,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3,118,507 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3,507,856 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862,362 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Outstanding at September 30, 2026 includes the exercise price reduction for out-of-the-money stock options.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Includes the liability-classified portion of the award as the fair value did not change.</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Excludes award tranches for which there is no grant date or grant date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PSUs granted during the nine months ended September 30, 2026 vest contingently over three years subject to continued service and the achievement of certain Revenue and Adjusted EBITDA targets (performance conditions). The performance targets for the second and third tranches of these awards shall be determined by the Compensation Committee of the Board of Directors during the first fiscal quarter of each year. As a result, there is no grant date or grant date fair value for these tranches since there is not a mutual understanding between the grantor and grantee of the key terms and conditions.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stock-based compensation expense recognized for the periods presented:</w:t>
      </w:r>
    </w:p>
    <w:tbl>
      <w:tblPr>
        <w:tblW w:w="8718" w:type="dxa"/>
        <w:jc w:val="left"/>
        <w:tblInd w:w="0" w:type="dxa"/>
        <w:tblLayout w:type="fixed"/>
        <w:tblCellMar>
          <w:top w:w="28" w:type="dxa"/>
          <w:left w:w="28" w:type="dxa"/>
          <w:bottom w:w="28" w:type="dxa"/>
          <w:right w:w="28" w:type="dxa"/>
        </w:tblCellMar>
      </w:tblPr>
      <w:tblGrid>
        <w:gridCol w:w="1146"/>
        <w:gridCol w:w="1008"/>
        <w:gridCol w:w="1010"/>
        <w:gridCol w:w="252"/>
        <w:gridCol w:w="716"/>
        <w:gridCol w:w="140"/>
        <w:gridCol w:w="140"/>
        <w:gridCol w:w="140"/>
        <w:gridCol w:w="140"/>
        <w:gridCol w:w="252"/>
        <w:gridCol w:w="716"/>
        <w:gridCol w:w="140"/>
        <w:gridCol w:w="109"/>
        <w:gridCol w:w="109"/>
        <w:gridCol w:w="109"/>
        <w:gridCol w:w="223"/>
        <w:gridCol w:w="737"/>
        <w:gridCol w:w="124"/>
        <w:gridCol w:w="124"/>
        <w:gridCol w:w="124"/>
        <w:gridCol w:w="124"/>
        <w:gridCol w:w="223"/>
        <w:gridCol w:w="737"/>
        <w:gridCol w:w="175"/>
      </w:tblGrid>
      <w:t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there was $18.7 million and $0.5 million of unrecognized compensation expense related to the Company’s unvested RSUs and PSUs, respectively, that is expected to be recognized over a weighted-average period of 1.5 years and 0.5 years, respectively. Certain PSUs contain performance conditions, which may result in a different amount of expense recognized over the term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provision for income taxes of $6.2 million and $10.3 million in the three months ended September 30, 2026 and 2025, respectively. The effective tax rate was 19.1% and 24.8% for the three months ended September 30, 2026 and 2025,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recorded provision for income taxes of $25.7 million and $26.0 million in the nine months ended September 30, 2026 and 2025, respectively. The effective tax rate was 26.1% and 26.3% for the nine months ended September 30, 2026 and 2025, respectively. The difference between the effective tax rate and the 21% federal statutory rate in the nine months ended September 30, 2026 was primarily due to an increase in uncertain tax positions and nondeductible compensation of officers, partially offset by Foreign-Derived Intangible Income ("FDII"). The difference between the effective tax rate and the 21% federal statutory rate in the nine months ended September 30, 2025 was primarily due to state taxes, Global Intangible Low-Taxed Income inclusion and nondeductible compensation of officers partially offset by FDII.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required by the Incentive Plans, the Company made proportionate adjustments to the terms of outstanding awards in conjunction with the special cash dividend of $3.65 per share. See Note 10, "Stock-Based Compensation" in the Notes to Unaudited Condensed Consolidated Financial Statements included in this Quarterly Report for additional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earnings per share for the three and nine months ended September 30, 2026 and 2025:</w:t>
      </w:r>
    </w:p>
    <w:tbl>
      <w:tblPr>
        <w:tblW w:w="9639" w:type="dxa"/>
        <w:jc w:val="left"/>
        <w:tblInd w:w="0" w:type="dxa"/>
        <w:tblLayout w:type="fixed"/>
        <w:tblCellMar>
          <w:top w:w="28" w:type="dxa"/>
          <w:left w:w="28" w:type="dxa"/>
          <w:bottom w:w="28" w:type="dxa"/>
          <w:right w:w="28" w:type="dxa"/>
        </w:tblCellMar>
      </w:tblPr>
      <w:tblGrid>
        <w:gridCol w:w="1476"/>
        <w:gridCol w:w="1297"/>
        <w:gridCol w:w="1307"/>
        <w:gridCol w:w="232"/>
        <w:gridCol w:w="765"/>
        <w:gridCol w:w="129"/>
        <w:gridCol w:w="129"/>
        <w:gridCol w:w="129"/>
        <w:gridCol w:w="129"/>
        <w:gridCol w:w="232"/>
        <w:gridCol w:w="765"/>
        <w:gridCol w:w="129"/>
        <w:gridCol w:w="109"/>
        <w:gridCol w:w="109"/>
        <w:gridCol w:w="109"/>
        <w:gridCol w:w="223"/>
        <w:gridCol w:w="738"/>
        <w:gridCol w:w="124"/>
        <w:gridCol w:w="124"/>
        <w:gridCol w:w="124"/>
        <w:gridCol w:w="124"/>
        <w:gridCol w:w="223"/>
        <w:gridCol w:w="738"/>
        <w:gridCol w:w="175"/>
      </w:tblGrid>
      <w:t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91,701,561 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90,128,176 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91,371,514 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89,887,246 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1,636,418 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2,929,241 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1,604,401 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3,209,341 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93,337,979 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93,057,417 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92,975,915 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93,096,587 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w:t>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excluded 3,035,848 and 3,785,739 potential common stock equivalents from the computation of diluted EPS for the three and nine months ended September 30, 2026, respectively, and 3,118,173 and 3,156,602 potential common stock equivalents from the computation of diluted EPS for the three and nine months ended September 30, 2025, respectively, because the effect would have been anti-dilutive. There were 862,362 and 511,753 potential common stock equivalents outstanding as of September 30, 2026 and 2025, respectively, with market or performance conditions which were not met at the relevant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13. Accumulated Other Comprehensive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accumulated balances of other comprehensive income (loss) for the three and nine months ended September 30, 2026:</w:t>
      </w:r>
    </w:p>
    <w:tbl>
      <w:tblPr>
        <w:tblW w:w="10205" w:type="dxa"/>
        <w:jc w:val="left"/>
        <w:tblInd w:w="0" w:type="dxa"/>
        <w:tblLayout w:type="fixed"/>
        <w:tblCellMar>
          <w:top w:w="28" w:type="dxa"/>
          <w:left w:w="28" w:type="dxa"/>
          <w:bottom w:w="28" w:type="dxa"/>
          <w:right w:w="28" w:type="dxa"/>
        </w:tblCellMar>
      </w:tblPr>
      <w:tblGrid>
        <w:gridCol w:w="1062"/>
        <w:gridCol w:w="689"/>
        <w:gridCol w:w="692"/>
        <w:gridCol w:w="339"/>
        <w:gridCol w:w="1236"/>
        <w:gridCol w:w="188"/>
        <w:gridCol w:w="109"/>
        <w:gridCol w:w="109"/>
        <w:gridCol w:w="109"/>
        <w:gridCol w:w="359"/>
        <w:gridCol w:w="773"/>
        <w:gridCol w:w="200"/>
        <w:gridCol w:w="109"/>
        <w:gridCol w:w="109"/>
        <w:gridCol w:w="109"/>
        <w:gridCol w:w="383"/>
        <w:gridCol w:w="1201"/>
        <w:gridCol w:w="213"/>
        <w:gridCol w:w="109"/>
        <w:gridCol w:w="109"/>
        <w:gridCol w:w="109"/>
        <w:gridCol w:w="285"/>
        <w:gridCol w:w="1012"/>
        <w:gridCol w:w="592"/>
      </w:tblGrid>
      <w:tr>
        <w:tc>
          <w:tcPr>
            <w:tcW w:w="106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(35,757)</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(35,532)</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(5,847)</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(6,428)</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2026</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(41,604)</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(41,960)</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1"/>
        <w:gridCol w:w="690"/>
        <w:gridCol w:w="692"/>
        <w:gridCol w:w="339"/>
        <w:gridCol w:w="1236"/>
        <w:gridCol w:w="188"/>
        <w:gridCol w:w="109"/>
        <w:gridCol w:w="109"/>
        <w:gridCol w:w="109"/>
        <w:gridCol w:w="359"/>
        <w:gridCol w:w="773"/>
        <w:gridCol w:w="200"/>
        <w:gridCol w:w="109"/>
        <w:gridCol w:w="109"/>
        <w:gridCol w:w="109"/>
        <w:gridCol w:w="383"/>
        <w:gridCol w:w="1201"/>
        <w:gridCol w:w="213"/>
        <w:gridCol w:w="109"/>
        <w:gridCol w:w="109"/>
        <w:gridCol w:w="109"/>
        <w:gridCol w:w="285"/>
        <w:gridCol w:w="1012"/>
        <w:gridCol w:w="592"/>
      </w:tblGrid>
      <w:tr>
        <w:tc>
          <w:tcPr>
            <w:tcW w:w="106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(24,695)</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(17,265)</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2026</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(41,604)</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(41,960)</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accumulated balances of other comprehensive income (loss) for the three and nine months ended September 30, 2025:</w:t>
      </w:r>
    </w:p>
    <w:tbl>
      <w:tblPr>
        <w:tblW w:w="10205" w:type="dxa"/>
        <w:jc w:val="left"/>
        <w:tblInd w:w="0" w:type="dxa"/>
        <w:tblLayout w:type="fixed"/>
        <w:tblCellMar>
          <w:top w:w="28" w:type="dxa"/>
          <w:left w:w="28" w:type="dxa"/>
          <w:bottom w:w="28" w:type="dxa"/>
          <w:right w:w="28" w:type="dxa"/>
        </w:tblCellMar>
      </w:tblPr>
      <w:tblGrid>
        <w:gridCol w:w="1062"/>
        <w:gridCol w:w="689"/>
        <w:gridCol w:w="692"/>
        <w:gridCol w:w="339"/>
        <w:gridCol w:w="1236"/>
        <w:gridCol w:w="188"/>
        <w:gridCol w:w="109"/>
        <w:gridCol w:w="109"/>
        <w:gridCol w:w="109"/>
        <w:gridCol w:w="352"/>
        <w:gridCol w:w="783"/>
        <w:gridCol w:w="197"/>
        <w:gridCol w:w="109"/>
        <w:gridCol w:w="109"/>
        <w:gridCol w:w="109"/>
        <w:gridCol w:w="408"/>
        <w:gridCol w:w="1161"/>
        <w:gridCol w:w="229"/>
        <w:gridCol w:w="109"/>
        <w:gridCol w:w="109"/>
        <w:gridCol w:w="109"/>
        <w:gridCol w:w="285"/>
        <w:gridCol w:w="1012"/>
        <w:gridCol w:w="591"/>
      </w:tblGrid>
      <w:tr>
        <w:tc>
          <w:tcPr>
            <w:tcW w:w="106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(12,142)</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(21,256)</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(21,559)</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1"/>
        <w:gridCol w:w="690"/>
        <w:gridCol w:w="692"/>
        <w:gridCol w:w="339"/>
        <w:gridCol w:w="1236"/>
        <w:gridCol w:w="188"/>
        <w:gridCol w:w="109"/>
        <w:gridCol w:w="109"/>
        <w:gridCol w:w="109"/>
        <w:gridCol w:w="352"/>
        <w:gridCol w:w="783"/>
        <w:gridCol w:w="197"/>
        <w:gridCol w:w="109"/>
        <w:gridCol w:w="109"/>
        <w:gridCol w:w="109"/>
        <w:gridCol w:w="383"/>
        <w:gridCol w:w="1201"/>
        <w:gridCol w:w="213"/>
        <w:gridCol w:w="109"/>
        <w:gridCol w:w="109"/>
        <w:gridCol w:w="109"/>
        <w:gridCol w:w="285"/>
        <w:gridCol w:w="1012"/>
        <w:gridCol w:w="592"/>
      </w:tblGrid>
      <w:tr>
        <w:tc>
          <w:tcPr>
            <w:tcW w:w="106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(21,659)</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(25,389)</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8,608 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(21,256)</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(21,559)</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c>
          <w:tcPr>
            <w:tcW w:w="2443"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is our chief operating decision maker, who allocates resources to, and assesses the performance of, each operating segment using information based on factors including client demand and capacity and consolidated net income. Therefore, the Company has determined that it operates in a single operating and reportable segment.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significant expenses for the Company’s single segment:</w:t>
      </w:r>
    </w:p>
    <w:tbl>
      <w:tblPr>
        <w:tblW w:w="10205" w:type="dxa"/>
        <w:jc w:val="left"/>
        <w:tblInd w:w="0" w:type="dxa"/>
        <w:tblLayout w:type="fixed"/>
        <w:tblCellMar>
          <w:top w:w="28" w:type="dxa"/>
          <w:left w:w="28" w:type="dxa"/>
          <w:bottom w:w="28" w:type="dxa"/>
          <w:right w:w="28" w:type="dxa"/>
        </w:tblCellMar>
      </w:tblPr>
      <w:tblGrid>
        <w:gridCol w:w="1710"/>
        <w:gridCol w:w="1481"/>
        <w:gridCol w:w="1486"/>
        <w:gridCol w:w="212"/>
        <w:gridCol w:w="800"/>
        <w:gridCol w:w="118"/>
        <w:gridCol w:w="118"/>
        <w:gridCol w:w="118"/>
        <w:gridCol w:w="118"/>
        <w:gridCol w:w="212"/>
        <w:gridCol w:w="800"/>
        <w:gridCol w:w="118"/>
        <w:gridCol w:w="109"/>
        <w:gridCol w:w="109"/>
        <w:gridCol w:w="109"/>
        <w:gridCol w:w="206"/>
        <w:gridCol w:w="774"/>
        <w:gridCol w:w="114"/>
        <w:gridCol w:w="114"/>
        <w:gridCol w:w="114"/>
        <w:gridCol w:w="114"/>
        <w:gridCol w:w="206"/>
        <w:gridCol w:w="774"/>
        <w:gridCol w:w="171"/>
      </w:tblGrid>
      <w:tr>
        <w:tc>
          <w:tcPr>
            <w:tcW w:w="171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Personnel costs (Cost of services)</w:t>
            </w:r>
            <w:r>
              <w:rPr>
                <w:rFonts w:ascii="Times New Roman;serif" w:hAnsi="Times New Roman;serif"/>
                <w:b w:val="false"/>
                <w:color w:val="000000"/>
                <w:sz w:val="12"/>
              </w:rPr>
              <w:t>(1)</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498,379 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Operating costs (Selling, general, and administrative expense)</w:t>
            </w:r>
            <w:r>
              <w:rPr>
                <w:rFonts w:ascii="Times New Roman;serif" w:hAnsi="Times New Roman;serif"/>
                <w:b w:val="false"/>
                <w:color w:val="000000"/>
                <w:sz w:val="12"/>
              </w:rPr>
              <w:t>(2)</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(3)</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Non-operating costs (Selling, general, and administrative expense)</w:t>
            </w:r>
            <w:r>
              <w:rPr>
                <w:rFonts w:ascii="Times New Roman;serif" w:hAnsi="Times New Roman;serif"/>
                <w:b w:val="false"/>
                <w:color w:val="000000"/>
                <w:sz w:val="12"/>
              </w:rPr>
              <w:t>(4)</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Other (Cost of services)</w:t>
            </w:r>
            <w:r>
              <w:rPr>
                <w:rFonts w:ascii="Times New Roman;serif" w:hAnsi="Times New Roman;serif"/>
                <w:b w:val="false"/>
                <w:color w:val="000000"/>
                <w:sz w:val="12"/>
              </w:rPr>
              <w:t>(5)</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278,232 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260,772 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825,834 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768,050 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salaries and wages and employee welfare costs, excluding stock-based compensation expense, of employees that can be directly attributed to the delivery of services.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operating costs related to sales and marketing and other administrative departments, including personnel costs (excluding stock-based compensation expense), professional fees, travel expenses, cloud-based capabilities, insurance premiums and other corporate expenses.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stock-based compensation expense for cost of services and selling, general and administrative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Represents transaction costs during 2026 and transaction and operational efficiency costs during 2025.</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(5)    Represents other costs that can be directly attributed to delivery of services, including the costs for sites and technology, recruiting, professional development and employee engagement.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15. Related Party</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Refinancing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Refinancing, the Company entered into an agreement to pay Blackstone Securities Partners L.P., an affiliate of Blackstone, a fee of $1.0 million, as compensation for the provision of certain financial intermediary and advisory services, which was paid in full as of September 30, 2026. In addition to the fee, the Company agreed to certain indemnification undertakings in connection with these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2025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deliver outsourced digital services that power the companies shaping the future. By combining specialized human talent and intelligent technology, we solve complex operational challenges for global category leaders within Artificial Intelligence ("AI"), autonomous vehicles, robotics, social media, financial services, healthcare, and beyond. We enable our clients to elevate their customer experience, protect their platforms, and grow their brands.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omnichannel delivery model is focused on providing our clients with three key services – Digital Customer Experience, Trust &amp; Safety, and AI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designed our platform to enable us to rapidly scale and benefit from our clients’ growth. We believe our ability to deliver “ridiculously good” outsourcing will enable us to continue growing our client base. We use our strong reputation and expertise serving the digital economy to attract new innovators and enterprise-class brands looking to transform.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2026 Developments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Special Dividend, Debt Refinancing and Equity Adjustment</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25, 2026, our Board of Directors declared a special cash dividend of $3.65 per share, totaling $332.8 million, which was paid on March 25, 2026 (the "Special Dividend").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2026, we entered into the 2026 Credit Agreement, which included the $500.0 million 2026 Term Loan Facility and the $100.0 million 2026 Revolving Credit Facility (the "Refinancing"). The proceeds of the 2026 Term Loan Facility, and cash on the Company's balance sheet, were used to repay all borrowings under the 2022 Credit Facilities, pay related fees and expenses, and fund the Special Dividend.</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required by the 2019 TaskUs, Inc. Stock Incentive Plan and TaskUs, Inc. 2021 Omnibus Incentive Plan, we made proportionate adjustments to the terms of outstanding awards in conjunction with the Special Dividend (the "Equity Adjustment"). The Equity Adjustment resulted in $1.2 million stock-based compensation expense, recognized primarily in selling, general and administrative expense on the condensed consolidated statements of income for the nine months ended September 30, 2026, and a reclassification of $6.7 million from additional paid-in capital to accrued payroll and employee-related liabilities.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7, "Long-Term Debt" and Note 10, "Stock-Based Compensation" in the Notes to Unaudited Condensed Consolidated Financial Statements included in this Quarterly Report for additional information.</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Financial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we recorded service revenue of $314.7 million, a 5.4% increase from $298.7 million for the three months ended September 30, 2025. For the nine months ended September 30, 2026, we recorded service revenue of $929.9 million, a 6.8% increase from $870.6 million for the nine months ended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for the three months ended September 30, 2026 decreased to $26.2 million from $31.4 million for the three months ended September 30, 2025. This decrease is due primarily to higher cost of services and financing expenses, as well as a reduction in foreign currency gains, partially offset by higher revenue and lower selling, general and administrative expense. Adjusted Net Income for the three months ended September 30, 2026 decreased 19.8% to $31.3 million from $39.0 million for the three months ended September 30, 2025. Adjusted EBITDA for the three months ended September 30, 2026 decreased 6.8% to $59.1 million from $63.5 million for the three months ended September 30, 2025. Adjusted Net Income and Adjusted EBITDA are non-GAAP financial measures. For definitions and reconciliations to net income, the most directly comparable measure in accordance with GAAP, see "Non-GAAP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for the nine months ended September 30, 2026 decreased to $72.5 million from $72.6 million for the nine months ended September 30, 2025. This decrease is due primarily to higher cost of services, financing expenses and depreciation, mostly offset by higher revenue and lower selling, general and administrative expense, as well as an increase in foreign currency gains. Adjusted Net Income for the nine months ended September 30, 2026 decreased 17.4% to $94.7 million from $114.6 million for the nine months ended September 30, 2025. Adjusted EBITDA for the nine months ended September 30, 2026 decreased 6.6% to $175.3 million from $187.7 million for the nine months ended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operating results in any period are not necessarily indicative of the results that may be expected for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September 30,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consolidated financial information for the three months ended September 30, 2026 and 2025:</w:t>
      </w:r>
    </w:p>
    <w:tbl>
      <w:tblPr>
        <w:tblW w:w="8536" w:type="dxa"/>
        <w:jc w:val="left"/>
        <w:tblInd w:w="0" w:type="dxa"/>
        <w:tblLayout w:type="fixed"/>
        <w:tblCellMar>
          <w:top w:w="28" w:type="dxa"/>
          <w:left w:w="28" w:type="dxa"/>
          <w:bottom w:w="28" w:type="dxa"/>
          <w:right w:w="28" w:type="dxa"/>
        </w:tblCellMar>
      </w:tblPr>
      <w:tblGrid>
        <w:gridCol w:w="1145"/>
        <w:gridCol w:w="1006"/>
        <w:gridCol w:w="1013"/>
        <w:gridCol w:w="214"/>
        <w:gridCol w:w="806"/>
        <w:gridCol w:w="119"/>
        <w:gridCol w:w="119"/>
        <w:gridCol w:w="119"/>
        <w:gridCol w:w="119"/>
        <w:gridCol w:w="214"/>
        <w:gridCol w:w="806"/>
        <w:gridCol w:w="119"/>
        <w:gridCol w:w="109"/>
        <w:gridCol w:w="109"/>
        <w:gridCol w:w="109"/>
        <w:gridCol w:w="232"/>
        <w:gridCol w:w="766"/>
        <w:gridCol w:w="129"/>
        <w:gridCol w:w="129"/>
        <w:gridCol w:w="129"/>
        <w:gridCol w:w="129"/>
        <w:gridCol w:w="269"/>
        <w:gridCol w:w="271"/>
        <w:gridCol w:w="356"/>
      </w:tblGrid>
      <w:t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278,232 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(5,160)</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service offering for each period:</w:t>
      </w:r>
    </w:p>
    <w:tbl>
      <w:tblPr>
        <w:tblW w:w="7531" w:type="dxa"/>
        <w:jc w:val="left"/>
        <w:tblInd w:w="0" w:type="dxa"/>
        <w:tblLayout w:type="fixed"/>
        <w:tblCellMar>
          <w:top w:w="28" w:type="dxa"/>
          <w:left w:w="28" w:type="dxa"/>
          <w:bottom w:w="28" w:type="dxa"/>
          <w:right w:w="28" w:type="dxa"/>
        </w:tblCellMar>
      </w:tblPr>
      <w:tblGrid>
        <w:gridCol w:w="781"/>
        <w:gridCol w:w="687"/>
        <w:gridCol w:w="691"/>
        <w:gridCol w:w="214"/>
        <w:gridCol w:w="806"/>
        <w:gridCol w:w="119"/>
        <w:gridCol w:w="119"/>
        <w:gridCol w:w="119"/>
        <w:gridCol w:w="119"/>
        <w:gridCol w:w="214"/>
        <w:gridCol w:w="806"/>
        <w:gridCol w:w="119"/>
        <w:gridCol w:w="109"/>
        <w:gridCol w:w="109"/>
        <w:gridCol w:w="109"/>
        <w:gridCol w:w="232"/>
        <w:gridCol w:w="766"/>
        <w:gridCol w:w="129"/>
        <w:gridCol w:w="129"/>
        <w:gridCol w:w="129"/>
        <w:gridCol w:w="129"/>
        <w:gridCol w:w="269"/>
        <w:gridCol w:w="271"/>
        <w:gridCol w:w="356"/>
      </w:tblGrid>
      <w:t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314,747 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was primarily driven by an increase from existing clients, mainly in Mobility, Logistics &amp; Travel, Technology, Retail &amp; eCommerce and Entertainment &amp; Gaming, partially offset by a decrease Financial Services. The remaining increase was primarily driven by new clients, mainly in Technology.</w:t>
      </w:r>
    </w:p>
    <w:p>
      <w:pPr>
        <w:pStyle w:val="TextBody"/>
        <w:bidi w:val="0"/>
        <w:spacing w:lineRule="auto" w:line="288" w:before="120" w:after="283"/>
        <w:ind w:left="0" w:right="0" w:firstLine="540"/>
        <w:jc w:val="both"/>
      </w:pPr>
      <w:r>
        <w:rPr>
          <w:rFonts w:ascii="Times New Roman;serif" w:hAnsi="Times New Roman;serif"/>
          <w:b w:val="false"/>
          <w:i/>
          <w:color w:val="000000"/>
          <w:sz w:val="20"/>
        </w:rPr>
        <w:t>Trust &amp; Safety</w:t>
      </w:r>
      <w:r>
        <w:rPr>
          <w:color w:val="000000"/>
        </w:rPr>
        <w:t xml:space="preserve"> </w:t>
      </w:r>
      <w:r>
        <w:rPr>
          <w:rFonts w:ascii="Times New Roman;serif" w:hAnsi="Times New Roman;serif"/>
          <w:b w:val="false"/>
          <w:color w:val="000000"/>
          <w:sz w:val="20"/>
        </w:rPr>
        <w:t>was primarily driven by a decrease from existing clients, mainly in Social Media, partially offset by an increase in Technology.</w:t>
      </w:r>
    </w:p>
    <w:p>
      <w:pPr>
        <w:pStyle w:val="TextBody"/>
        <w:bidi w:val="0"/>
        <w:spacing w:lineRule="auto" w:line="288" w:before="120" w:after="283"/>
        <w:ind w:left="0" w:right="0" w:firstLine="540"/>
        <w:jc w:val="both"/>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was primarily driven by an increase from existing clients, mainly in Mobility, Logistics &amp; Travel, partially offset by a decrease in Social Media. The remaining increase was primarily driven by new clients, mainly in Technology and Mobility, Logistics &amp; Travel.</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geographical location, based on where the services are provided, for each period:</w:t>
      </w:r>
    </w:p>
    <w:tbl>
      <w:tblPr>
        <w:tblW w:w="7128" w:type="dxa"/>
        <w:jc w:val="left"/>
        <w:tblInd w:w="0" w:type="dxa"/>
        <w:tblLayout w:type="fixed"/>
        <w:tblCellMar>
          <w:top w:w="28" w:type="dxa"/>
          <w:left w:w="28" w:type="dxa"/>
          <w:bottom w:w="28" w:type="dxa"/>
          <w:right w:w="28" w:type="dxa"/>
        </w:tblCellMar>
      </w:tblPr>
      <w:tblGrid>
        <w:gridCol w:w="662"/>
        <w:gridCol w:w="582"/>
        <w:gridCol w:w="586"/>
        <w:gridCol w:w="214"/>
        <w:gridCol w:w="806"/>
        <w:gridCol w:w="119"/>
        <w:gridCol w:w="119"/>
        <w:gridCol w:w="119"/>
        <w:gridCol w:w="119"/>
        <w:gridCol w:w="214"/>
        <w:gridCol w:w="806"/>
        <w:gridCol w:w="119"/>
        <w:gridCol w:w="109"/>
        <w:gridCol w:w="109"/>
        <w:gridCol w:w="109"/>
        <w:gridCol w:w="232"/>
        <w:gridCol w:w="766"/>
        <w:gridCol w:w="129"/>
        <w:gridCol w:w="129"/>
        <w:gridCol w:w="129"/>
        <w:gridCol w:w="129"/>
        <w:gridCol w:w="232"/>
        <w:gridCol w:w="234"/>
        <w:gridCol w:w="356"/>
      </w:tblGrid>
      <w:t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314,747 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pPr>
      <w:r>
        <w:rPr>
          <w:rFonts w:ascii="Times New Roman;serif" w:hAnsi="Times New Roman;serif"/>
          <w:b w:val="false"/>
          <w:i/>
          <w:color w:val="000000"/>
          <w:sz w:val="20"/>
        </w:rPr>
        <w:t>Philippines:</w:t>
      </w:r>
      <w:r>
        <w:rPr>
          <w:color w:val="000000"/>
        </w:rPr>
        <w:t xml:space="preserve"> </w:t>
      </w:r>
      <w:r>
        <w:rPr>
          <w:rFonts w:ascii="Times New Roman;serif" w:hAnsi="Times New Roman;serif"/>
          <w:b w:val="false"/>
          <w:color w:val="000000"/>
          <w:sz w:val="20"/>
        </w:rPr>
        <w:t>AI Services contributed 6.5% of the total decrease primarily driven by clients in Social Media, partially offset by clients in Mobility, Logistics &amp; Travel. Trust &amp; Safety contributed 4.0% of the total decrease primarily driven by clients in Social Media, partially offset by clients in Technology. These decreases were partially offset by a 6.2% increase contributed by Digital Customer Experience primarily driven by clients in Mobility, Logistics &amp; Travel, Technology, Financial Services and Retail &amp; eCommerce.</w:t>
      </w:r>
    </w:p>
    <w:p>
      <w:pPr>
        <w:pStyle w:val="TextBody"/>
        <w:bidi w:val="0"/>
        <w:spacing w:lineRule="auto" w:line="288" w:before="120" w:after="283"/>
        <w:ind w:left="0" w:right="0" w:firstLine="540"/>
        <w:jc w:val="both"/>
      </w:pPr>
      <w:r>
        <w:rPr>
          <w:rFonts w:ascii="Times New Roman;serif" w:hAnsi="Times New Roman;serif"/>
          <w:b w:val="false"/>
          <w:i/>
          <w:color w:val="000000"/>
          <w:sz w:val="20"/>
        </w:rPr>
        <w:t>United States:</w:t>
      </w:r>
      <w:r>
        <w:rPr>
          <w:color w:val="000000"/>
        </w:rPr>
        <w:t xml:space="preserve"> </w:t>
      </w:r>
      <w:r>
        <w:rPr>
          <w:rFonts w:ascii="Times New Roman;serif" w:hAnsi="Times New Roman;serif"/>
          <w:b w:val="false"/>
          <w:color w:val="000000"/>
          <w:sz w:val="20"/>
        </w:rPr>
        <w:t>AI Services contributed 80.5% of the total increase primarily driven by clients in Mobility, Logistics &amp; Travel, partially offset by clients in Social Media. Trust &amp; Safety contributed 1.3% of the total increase. The increase was partially offset by a 7.1% decrease contributed by Digital Customer Experience, primarily driven by clients in Mobility, Logistics &amp; Travel.</w:t>
      </w:r>
    </w:p>
    <w:p>
      <w:pPr>
        <w:pStyle w:val="TextBody"/>
        <w:bidi w:val="0"/>
        <w:spacing w:lineRule="auto" w:line="288" w:before="120" w:after="283"/>
        <w:ind w:left="0" w:right="0" w:firstLine="540"/>
        <w:jc w:val="both"/>
      </w:pPr>
      <w:r>
        <w:rPr>
          <w:rFonts w:ascii="Times New Roman;serif" w:hAnsi="Times New Roman;serif"/>
          <w:b w:val="false"/>
          <w:i/>
          <w:color w:val="000000"/>
          <w:sz w:val="20"/>
        </w:rPr>
        <w:t>India:</w:t>
      </w:r>
      <w:r>
        <w:rPr>
          <w:color w:val="000000"/>
        </w:rPr>
        <w:t xml:space="preserve"> </w:t>
      </w:r>
      <w:r>
        <w:rPr>
          <w:rFonts w:ascii="Times New Roman;serif" w:hAnsi="Times New Roman;serif"/>
          <w:b w:val="false"/>
          <w:color w:val="000000"/>
          <w:sz w:val="20"/>
        </w:rPr>
        <w:t>Digital Customer Experience contributed 13.3% of the total increase primarily driven by clients in Mobility, Logistics &amp; Travel and Technology, partially offset by clients in Healthcare and Financial Services. These increases were partially offset by a 4.5% decrease contributed by AI Services primarily driven by clients in Social Media, and by a 2.6% decrease contributed by Trust &amp; Safety primarily driven by clients in Technology.</w:t>
      </w:r>
    </w:p>
    <w:p>
      <w:pPr>
        <w:pStyle w:val="TextBody"/>
        <w:bidi w:val="0"/>
        <w:spacing w:lineRule="auto" w:line="288" w:before="120" w:after="283"/>
        <w:ind w:left="0" w:right="0" w:firstLine="540"/>
        <w:jc w:val="both"/>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Trust &amp; Safety contributed 7.3% of the total decrease primarily driven by clients in Social Media. Digital Customer Experience contributed 1.7% of the total decrease primarily driven by clients in Financial Services and Mobility, Logistics &amp; Travel, partially offset by clients in Technology and Entertainment &amp; Gaming. These decreases were partially offset by a 3.5% increase contributed by AI services primarily driven by clients in Mobility, Logistics &amp; Travel. Decrease in the Rest of World was driven by Latin America, partially offset by growth in Egypt.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$13.3 million associated with increased headcount and the operating shift to higher cost geographies. The remaining increase included costs associated with our expansion into field services for developers of autonomous vehicles, facilities rent and related fees and software.</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was primarily driven by lower personnel costs of $2.8 million, due to a $2.1 million reduction in stock-based compensation expense, as well as lower transaction costs of $1.8 million and lower operational efficiency costs of $0.9 million.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site expansions and the acquisition of technology hardware to support increased headcount.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are driven by our exposure to foreign currency exchange risk resulting from our operations in foreign geographies.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a higher outstanding principal balance and interest rate following the Refinancing.</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September 30, 2026 and 2025 was 19.1% and 24.8%, respectively. The decrease was due to removal of Base Erosion and Anti-Abuse Tax during the three months ended September 30, 2026, as well as return to accrual adjustments, partially offset by an increase in uncertain tax positions.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Nine Months Ended September 30,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consolidated financial information for the nine months ended September 30, 2026 and 2025:</w:t>
      </w:r>
    </w:p>
    <w:tbl>
      <w:tblPr>
        <w:tblW w:w="8374" w:type="dxa"/>
        <w:jc w:val="left"/>
        <w:tblInd w:w="0" w:type="dxa"/>
        <w:tblLayout w:type="fixed"/>
        <w:tblCellMar>
          <w:top w:w="28" w:type="dxa"/>
          <w:left w:w="28" w:type="dxa"/>
          <w:bottom w:w="28" w:type="dxa"/>
          <w:right w:w="28" w:type="dxa"/>
        </w:tblCellMar>
      </w:tblPr>
      <w:tblGrid>
        <w:gridCol w:w="1145"/>
        <w:gridCol w:w="1006"/>
        <w:gridCol w:w="1013"/>
        <w:gridCol w:w="207"/>
        <w:gridCol w:w="779"/>
        <w:gridCol w:w="115"/>
        <w:gridCol w:w="115"/>
        <w:gridCol w:w="115"/>
        <w:gridCol w:w="115"/>
        <w:gridCol w:w="207"/>
        <w:gridCol w:w="779"/>
        <w:gridCol w:w="115"/>
        <w:gridCol w:w="109"/>
        <w:gridCol w:w="109"/>
        <w:gridCol w:w="109"/>
        <w:gridCol w:w="232"/>
        <w:gridCol w:w="766"/>
        <w:gridCol w:w="129"/>
        <w:gridCol w:w="129"/>
        <w:gridCol w:w="129"/>
        <w:gridCol w:w="129"/>
        <w:gridCol w:w="233"/>
        <w:gridCol w:w="233"/>
        <w:gridCol w:w="356"/>
      </w:tblGrid>
      <w:t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605,378 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316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825,834 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768,050 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service offering for each period:</w:t>
      </w:r>
    </w:p>
    <w:tbl>
      <w:tblPr>
        <w:tblW w:w="7369" w:type="dxa"/>
        <w:jc w:val="left"/>
        <w:tblInd w:w="0" w:type="dxa"/>
        <w:tblLayout w:type="fixed"/>
        <w:tblCellMar>
          <w:top w:w="28" w:type="dxa"/>
          <w:left w:w="28" w:type="dxa"/>
          <w:bottom w:w="28" w:type="dxa"/>
          <w:right w:w="28" w:type="dxa"/>
        </w:tblCellMar>
      </w:tblPr>
      <w:tblGrid>
        <w:gridCol w:w="781"/>
        <w:gridCol w:w="687"/>
        <w:gridCol w:w="691"/>
        <w:gridCol w:w="207"/>
        <w:gridCol w:w="779"/>
        <w:gridCol w:w="115"/>
        <w:gridCol w:w="115"/>
        <w:gridCol w:w="115"/>
        <w:gridCol w:w="115"/>
        <w:gridCol w:w="207"/>
        <w:gridCol w:w="779"/>
        <w:gridCol w:w="115"/>
        <w:gridCol w:w="109"/>
        <w:gridCol w:w="109"/>
        <w:gridCol w:w="109"/>
        <w:gridCol w:w="232"/>
        <w:gridCol w:w="766"/>
        <w:gridCol w:w="129"/>
        <w:gridCol w:w="129"/>
        <w:gridCol w:w="129"/>
        <w:gridCol w:w="129"/>
        <w:gridCol w:w="232"/>
        <w:gridCol w:w="234"/>
        <w:gridCol w:w="356"/>
      </w:tblGrid>
      <w:t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520,102 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929,868 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 xml:space="preserve">was primarily driven by an increase from existing clients, mainly in Mobility, Logistics &amp; Travel, Entertainment &amp; Gaming, Retail &amp; eCommerce and Technology, partially offset by a decrease in Financial Services. The remaining increase was primarily driven by new clients, mainly in Technology. </w:t>
      </w:r>
    </w:p>
    <w:p>
      <w:pPr>
        <w:pStyle w:val="TextBody"/>
        <w:bidi w:val="0"/>
        <w:spacing w:lineRule="auto" w:line="288" w:before="120" w:after="283"/>
        <w:ind w:left="0" w:right="0" w:firstLine="540"/>
        <w:jc w:val="both"/>
      </w:pPr>
      <w:r>
        <w:rPr>
          <w:rFonts w:ascii="Times New Roman;serif" w:hAnsi="Times New Roman;serif"/>
          <w:b w:val="false"/>
          <w:i/>
          <w:color w:val="000000"/>
          <w:sz w:val="20"/>
        </w:rPr>
        <w:t>Trust &amp; Safety</w:t>
      </w:r>
      <w:r>
        <w:rPr>
          <w:color w:val="000000"/>
        </w:rPr>
        <w:t xml:space="preserve"> </w:t>
      </w:r>
      <w:r>
        <w:rPr>
          <w:rFonts w:ascii="Times New Roman;serif" w:hAnsi="Times New Roman;serif"/>
          <w:b w:val="false"/>
          <w:color w:val="000000"/>
          <w:sz w:val="20"/>
        </w:rPr>
        <w:t>was primarily driven by a decrease from existing clients, mainly in Social Media and Retail &amp; eCommerce, partially offset by an increase in Technology and Financial Services. The decrease was partially offset by new clients, mainly in Financial Services.</w:t>
      </w:r>
    </w:p>
    <w:p>
      <w:pPr>
        <w:pStyle w:val="TextBody"/>
        <w:bidi w:val="0"/>
        <w:spacing w:lineRule="auto" w:line="288" w:before="120" w:after="283"/>
        <w:ind w:left="0" w:right="0" w:firstLine="540"/>
        <w:jc w:val="both"/>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was primarily driven by an increase from existing clients, mainly in Mobility, Logistics &amp; Travel, partially offset by a decrease in Social Media. The remaining increase was primarily driven by new clients, mainly in Mobility, Logistics &amp; Travel and Technology.</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geographical location, based on where the services are provided, for each period:</w:t>
      </w:r>
    </w:p>
    <w:tbl>
      <w:tblPr>
        <w:tblW w:w="7040" w:type="dxa"/>
        <w:jc w:val="left"/>
        <w:tblInd w:w="0" w:type="dxa"/>
        <w:tblLayout w:type="fixed"/>
        <w:tblCellMar>
          <w:top w:w="28" w:type="dxa"/>
          <w:left w:w="28" w:type="dxa"/>
          <w:bottom w:w="28" w:type="dxa"/>
          <w:right w:w="28" w:type="dxa"/>
        </w:tblCellMar>
      </w:tblPr>
      <w:tblGrid>
        <w:gridCol w:w="662"/>
        <w:gridCol w:w="582"/>
        <w:gridCol w:w="586"/>
        <w:gridCol w:w="207"/>
        <w:gridCol w:w="779"/>
        <w:gridCol w:w="115"/>
        <w:gridCol w:w="115"/>
        <w:gridCol w:w="115"/>
        <w:gridCol w:w="115"/>
        <w:gridCol w:w="207"/>
        <w:gridCol w:w="779"/>
        <w:gridCol w:w="115"/>
        <w:gridCol w:w="109"/>
        <w:gridCol w:w="109"/>
        <w:gridCol w:w="109"/>
        <w:gridCol w:w="232"/>
        <w:gridCol w:w="766"/>
        <w:gridCol w:w="129"/>
        <w:gridCol w:w="129"/>
        <w:gridCol w:w="129"/>
        <w:gridCol w:w="129"/>
        <w:gridCol w:w="232"/>
        <w:gridCol w:w="234"/>
        <w:gridCol w:w="356"/>
      </w:tblGrid>
      <w:t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929,868 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pPr>
      <w:r>
        <w:rPr>
          <w:rFonts w:ascii="Times New Roman;serif" w:hAnsi="Times New Roman;serif"/>
          <w:b w:val="false"/>
          <w:i/>
          <w:color w:val="000000"/>
          <w:sz w:val="20"/>
        </w:rPr>
        <w:t xml:space="preserve">Philippines: </w:t>
      </w:r>
      <w:r>
        <w:rPr>
          <w:rFonts w:ascii="Times New Roman;serif" w:hAnsi="Times New Roman;serif"/>
          <w:b w:val="false"/>
          <w:color w:val="000000"/>
          <w:sz w:val="20"/>
        </w:rPr>
        <w:t>AI Services contributed</w:t>
      </w:r>
      <w:r>
        <w:rPr>
          <w:color w:val="000000"/>
        </w:rPr>
        <w:t xml:space="preserve"> </w:t>
      </w:r>
      <w:r>
        <w:rPr>
          <w:rFonts w:ascii="Times New Roman;serif" w:hAnsi="Times New Roman;serif"/>
          <w:b w:val="false"/>
          <w:color w:val="000000"/>
          <w:sz w:val="20"/>
        </w:rPr>
        <w:t xml:space="preserve">3.8% of the total decrease primarily driven by clients in Social Media, partially offset by clients in Mobility, Logistics &amp; Travel, and a 2.1% decrease contributed by Trust &amp; Safety primarily driven by clients in Social Media, Financial Services and Retail &amp; eCommerce, partially offset by clients in Technology. These decreases were partially offset by a 5.5% increase contributed by Digital Customer Experience primarily driven by clients in Mobility, Logistics &amp; Travel, Technology, Financial Services and Retail &amp; eCommerce. </w:t>
      </w:r>
    </w:p>
    <w:p>
      <w:pPr>
        <w:pStyle w:val="TextBody"/>
        <w:bidi w:val="0"/>
        <w:spacing w:lineRule="auto" w:line="288" w:before="120" w:after="283"/>
        <w:ind w:left="0" w:right="0" w:firstLine="540"/>
        <w:jc w:val="both"/>
      </w:pPr>
      <w:r>
        <w:rPr>
          <w:rFonts w:ascii="Times New Roman;serif" w:hAnsi="Times New Roman;serif"/>
          <w:b w:val="false"/>
          <w:i/>
          <w:color w:val="000000"/>
          <w:sz w:val="20"/>
        </w:rPr>
        <w:t>United States:</w:t>
      </w:r>
      <w:r>
        <w:rPr>
          <w:color w:val="000000"/>
        </w:rPr>
        <w:t xml:space="preserve"> </w:t>
      </w:r>
      <w:r>
        <w:rPr>
          <w:rFonts w:ascii="Times New Roman;serif" w:hAnsi="Times New Roman;serif"/>
          <w:b w:val="false"/>
          <w:color w:val="000000"/>
          <w:sz w:val="20"/>
        </w:rPr>
        <w:t>AI Services contributed 62.5% of the total increase primarily driven by clients in Mobility, Logistics &amp; Travel. The increase was partially offset by a 12.4% decrease contributed by Digital Customer Experience, primarily driven by clients in Mobility, Logistics &amp; Travel, Healthcare and Financial Services, and by a 2.3% decrease contributed by Trust &amp; Safety primarily driven by clients in Social Media, partially offset by clients in Financial Services.</w:t>
      </w:r>
    </w:p>
    <w:p>
      <w:pPr>
        <w:pStyle w:val="TextBody"/>
        <w:bidi w:val="0"/>
        <w:spacing w:lineRule="auto" w:line="288" w:before="120" w:after="283"/>
        <w:ind w:left="0" w:right="0" w:firstLine="540"/>
        <w:jc w:val="both"/>
      </w:pPr>
      <w:r>
        <w:rPr>
          <w:rFonts w:ascii="Times New Roman;serif" w:hAnsi="Times New Roman;serif"/>
          <w:b w:val="false"/>
          <w:i/>
          <w:color w:val="000000"/>
          <w:sz w:val="20"/>
        </w:rPr>
        <w:t>India:</w:t>
      </w:r>
      <w:r>
        <w:rPr>
          <w:color w:val="000000"/>
        </w:rPr>
        <w:t xml:space="preserve"> </w:t>
      </w:r>
      <w:r>
        <w:rPr>
          <w:rFonts w:ascii="Times New Roman;serif" w:hAnsi="Times New Roman;serif"/>
          <w:b w:val="false"/>
          <w:color w:val="000000"/>
          <w:sz w:val="20"/>
        </w:rPr>
        <w:t>Digital Customer Experience contributed 19.2% of the total increase primarily driven by clients in Mobility, Logistics &amp; Travel, Technology and Retail &amp; eCommerce, partially offset by clients in Financial Services. These increases were partially offset by a 6.8% decrease contributed by Trust &amp; Safety primarily driven by clients in Social Media, Technology and Retail &amp; eCommerce, and by a 5.3% decrease contributed by AI Services primarily driven by clients in Mobility, Logistics &amp; Travel and Social Media.</w:t>
      </w:r>
    </w:p>
    <w:p>
      <w:pPr>
        <w:pStyle w:val="TextBody"/>
        <w:bidi w:val="0"/>
        <w:spacing w:lineRule="auto" w:line="288" w:before="120" w:after="283"/>
        <w:ind w:left="0" w:right="0" w:firstLine="540"/>
        <w:jc w:val="both"/>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AI Services contributed 4.1% of the total increase primarily driven by clients in Mobility, Logistics &amp; Travel. Trust &amp; Safety contributed 0.5% of the total increase primarily driven by clients in Financial Services, partially offset by clients in Social Media, Mobility, Logistics &amp; Travel and Entertainment &amp; Gaming. These increases were partially offset by a 1.3% decrease contributed by Digital Customer Experience primarily driven by clients in Financial Services and Mobility, Logistics &amp; Travel, partially offset by clients in Entertainment &amp; Gaming, Technology, Healthcare and Retail &amp; eCommerce. Growth in the Rest of World was led by Egypt and Latin America.</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$46.3 million associated with increased headcount and the operating shift to higher cost geographies. The remaining increase included facilities costs associated with site expansion and enhanced security measures, our expansion into field services for developers of autonomous vehicles, and realized gains on cash flow hedges of $3.1 million in the prior year period.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was primarily driven by lower transaction costs of $10.8 million, personnel costs of $8.4 million, due to a $8.9 million reduction in stock-based compensation expense, and lower operational efficiency costs of $2.1 million, partially offset by increased software costs.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site expansions and the acquisition of technology hardware to support increased headcount.</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Loss (gain) on disposal of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was associated with optimizing our footprint in 2026, resulting in exiting certain sites in Latin America.</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are driven by our exposure to foreign currency exchange risk resulting from our operations in foreign geographies.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a higher outstanding principal balance and interest rate following the Refinancing. Additionally, financing expenses included a $0.2 million loss on debt extinguishment related to the write-off of unamortized debt issuance costs.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nine months ended September 30, 2026 and 2025 was 26.1% and 26.3%, respectively. The decrease was due to foreign rate differential and nondeductible officers compensation, mostly offset by an increase in uncertain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Revenue by Top Clients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percentage of our total service revenue derived from our largest clients for the three and nine months ended September 30, 2026 and 2025:</w:t>
      </w:r>
    </w:p>
    <w:tbl>
      <w:tblPr>
        <w:tblW w:w="7335" w:type="dxa"/>
        <w:jc w:val="left"/>
        <w:tblInd w:w="0" w:type="dxa"/>
        <w:tblLayout w:type="fixed"/>
        <w:tblCellMar>
          <w:top w:w="28" w:type="dxa"/>
          <w:left w:w="28" w:type="dxa"/>
          <w:bottom w:w="28" w:type="dxa"/>
          <w:right w:w="28" w:type="dxa"/>
        </w:tblCellMar>
      </w:tblPr>
      <w:tblGrid>
        <w:gridCol w:w="517"/>
        <w:gridCol w:w="453"/>
        <w:gridCol w:w="455"/>
        <w:gridCol w:w="225"/>
        <w:gridCol w:w="225"/>
        <w:gridCol w:w="530"/>
        <w:gridCol w:w="225"/>
        <w:gridCol w:w="225"/>
        <w:gridCol w:w="225"/>
        <w:gridCol w:w="265"/>
        <w:gridCol w:w="265"/>
        <w:gridCol w:w="625"/>
        <w:gridCol w:w="109"/>
        <w:gridCol w:w="109"/>
        <w:gridCol w:w="109"/>
        <w:gridCol w:w="214"/>
        <w:gridCol w:w="214"/>
        <w:gridCol w:w="503"/>
        <w:gridCol w:w="214"/>
        <w:gridCol w:w="214"/>
        <w:gridCol w:w="214"/>
        <w:gridCol w:w="252"/>
        <w:gridCol w:w="252"/>
        <w:gridCol w:w="696"/>
      </w:tblGrid>
      <w:t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Client A</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Client B</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r>
      <w:t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ten clients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twenty clients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our clients are part of the rapidly growing digital economy and they rely on our suite of digital solutions to drive their continued success. For our existing clients, we benefit from our ability to cross sell new solutions and provide service in multiple geographies, further deepening our entrenchment. We continue to identify and target high growth industry verticals and clients. Our strategy is to win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Adjusted Net Income, Adjusted Earnings Per Share ("EPS"), EBITDA, Adjusted EBITDA, Free Cash Flow and Conversion of Adjusted EBITDA to Free Cash Flow, as key measures to assess the performance of our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20" w:after="283"/>
        <w:ind w:left="0" w:right="0" w:firstLine="540"/>
        <w:jc w:val="both"/>
      </w:pPr>
      <w:r>
        <w:rPr>
          <w:rFonts w:ascii="Times New Roman;serif" w:hAnsi="Times New Roman;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erif" w:hAnsi="Times New Roman;serif"/>
          <w:b w:val="false"/>
          <w:color w:val="000000"/>
          <w:sz w:val="20"/>
          <w:shd w:fill="FFFFFF" w:val="clear"/>
        </w:rPr>
        <w:t>, transaction costs, operational efficiency costs</w:t>
      </w:r>
      <w:r>
        <w:rPr>
          <w:rFonts w:ascii="Times New Roman;serif" w:hAnsi="Times New Roman;serif"/>
          <w:b w:val="false"/>
          <w:color w:val="000000"/>
          <w:sz w:val="20"/>
        </w:rPr>
        <w:t>, the effect of foreign currency gains and losses, gains and losses on disposals of assets, certain severance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Adjusted Net Income for the three months ended September 30, 2026 and 2025:</w:t>
      </w:r>
    </w:p>
    <w:tbl>
      <w:tblPr>
        <w:tblW w:w="8163" w:type="dxa"/>
        <w:jc w:val="left"/>
        <w:tblInd w:w="0" w:type="dxa"/>
        <w:tblLayout w:type="fixed"/>
        <w:tblCellMar>
          <w:top w:w="28" w:type="dxa"/>
          <w:left w:w="28" w:type="dxa"/>
          <w:bottom w:w="28" w:type="dxa"/>
          <w:right w:w="28" w:type="dxa"/>
        </w:tblCellMar>
      </w:tblPr>
      <w:tblGrid>
        <w:gridCol w:w="1004"/>
        <w:gridCol w:w="882"/>
        <w:gridCol w:w="889"/>
        <w:gridCol w:w="205"/>
        <w:gridCol w:w="676"/>
        <w:gridCol w:w="267"/>
        <w:gridCol w:w="114"/>
        <w:gridCol w:w="114"/>
        <w:gridCol w:w="114"/>
        <w:gridCol w:w="205"/>
        <w:gridCol w:w="676"/>
        <w:gridCol w:w="267"/>
        <w:gridCol w:w="109"/>
        <w:gridCol w:w="109"/>
        <w:gridCol w:w="109"/>
        <w:gridCol w:w="234"/>
        <w:gridCol w:w="754"/>
        <w:gridCol w:w="130"/>
        <w:gridCol w:w="130"/>
        <w:gridCol w:w="130"/>
        <w:gridCol w:w="130"/>
        <w:gridCol w:w="277"/>
        <w:gridCol w:w="279"/>
        <w:gridCol w:w="359"/>
      </w:tblGrid>
      <w:t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Foreign currency gains</w:t>
            </w:r>
            <w:r>
              <w:rPr>
                <w:rFonts w:ascii="Times New Roman;serif" w:hAnsi="Times New Roman;serif"/>
                <w:b w:val="false"/>
                <w:color w:val="000000"/>
                <w:sz w:val="12"/>
              </w:rPr>
              <w:t>(3)</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Tax impacts of adjustments</w:t>
            </w:r>
            <w:r>
              <w:rPr>
                <w:rFonts w:ascii="Times New Roman;serif" w:hAnsi="Times New Roman;serif"/>
                <w:b w:val="false"/>
                <w:color w:val="000000"/>
                <w:sz w:val="12"/>
              </w:rPr>
              <w:t>(6)</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31,275 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Adjusted Net Income Margin</w:t>
            </w:r>
            <w:r>
              <w:rPr>
                <w:rFonts w:ascii="Times New Roman;serif" w:hAnsi="Times New Roman;serif"/>
                <w:b w:val="false"/>
                <w:color w:val="000000"/>
                <w:sz w:val="12"/>
              </w:rPr>
              <w:t>(7)</w:t>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take-private transaction.</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realized and unrealized foreign currency effect of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 Represents tax impacts of adjustments to net income which resulted in a tax benefit during the period, including stock-based compensation expense, transaction costs, operational efficiency costs and severance. After these adjustments, we applied a non-GAAP effective tax rate of 20.5% and 20.9% for the three months ended September 30, 2026 and 2025,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Net Income Margin represents Adjusted Net Income divided by service revenue.</w:t>
      </w:r>
    </w:p>
    <w:p>
      <w:pPr>
        <w:pStyle w:val="TextBody"/>
        <w:bidi w:val="0"/>
        <w:spacing w:before="60" w:after="283"/>
        <w:ind w:left="0" w:right="0" w:hanging="27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Adjusted Net Income for the nine months ended September 30, 2026 and 2025:</w:t>
      </w:r>
    </w:p>
    <w:tbl>
      <w:tblPr>
        <w:tblW w:w="8152"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736"/>
        <w:gridCol w:w="256"/>
        <w:gridCol w:w="109"/>
        <w:gridCol w:w="109"/>
        <w:gridCol w:w="109"/>
        <w:gridCol w:w="223"/>
        <w:gridCol w:w="820"/>
        <w:gridCol w:w="124"/>
        <w:gridCol w:w="124"/>
        <w:gridCol w:w="124"/>
        <w:gridCol w:w="124"/>
        <w:gridCol w:w="276"/>
        <w:gridCol w:w="280"/>
        <w:gridCol w:w="342"/>
      </w:tblGrid>
      <w:t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Foreign currency gains</w:t>
            </w:r>
            <w:r>
              <w:rPr>
                <w:rFonts w:ascii="Times New Roman;serif" w:hAnsi="Times New Roman;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Tax impacts of adjustments</w:t>
            </w:r>
            <w:r>
              <w:rPr>
                <w:rFonts w:ascii="Times New Roman;serif" w:hAnsi="Times New Roman;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94,660 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Adjusted Net Income Margin</w:t>
            </w:r>
            <w:r>
              <w:rPr>
                <w:rFonts w:ascii="Times New Roman;serif" w:hAnsi="Times New Roman;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Refinancing and Special Dividend in 2026 and take-private transaction in 2025.</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realized and unrealized foreign currency effect of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 Represents tax impacts of adjustments to net income which resulted in a tax benefit during the period, including stock-based compensation expense, transaction costs, operational efficiency costs and severance. After these adjustments, we applied a non-GAAP effective tax rate of 22.4% and 24.0% for the nine months ended September 30, 2026 and 2025,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Net Income Margin represents Adjusted Net Income divided by service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EPS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GAAP diluted EPS, the most directly comparable GAAP measure, to Adjusted EPS for the three and nine months ended September 30, 2026 and 2025:</w:t>
      </w:r>
    </w:p>
    <w:tbl>
      <w:tblPr>
        <w:tblW w:w="9816" w:type="dxa"/>
        <w:jc w:val="left"/>
        <w:tblInd w:w="0" w:type="dxa"/>
        <w:tblLayout w:type="fixed"/>
        <w:tblCellMar>
          <w:top w:w="28" w:type="dxa"/>
          <w:left w:w="28" w:type="dxa"/>
          <w:bottom w:w="28" w:type="dxa"/>
          <w:right w:w="28" w:type="dxa"/>
        </w:tblCellMar>
      </w:tblPr>
      <w:tblGrid>
        <w:gridCol w:w="1474"/>
        <w:gridCol w:w="1299"/>
        <w:gridCol w:w="1306"/>
        <w:gridCol w:w="284"/>
        <w:gridCol w:w="677"/>
        <w:gridCol w:w="154"/>
        <w:gridCol w:w="154"/>
        <w:gridCol w:w="154"/>
        <w:gridCol w:w="154"/>
        <w:gridCol w:w="284"/>
        <w:gridCol w:w="677"/>
        <w:gridCol w:w="154"/>
        <w:gridCol w:w="109"/>
        <w:gridCol w:w="109"/>
        <w:gridCol w:w="109"/>
        <w:gridCol w:w="284"/>
        <w:gridCol w:w="677"/>
        <w:gridCol w:w="147"/>
        <w:gridCol w:w="147"/>
        <w:gridCol w:w="147"/>
        <w:gridCol w:w="147"/>
        <w:gridCol w:w="284"/>
        <w:gridCol w:w="677"/>
        <w:gridCol w:w="208"/>
      </w:tblGrid>
      <w:t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Per share adjustments to net income</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93,337,979 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93,057,417 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92,975,915 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93,096,587 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operational efficiency costs, the effect of foreign currency gains and losses, gains and losses on disposals of assets, certain severance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EBITDA and Adjusted EBITDA for the three months ended September 30, 2026 and 2025:</w:t>
      </w:r>
    </w:p>
    <w:tbl>
      <w:tblPr>
        <w:tblW w:w="8147" w:type="dxa"/>
        <w:jc w:val="left"/>
        <w:tblInd w:w="0" w:type="dxa"/>
        <w:tblLayout w:type="fixed"/>
        <w:tblCellMar>
          <w:top w:w="28" w:type="dxa"/>
          <w:left w:w="28" w:type="dxa"/>
          <w:bottom w:w="28" w:type="dxa"/>
          <w:right w:w="28" w:type="dxa"/>
        </w:tblCellMar>
      </w:tblPr>
      <w:tblGrid>
        <w:gridCol w:w="1003"/>
        <w:gridCol w:w="883"/>
        <w:gridCol w:w="889"/>
        <w:gridCol w:w="205"/>
        <w:gridCol w:w="676"/>
        <w:gridCol w:w="267"/>
        <w:gridCol w:w="114"/>
        <w:gridCol w:w="114"/>
        <w:gridCol w:w="114"/>
        <w:gridCol w:w="205"/>
        <w:gridCol w:w="676"/>
        <w:gridCol w:w="267"/>
        <w:gridCol w:w="109"/>
        <w:gridCol w:w="109"/>
        <w:gridCol w:w="109"/>
        <w:gridCol w:w="234"/>
        <w:gridCol w:w="754"/>
        <w:gridCol w:w="130"/>
        <w:gridCol w:w="130"/>
        <w:gridCol w:w="130"/>
        <w:gridCol w:w="130"/>
        <w:gridCol w:w="269"/>
        <w:gridCol w:w="271"/>
        <w:gridCol w:w="359"/>
      </w:tblGrid>
      <w:t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58,658 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61,906 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Foreign currency gains</w:t>
            </w:r>
            <w:r>
              <w:rPr>
                <w:rFonts w:ascii="Times New Roman;serif" w:hAnsi="Times New Roman;serif"/>
                <w:b w:val="false"/>
                <w:color w:val="000000"/>
                <w:sz w:val="12"/>
              </w:rPr>
              <w:t>(3)</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Interest income</w:t>
            </w:r>
            <w:r>
              <w:rPr>
                <w:rFonts w:ascii="Times New Roman;serif" w:hAnsi="Times New Roman;serif"/>
                <w:b w:val="false"/>
                <w:color w:val="000000"/>
                <w:sz w:val="12"/>
              </w:rPr>
              <w:t>(6)</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59,109 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Adjusted EBITDA Margin</w:t>
            </w:r>
            <w:r>
              <w:rPr>
                <w:rFonts w:ascii="Times New Roman;serif" w:hAnsi="Times New Roman;serif"/>
                <w:b w:val="false"/>
                <w:color w:val="000000"/>
                <w:sz w:val="12"/>
              </w:rPr>
              <w:t>(7)</w:t>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take-private transaction.</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realized and unrealized foreign currency effect of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EBITDA Margin represents Adjusted EBITDA divided by service revenue.</w:t>
      </w:r>
    </w:p>
    <w:p>
      <w:pPr>
        <w:pStyle w:val="TextBody"/>
        <w:bidi w:val="0"/>
        <w:spacing w:before="60" w:after="283"/>
        <w:ind w:left="0" w:right="0" w:hanging="270"/>
        <w:jc w:val="both"/>
      </w:pPr>
      <w:r/>
    </w:p>
    <w:p>
      <w:pPr>
        <w:pStyle w:val="TextBody"/>
        <w:bidi w:val="0"/>
        <w:spacing w:before="120" w:after="283"/>
        <w:ind w:left="0" w:right="0" w:firstLine="54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EBITDA and Adjusted EBITDA for the nine months ended September 30, 2026 and 2025:</w:t>
      </w:r>
    </w:p>
    <w:tbl>
      <w:tblPr>
        <w:tblW w:w="8242" w:type="dxa"/>
        <w:jc w:val="left"/>
        <w:tblInd w:w="0" w:type="dxa"/>
        <w:tblLayout w:type="fixed"/>
        <w:tblCellMar>
          <w:top w:w="28" w:type="dxa"/>
          <w:left w:w="28" w:type="dxa"/>
          <w:bottom w:w="28" w:type="dxa"/>
          <w:right w:w="28" w:type="dxa"/>
        </w:tblCellMar>
      </w:tblPr>
      <w:tblGrid>
        <w:gridCol w:w="1003"/>
        <w:gridCol w:w="883"/>
        <w:gridCol w:w="889"/>
        <w:gridCol w:w="196"/>
        <w:gridCol w:w="736"/>
        <w:gridCol w:w="256"/>
        <w:gridCol w:w="109"/>
        <w:gridCol w:w="109"/>
        <w:gridCol w:w="109"/>
        <w:gridCol w:w="196"/>
        <w:gridCol w:w="736"/>
        <w:gridCol w:w="256"/>
        <w:gridCol w:w="109"/>
        <w:gridCol w:w="109"/>
        <w:gridCol w:w="109"/>
        <w:gridCol w:w="223"/>
        <w:gridCol w:w="820"/>
        <w:gridCol w:w="124"/>
        <w:gridCol w:w="124"/>
        <w:gridCol w:w="124"/>
        <w:gridCol w:w="124"/>
        <w:gridCol w:w="276"/>
        <w:gridCol w:w="280"/>
        <w:gridCol w:w="342"/>
      </w:tblGrid>
      <w:t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157,849 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Foreign currency gains</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Interest income</w:t>
            </w:r>
            <w:r>
              <w:rPr>
                <w:rFonts w:ascii="Times New Roman;serif" w:hAnsi="Times New Roman;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Net Income Margin</w:t>
            </w:r>
            <w:r>
              <w:rPr>
                <w:rFonts w:ascii="Times New Roman;serif" w:hAnsi="Times New Roman;serif"/>
                <w:b w:val="false"/>
                <w:color w:val="000000"/>
                <w:sz w:val="12"/>
              </w:rPr>
              <w:t>(7)</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Adjusted EBITDA Margin</w:t>
            </w:r>
            <w:r>
              <w:rPr>
                <w:rFonts w:ascii="Times New Roman;serif" w:hAnsi="Times New Roman;serif"/>
                <w:b w:val="false"/>
                <w:color w:val="000000"/>
                <w:sz w:val="12"/>
              </w:rPr>
              <w:t>(7)</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fees related to the Refinancing and Special Dividend in 2026 and take-private transaction in 2025.</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realized and unrealized foreign currency effect of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stock-based compensation expense, as well as associated payroll tax.</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Net Income Margin represents net income divided by service revenue and Adjusted EBITDA Margin represents Adjusted EBITDA divided by service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cash provided by operating activities, the most directly comparable GAAP measure, to Free Cash Flow for the nine months ended September 30, 2026 and 2025:</w:t>
      </w:r>
    </w:p>
    <w:tbl>
      <w:tblPr>
        <w:tblW w:w="6797" w:type="dxa"/>
        <w:jc w:val="center"/>
        <w:tblInd w:w="0" w:type="dxa"/>
        <w:tblLayout w:type="fixed"/>
        <w:tblCellMar>
          <w:top w:w="28" w:type="dxa"/>
          <w:left w:w="28" w:type="dxa"/>
          <w:bottom w:w="28" w:type="dxa"/>
          <w:right w:w="28" w:type="dxa"/>
        </w:tblCellMar>
      </w:tblPr>
      <w:tblGrid>
        <w:gridCol w:w="1468"/>
        <w:gridCol w:w="1285"/>
        <w:gridCol w:w="1296"/>
        <w:gridCol w:w="196"/>
        <w:gridCol w:w="736"/>
        <w:gridCol w:w="256"/>
        <w:gridCol w:w="109"/>
        <w:gridCol w:w="109"/>
        <w:gridCol w:w="109"/>
        <w:gridCol w:w="196"/>
        <w:gridCol w:w="736"/>
        <w:gridCol w:w="301"/>
      </w:tblGrid>
      <w:tr>
        <w:tc>
          <w:tcPr>
            <w:tcW w:w="146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107,549 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Conversion of Adjusted EBITDA to Free Cash Flow</w:t>
            </w:r>
            <w:r>
              <w:rPr>
                <w:rFonts w:ascii="Times New Roman;serif" w:hAnsi="Times New Roman;serif"/>
                <w:b w:val="false"/>
                <w:color w:val="000000"/>
                <w:sz w:val="12"/>
              </w:rPr>
              <w:t>(1)</w:t>
            </w:r>
          </w:p>
        </w:tc>
        <w:tc>
          <w:tcPr>
            <w:tcW w:w="9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Conversion of Adjusted EBITDA to Free Cash Flow represents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our principal sources of liquidity were cash and cash equivalents totaling $189.7 million, which were held for working capital purposes, as well as the borrowing availability under the 2026 Revolving Credit Facility of $100.0 million. </w:t>
      </w:r>
    </w:p>
    <w:p>
      <w:pPr>
        <w:pStyle w:val="TextBody"/>
        <w:bidi w:val="0"/>
        <w:spacing w:before="120" w:after="283"/>
        <w:ind w:left="0" w:right="0" w:firstLine="54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2026, the Company entered into the 2026 Credit Agreement, which provided for the $500.0 million 2026 Term Loan Facility and the $100.0 million 2026 Revolving Credit Facility. The proceeds of the 2026 Term Loan Facility, and cash on the Company's balance sheet, were used to repay all borrowings under the 2022 Credit Facilities, pay related fees and expenses, and fund a $332.8 million special cash dividend.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2026, our total indebtedness, net of debt financing fees was $486.2 million. The interest rate in effect for the 2026 Term Loan Facility as of September 30, 2026 was 6.825% per annum. We were in compliance with all covenants under the 2026 Credit Agreement as of September 30, 2026. See Note 7, "Long-Term Debt" in the Notes to Unaudited Condensed Consolidated Financial Statements included in this Quarterly Report for additional information regarding our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2026 Credit Facilities will be sufficient to meet our working capital and capital expenditure needs for at least the next 12 months.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from operating, investing and financing activities for the periods indicated:</w:t>
      </w:r>
    </w:p>
    <w:tbl>
      <w:tblPr>
        <w:tblW w:w="5591" w:type="dxa"/>
        <w:jc w:val="center"/>
        <w:tblInd w:w="0" w:type="dxa"/>
        <w:tblLayout w:type="fixed"/>
        <w:tblCellMar>
          <w:top w:w="28" w:type="dxa"/>
          <w:left w:w="28" w:type="dxa"/>
          <w:bottom w:w="28" w:type="dxa"/>
          <w:right w:w="28" w:type="dxa"/>
        </w:tblCellMar>
      </w:tblPr>
      <w:tblGrid>
        <w:gridCol w:w="1086"/>
        <w:gridCol w:w="955"/>
        <w:gridCol w:w="958"/>
        <w:gridCol w:w="207"/>
        <w:gridCol w:w="778"/>
        <w:gridCol w:w="115"/>
        <w:gridCol w:w="115"/>
        <w:gridCol w:w="115"/>
        <w:gridCol w:w="115"/>
        <w:gridCol w:w="207"/>
        <w:gridCol w:w="778"/>
        <w:gridCol w:w="162"/>
      </w:tblGrid>
      <w:t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107,549 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(96,194)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nine months ended September 30, 2026 was $120.1 million compared to net cash provided by operating activities of $107.5 million for the nine months ended September 30, 2025. Net cash provided by operating activities for the nine months ended September 30, 2026 reflects net income of $72.5 million and the add back for non-cash charges totaling $68.9 million, partially offset by changes in operating assets and liabilities of $21.3 million. Non-cash charges primarily consisted of $35.0 million of depreciation, $14.5 million in stock-based compensation expense and $15.0 million of amortization related to intangibles. Net cash provided by operating activities for the nine months ended September 30, 2025 reflects net income of $72.6 million and the add back for non-cash charges totaling $66.9 million, partially offset by changes in operating assets and liabilities of $31.9 million. Non-cash charges primarily consisted of $30.7 million of depreciation, $23.4 million in stock-based compensation expense and $15.0 million of amortization related to intangibles. </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September 30, 2026 was $29.4 million compared to net cash used in investing activities of $43.8 million for the nine months ended September 30, 2025. Purchase of property and equipment decreased primarily due to lower site build-out costs, partially offset by an increase in security infrastructure improvements.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nine months ended September 30, 2026 was $96.2 million compared to net cash used by financing activities of $39.5 million for the nine months ended September 30, 2025. The increase was due primarily to the $332.8 million distribution of dividends and payments on long-term debt and debt financing fees, partially offset by $500.0 million in proceeds from long-term debt and lower payments for stock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activities expose us to a variety of financial risks: market risk (includes foreign currency), interest rate risk and credit risk.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Indian rupee, Mexican peso, Colombian peso and euro, in the nine months ended September 30, 2026 and 2025. We also incur expenses in U.S. dollars, and currencies of the other countries in which we have operations. The exchange rates among the Philippine peso, Indian rupee, Mexican peso, Colombian peso, euro and the U.S. dollar have changed substantially in recent years and may fluctuate substantially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foreign currency exchange rates and changes for the periods indicated:</w:t>
      </w:r>
    </w:p>
    <w:tbl>
      <w:tblPr>
        <w:tblW w:w="10205" w:type="dxa"/>
        <w:jc w:val="left"/>
        <w:tblInd w:w="0" w:type="dxa"/>
        <w:tblLayout w:type="fixed"/>
        <w:tblCellMar>
          <w:top w:w="28" w:type="dxa"/>
          <w:left w:w="28" w:type="dxa"/>
          <w:bottom w:w="28" w:type="dxa"/>
          <w:right w:w="28" w:type="dxa"/>
        </w:tblCellMar>
      </w:tblPr>
      <w:tblGrid>
        <w:gridCol w:w="1175"/>
        <w:gridCol w:w="1017"/>
        <w:gridCol w:w="1026"/>
        <w:gridCol w:w="278"/>
        <w:gridCol w:w="278"/>
        <w:gridCol w:w="639"/>
        <w:gridCol w:w="109"/>
        <w:gridCol w:w="109"/>
        <w:gridCol w:w="109"/>
        <w:gridCol w:w="278"/>
        <w:gridCol w:w="278"/>
        <w:gridCol w:w="561"/>
        <w:gridCol w:w="109"/>
        <w:gridCol w:w="109"/>
        <w:gridCol w:w="109"/>
        <w:gridCol w:w="278"/>
        <w:gridCol w:w="278"/>
        <w:gridCol w:w="582"/>
        <w:gridCol w:w="109"/>
        <w:gridCol w:w="109"/>
        <w:gridCol w:w="109"/>
        <w:gridCol w:w="390"/>
        <w:gridCol w:w="391"/>
        <w:gridCol w:w="677"/>
        <w:gridCol w:w="109"/>
        <w:gridCol w:w="109"/>
        <w:gridCol w:w="109"/>
        <w:gridCol w:w="233"/>
        <w:gridCol w:w="233"/>
        <w:gridCol w:w="305"/>
      </w:tblGrid>
      <w:tr>
        <w:tc>
          <w:tcPr>
            <w:tcW w:w="117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exchange rate against the U.S. dollar</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Nine months ended September 30, 2026</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3,506.21 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Nine months ended September 30, 2025</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86.50 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4,129.25 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(appreciation)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level of operations during the nine months ended September 30, 2026, and excluding any forward contract arrangements that we had in place during that period, a 10% appreciation (depreciation) of each foreign currency against the U.S. dollar would have increased (decreased) our expenses incurred and paid in that foreign currency as follows:</w:t>
      </w:r>
    </w:p>
    <w:tbl>
      <w:tblPr>
        <w:tblW w:w="8271" w:type="dxa"/>
        <w:jc w:val="left"/>
        <w:tblInd w:w="0" w:type="dxa"/>
        <w:tblLayout w:type="fixed"/>
        <w:tblCellMar>
          <w:top w:w="28" w:type="dxa"/>
          <w:left w:w="28" w:type="dxa"/>
          <w:bottom w:w="28" w:type="dxa"/>
          <w:right w:w="28" w:type="dxa"/>
        </w:tblCellMar>
      </w:tblPr>
      <w:tblGrid>
        <w:gridCol w:w="489"/>
        <w:gridCol w:w="430"/>
        <w:gridCol w:w="431"/>
        <w:gridCol w:w="229"/>
        <w:gridCol w:w="843"/>
        <w:gridCol w:w="127"/>
        <w:gridCol w:w="109"/>
        <w:gridCol w:w="109"/>
        <w:gridCol w:w="109"/>
        <w:gridCol w:w="219"/>
        <w:gridCol w:w="724"/>
        <w:gridCol w:w="122"/>
        <w:gridCol w:w="109"/>
        <w:gridCol w:w="109"/>
        <w:gridCol w:w="109"/>
        <w:gridCol w:w="229"/>
        <w:gridCol w:w="738"/>
        <w:gridCol w:w="127"/>
        <w:gridCol w:w="109"/>
        <w:gridCol w:w="109"/>
        <w:gridCol w:w="109"/>
        <w:gridCol w:w="262"/>
        <w:gridCol w:w="866"/>
        <w:gridCol w:w="146"/>
        <w:gridCol w:w="109"/>
        <w:gridCol w:w="109"/>
        <w:gridCol w:w="109"/>
        <w:gridCol w:w="196"/>
        <w:gridCol w:w="631"/>
        <w:gridCol w:w="154"/>
      </w:tblGrid>
      <w:t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appreciation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depreciation</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4, "Forward Contracts" in the Notes to Unaudited Condensed Consolidated Financial Statements included in this Quarterly Report for additional information regarding our forward contracts.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is influenced by the changes in interest rates paid on any outstanding balance on our borrowings, mainly under our 2026 Credit Facilities. All of our borrowings outstanding under the 2026 Credit Facilities as of September 30, 2026 accrue interest at Term SOFR plus 2.75%. As of September 30, 2026 our total principal balance outstanding was $493.8 million and the interest rate in effect was 6.825% per annum. Based on the outstanding balances and interest rates under the 2026 Credit Facilities as of September 30, 2026, a hypothetical 10% increase or decrease in Term SOFR would cause an increase or decrease in interest expense of approximately $2.0 million over the next 12 months.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accounts receivable, net of allowance for credit losses, of $266.4 million, of which $176.9 million was owed by ten of our clients. Collectively, these clients represented approximately 66% of our gross accounts receivable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the effectiveness of the design and operation of the Company's disclosure controls and procedures as of September 30, 2026. Based upon that evaluation, the Company's Chief Executive Officer and Chief Financial Officer concluded that, as of September 30, 2026, the design and operation of the Company's disclosure controls and procedures were effective to accomplish their objectives at the reasonable assurance level.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with respect to this item can be found under Note 9, "Commitments and Contingencies" in the Notes to Unaudited Condensed Consolidated Financial Statements included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Item 1A."Risk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ind w:left="0" w:right="0" w:firstLine="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4"/>
        <w:gridCol w:w="240"/>
        <w:gridCol w:w="243"/>
        <w:gridCol w:w="2815"/>
        <w:gridCol w:w="2732"/>
        <w:gridCol w:w="3901"/>
      </w:tblGrid>
      <w:t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Exhibit </w:t>
              <w:br/>
              <w:t>No.</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
              <w:r>
                <w:rPr>
                  <w:rStyle w:val="InternetLink"/>
                  <w:rFonts w:ascii="Times New Roman;serif" w:hAnsi="Times New Roman;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
              <w:r>
                <w:rPr>
                  <w:rStyle w:val="InternetLink"/>
                  <w:rFonts w:ascii="Times New Roman;serif" w:hAnsi="Times New Roman;serif"/>
                  <w:b w:val="false"/>
                  <w:color w:val="0000FF"/>
                  <w:sz w:val="20"/>
                  <w:u w:val="single"/>
                </w:rPr>
                <w:t>Certificate of Change of Registered Agent and Registered Office of the Company (incorporated by reference to Exhibit 3.2 to the Company's Annual Report on Form 10-K filed on March 8, 2024).</w:t>
              </w:r>
            </w:hyperlink>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4">
              <w:r>
                <w:rPr>
                  <w:rStyle w:val="InternetLink"/>
                  <w:rFonts w:ascii="Times New Roman;serif" w:hAnsi="Times New Roman;serif"/>
                  <w:b w:val="false"/>
                  <w:color w:val="0000FF"/>
                  <w:sz w:val="20"/>
                  <w:u w:val="single"/>
                </w:rPr>
                <w:t>Third Amended and Restated Bylaws of TaskUs, Inc., dated as of March 2, 2023 (incorporated by reference to Exhibit 3.1 to the Company’s Current Report on Form 8-K filed on March 7, 2023).</w:t>
              </w:r>
            </w:hyperlink>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stephandaoustretentionbonu.htm">
              <w:r>
                <w:rPr>
                  <w:rStyle w:val="InternetLink"/>
                  <w:rFonts w:ascii="Times New Roman;serif" w:hAnsi="Times New Roman;serif"/>
                  <w:b w:val="false"/>
                  <w:color w:val="0000FF"/>
                  <w:sz w:val="20"/>
                  <w:u w:val="single"/>
                </w:rPr>
                <w:t>Retention Bonus and Repayment Agreement, dated as of August 28, 2026, by and between TaskUs Holdings, Inc. and Stephan Daoust.</w:t>
              </w:r>
            </w:hyperlink>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vAlign w:val="center"/>
          </w:tcPr>
          <w:p>
            <w:pPr>
              <w:pStyle w:val="TableContents"/>
              <w:bidi w:val="0"/>
              <w:spacing w:before="0" w:after="283"/>
              <w:jc w:val="left"/>
              <w:rPr>
                <w:sz w:val="4"/>
                <w:szCs w:val="4"/>
              </w:rPr>
            </w:pPr>
            <w:r>
              <w:rPr>
                <w:sz w:val="4"/>
                <w:szCs w:val="4"/>
              </w:rPr>
            </w:r>
          </w:p>
        </w:tc>
        <w:tc>
          <w:tcPr>
            <w:tcW w:w="9448" w:type="dxa"/>
            <w:gridSpan w:val="3"/>
            <w:tcBorders/>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hibit311q32026.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hibit312q32026.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hibit321q32026.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hibit322q32026.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Quarterly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5a5795aff7ea4561af991aeda6797cc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32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16"/>
        <w:gridCol w:w="216"/>
        <w:gridCol w:w="216"/>
        <w:gridCol w:w="728"/>
        <w:gridCol w:w="728"/>
        <w:gridCol w:w="1063"/>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TASKUS, INC.</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Bryce Maddock </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Rishabh Khemka</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Rishabh Khemka</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Arial;sans-serif" w:hAnsi="Arial;sans-serif"/>
          <w:b/>
          <w:color w:val="000000"/>
          <w:sz w:val="22"/>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CERTAIN IDENTIFIED INFORMATION HAS BEEN EXCLUDED FROM THIS EXHIBIT BECAUSE IT IS BOTH (I) NOT MATERIAL AND (II) IS THE TYPE THAT THE REGISTRANT CUSTOMARILY AND ACTUALLY TREATS AS PRIVATE OR CONFIDENTIAL. THE OMITTED PORTIONS OF HIS DOCUMENT ARE INDICATED BY BRACKETS AS [***].</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RETENTION BONUS AGREEMENT</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RETENTION BONUS AGREEMENT (this “Agreement”) is hereby entered into on the date of the last signature below (the “Effective Date”) by and between TaskUs Holdings, Inc. (the “Company”) and Stephan Daoust, an adult individual residing at [***] (“Employee”).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Employee is currently employed with the Company, and specifically serves as Chief Operating Officer; and</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and Employee desire to enter into this Agreement in connection with Employee’s ability to earn a Retention Bonus, as described in this Agreement; and</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purpose of this arrangement is to incentivize Employee to remain employed by the Company for the period of time specified below;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promises and the mutual covenants contained in this Agreement, the Company and Employee agree as follows:</w:t>
      </w:r>
    </w:p>
    <w:p>
      <w:pPr>
        <w:pStyle w:val="TextBody"/>
        <w:bidi w:val="0"/>
        <w:spacing w:lineRule="auto" w:line="288" w:before="0" w:after="240"/>
        <w:ind w:left="0" w:right="0" w:firstLine="720"/>
        <w:jc w:val="both"/>
      </w:pPr>
      <w:r>
        <w:rPr>
          <w:rFonts w:ascii="Times New Roman;serif" w:hAnsi="Times New Roman;serif"/>
          <w:b w:val="false"/>
          <w:color w:val="000000"/>
          <w:sz w:val="24"/>
        </w:rPr>
        <w:t>1.</w:t>
      </w:r>
      <w:r>
        <w:rPr>
          <w:rFonts w:ascii="Times New Roman;serif" w:hAnsi="Times New Roman;serif"/>
          <w:b w:val="false"/>
          <w:color w:val="000000"/>
          <w:sz w:val="24"/>
        </w:rPr>
        <w:t>Employee shall be eligible to earn a one-time cash Retention Bonus in the gross amount of $1,000,000.00, less applicable taxes, withholdings and deductions (the “Retention Bonus”). Solely for purposes of this Agreement, the retention bonus period shall commence on May 15, 2026 (the “Retention Bonus Commencement Date”). Except as otherwise provided below, the Retention Bonus is to be paid on the first administratively practicable regular payroll date after the third (3rd) anniversary date of the Retention Bonus Commencement Date (and in no event later than sixty (60) days following such anniversary date), subject to Employee’s continuous employment with the Company through such anniversary date.</w:t>
      </w:r>
    </w:p>
    <w:p>
      <w:pPr>
        <w:pStyle w:val="TextBody"/>
        <w:bidi w:val="0"/>
        <w:spacing w:lineRule="auto" w:line="288" w:before="0" w:after="240"/>
        <w:ind w:left="0" w:right="0" w:firstLine="720"/>
        <w:jc w:val="both"/>
      </w:pPr>
      <w:r>
        <w:rPr>
          <w:rFonts w:ascii="Times New Roman;serif" w:hAnsi="Times New Roman;serif"/>
          <w:b w:val="false"/>
          <w:color w:val="000000"/>
          <w:sz w:val="24"/>
        </w:rPr>
        <w:t>2.</w:t>
      </w:r>
      <w:r>
        <w:rPr>
          <w:rFonts w:ascii="Times New Roman;serif" w:hAnsi="Times New Roman;serif"/>
          <w:b w:val="false"/>
          <w:color w:val="000000"/>
          <w:sz w:val="24"/>
        </w:rPr>
        <w:t xml:space="preserve">The Retention Bonus constitutes a one-time retention incentive and is not part of normal or expected compensation for purposes of calculating any other bonuses, incentives, awards, benefits, matching contributions or similar payments. Instead, it is an incentive for the Employee to remain actively employed by the Company for three (3) years, at which time the Retention Bonus will have fully vested. </w:t>
      </w:r>
    </w:p>
    <w:p>
      <w:pPr>
        <w:pStyle w:val="TextBody"/>
        <w:bidi w:val="0"/>
        <w:spacing w:lineRule="auto" w:line="288" w:before="0" w:after="240"/>
        <w:ind w:left="0" w:right="0" w:firstLine="720"/>
        <w:jc w:val="both"/>
      </w:pPr>
      <w:r>
        <w:rPr>
          <w:rFonts w:ascii="Times New Roman;serif" w:hAnsi="Times New Roman;serif"/>
          <w:b w:val="false"/>
          <w:color w:val="000000"/>
          <w:sz w:val="24"/>
        </w:rPr>
        <w:t>3.</w:t>
      </w:r>
      <w:r>
        <w:rPr>
          <w:rFonts w:ascii="Times New Roman;serif" w:hAnsi="Times New Roman;serif"/>
          <w:b w:val="false"/>
          <w:color w:val="000000"/>
          <w:sz w:val="24"/>
        </w:rPr>
        <w:t xml:space="preserve">Subject to paragraph 6 below, Employee’s ability to earn the Retention Bonus shall vest in two tranches: the first tranche, in the amount of two-thirds (2/3) of the Retention Bonus (the “First Tranche”), shall vest in eight (8) equal quarterly installments following the Retention Bonus Commencement Date and the second tranche, in the amount of one-third (1/3) of the Retention Bonus (the “Second Tranche”), shall vest in four (4) equal quarterly installments following the second (2nd) anniversary of the Retention Bonus Commencement Date, in each </w:t>
      </w:r>
    </w:p>
    <w:p>
      <w:pPr>
        <w:pStyle w:val="TextBody"/>
        <w:bidi w:val="0"/>
        <w:spacing w:before="0" w:after="0"/>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case, subject to Employee’s continuous employment with the Company through the applicable vesting date. The first installment of the First Tranche shall vest on the date that is three (3) months after the Retention Bonus Commencement Date, and one additional installment shall vest on each successive three (3) month anniversary thereafter through the second (2nd) anniversary of the Retention Bonus Commencement Date, subject to Employee’s continuous employment with the Company through the applicable vesting date. The first installment of the Second Tranche shall vest on the date that is three (3) months after second (2nd) anniversary of the Retention Bonus Commencement Date, and one additional installment shall vest on each successive three (3) month anniversary thereafter through the third (3rd) anniversary of the Retention Bonus Commencement Date, subject to Employee’s continuous employment with the Company through the applicable vesting date. No partial or prorated vesting shall occur between quarterly vesting dates except as described herein. </w:t>
      </w:r>
    </w:p>
    <w:p>
      <w:pPr>
        <w:pStyle w:val="TextBody"/>
        <w:bidi w:val="0"/>
        <w:spacing w:lineRule="auto" w:line="288" w:before="0" w:after="240"/>
        <w:ind w:left="0" w:right="0" w:firstLine="720"/>
        <w:jc w:val="both"/>
      </w:pPr>
      <w:r>
        <w:rPr>
          <w:rFonts w:ascii="Times New Roman;serif" w:hAnsi="Times New Roman;serif"/>
          <w:b w:val="false"/>
          <w:color w:val="000000"/>
          <w:sz w:val="24"/>
        </w:rPr>
        <w:t>4.</w:t>
      </w:r>
      <w:r>
        <w:rPr>
          <w:rFonts w:ascii="Times New Roman;serif" w:hAnsi="Times New Roman;serif"/>
          <w:b w:val="false"/>
          <w:color w:val="000000"/>
          <w:sz w:val="24"/>
        </w:rPr>
        <w:t>As used herein, the term of “continuous employment” begins on the Retention Bonus Commencement Date and does not include periods of time for which Employee is not actively working and/or is on a leave of absence of any kind unless required otherwise by applicable law.</w:t>
      </w:r>
    </w:p>
    <w:p>
      <w:pPr>
        <w:pStyle w:val="TextBody"/>
        <w:bidi w:val="0"/>
        <w:spacing w:lineRule="auto" w:line="288" w:before="0" w:after="240"/>
        <w:ind w:left="0" w:right="0" w:firstLine="720"/>
        <w:jc w:val="both"/>
      </w:pPr>
      <w:r>
        <w:rPr>
          <w:rFonts w:ascii="Times New Roman;serif" w:hAnsi="Times New Roman;serif"/>
          <w:b w:val="false"/>
          <w:color w:val="000000"/>
          <w:sz w:val="24"/>
        </w:rPr>
        <w:t>5.</w:t>
      </w:r>
      <w:r>
        <w:rPr>
          <w:rFonts w:ascii="Times New Roman;serif" w:hAnsi="Times New Roman;serif"/>
          <w:b w:val="false"/>
          <w:color w:val="000000"/>
          <w:sz w:val="24"/>
        </w:rPr>
        <w:t>Employee understands and agrees that the full amount of the Retention Bonus shall be fully taxable to Employee as income earned and as wages at the time the funds are received and will be subject to all applicable federal, state and local income and wage taxes and shall be reported by the Company to the appropriate taxing authorities, as required by applicable law. This Agreement is not intended to constitute or create any property interest in the Company or any of its affiliates for purposes of Section 83 of the Internal Revenue Code of 1986, as amended (the “Code”).</w:t>
      </w:r>
    </w:p>
    <w:p>
      <w:pPr>
        <w:pStyle w:val="TextBody"/>
        <w:bidi w:val="0"/>
        <w:spacing w:lineRule="auto" w:line="288" w:before="0" w:after="240"/>
        <w:ind w:left="0" w:right="0" w:firstLine="720"/>
        <w:jc w:val="both"/>
      </w:pPr>
      <w:r>
        <w:rPr>
          <w:rFonts w:ascii="Times New Roman;serif" w:hAnsi="Times New Roman;serif"/>
          <w:b w:val="false"/>
          <w:color w:val="000000"/>
          <w:sz w:val="24"/>
        </w:rPr>
        <w:t>6.</w:t>
      </w:r>
      <w:r>
        <w:rPr>
          <w:rFonts w:ascii="Times New Roman;serif" w:hAnsi="Times New Roman;serif"/>
          <w:b w:val="false"/>
          <w:color w:val="000000"/>
          <w:sz w:val="24"/>
        </w:rPr>
        <w:t>If Employee’s employment with the Company ends before the second (2nd) anniversary of the Retention Bonus Commencement Date (</w:t>
      </w:r>
      <w:r>
        <w:rPr>
          <w:rFonts w:ascii="Times New Roman;serif" w:hAnsi="Times New Roman;serif"/>
          <w:b w:val="false"/>
          <w:i/>
          <w:color w:val="000000"/>
          <w:sz w:val="24"/>
        </w:rPr>
        <w:t>i.e.</w:t>
      </w:r>
      <w:r>
        <w:rPr>
          <w:rFonts w:ascii="Times New Roman;serif" w:hAnsi="Times New Roman;serif"/>
          <w:b w:val="false"/>
          <w:color w:val="000000"/>
          <w:sz w:val="24"/>
        </w:rPr>
        <w:t>, during the first eight (8) quarterly vesting periods) for any reason other than a “Qualifying Termination” (as defined below), Employee shall no longer be entitled to and forfeits the Retention Bonus in full (</w:t>
      </w:r>
      <w:r>
        <w:rPr>
          <w:rFonts w:ascii="Times New Roman;serif" w:hAnsi="Times New Roman;serif"/>
          <w:b w:val="false"/>
          <w:i/>
          <w:color w:val="000000"/>
          <w:sz w:val="24"/>
        </w:rPr>
        <w:t>i</w:t>
      </w:r>
      <w:r>
        <w:rPr>
          <w:rFonts w:ascii="Times New Roman;serif" w:hAnsi="Times New Roman;serif"/>
          <w:b w:val="false"/>
          <w:color w:val="000000"/>
          <w:sz w:val="24"/>
        </w:rPr>
        <w:t>.</w:t>
      </w:r>
      <w:r>
        <w:rPr>
          <w:rFonts w:ascii="Times New Roman;serif" w:hAnsi="Times New Roman;serif"/>
          <w:b w:val="false"/>
          <w:i/>
          <w:color w:val="000000"/>
          <w:sz w:val="24"/>
        </w:rPr>
        <w:t>e</w:t>
      </w:r>
      <w:r>
        <w:rPr>
          <w:rFonts w:ascii="Times New Roman;serif" w:hAnsi="Times New Roman;serif"/>
          <w:b w:val="false"/>
          <w:color w:val="000000"/>
          <w:sz w:val="24"/>
        </w:rPr>
        <w:t xml:space="preserve">., both the First Tranche and the Second Tranche), including any portion that has vested but remains unpaid. Upon a Qualifying Termination before the second (2nd) anniversary of the Retention Bonus Commencement Date, Employee shall be entitled to receive any portion of First Tranche of the Retention Bonus that has vested pursuant to paragraph 3 above, payable on the first administratively practicable regular payroll date after the date of such Qualifying Termination (and in no event later than sixty (60) days following such date). Subject to Employee’s continuous employment with the Company through the second (2nd) anniversary of the Retention Bonus Commencement Date, upon the second (2nd) anniversary of the Retention Bonus Commencement Date, Employee shall be entitled to receive the First Tranche of the Retention Bonus, payable on the first administratively practicable regular payroll date after the second (2nd) anniversary of the Retention Bonus Commencement Date (and in no event later than sixty (60) days following such date). If Employee’s employment with the Company ends for any reason after the second (2nd) anniversary of the Retention Bonus Commencement Date but before the third (3rd) anniversary of the Retention Bonus Commencement Date, Employee shall forfeit all then-unvested portions of the Retention Bonus. In that event, Employee shall be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entitled to receive the portion of Second Tranche of the Retention Bonus that vested pursuant to paragraph 3 above before Employee’s employment ended, payable on the first administratively practicable regular payroll date after the third (3rd) anniversary date of the Retention Bonus Commencement Date (and in no event later than sixty (60) days following such date), regardless of whether the termination is a Qualifying Termination. For the avoidance of doubt, the Qualifying Termination exception applies only before the second (2nd) anniversary of the Retention Bonus Commencement Date and does not apply during the third (3rd) year of the vesting period. </w:t>
      </w:r>
    </w:p>
    <w:p>
      <w:pPr>
        <w:pStyle w:val="TextBody"/>
        <w:bidi w:val="0"/>
        <w:spacing w:lineRule="auto" w:line="288" w:before="0" w:after="240"/>
        <w:jc w:val="both"/>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 xml:space="preserve">Qualifying Termination” means a (i) termination of Employee’s employment by the Company other than for Cause or (ii) termination by reason of Employee’s resignation for Good Reason. </w:t>
      </w:r>
    </w:p>
    <w:p>
      <w:pPr>
        <w:pStyle w:val="TextBody"/>
        <w:bidi w:val="0"/>
        <w:spacing w:lineRule="auto" w:line="288" w:before="0" w:after="240"/>
        <w:jc w:val="both"/>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Cause” means, solely for purposes of this Agreement and as determined by the Company in good faith following a reasonable investigation, only the occurrence of any of the following, whether or not arising from or related to Employee’s employment or duties, including off-duty conduct: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(i)Employee’s willful commission of fraud, embezzlement, dishonesty, theft, misappropriation, bribery, corruption, harassment, discrimination, sexual misconduct, or material falsification of books, records, reports, or other material information, regardless of whether such conduct results in a criminal charge, indictment, conviction, plea, civil action, or regulatory proceeding;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(ii)Employee’s indictment for, or formal criminal charge alleging, a felony or any criminal offense involving any conduct described in the immediately preceding clause;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(iii)Employee’s conviction of, or plea of guilty or nolo contendere to, any such felony or criminal offense;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(iv)Any final civil judgment, administrative finding, or consent order or consent decree entered by or with a governmental authority or regulator against Employee based on any conduct described above.</w:t>
      </w:r>
    </w:p>
    <w:p>
      <w:pPr>
        <w:pStyle w:val="TextBody"/>
        <w:bidi w:val="0"/>
        <w:spacing w:lineRule="auto" w:line="288" w:before="0" w:after="240"/>
        <w:jc w:val="both"/>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Good Reason” means, solely for purposes of this Agreement and without Employee’s prior written consent and subject to the notice, cure, and resignation requirements below, only the occurrence of one of the following: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Company’s material failure to perform its express payment obligations under this Agreement, which failure directly results in a material reduction in, or nonpayment of, the Retention Bonus payable to Employee under this Agreement;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(ii)a reduction of more than ten percent (10%) in Employee’s annual base salary; provided, however, that a reduction that is part of an across-the-board or </w:t>
      </w:r>
    </w:p>
    <w:p>
      <w:pPr>
        <w:pStyle w:val="TextBody"/>
        <w:bidi w:val="0"/>
        <w:spacing w:before="0" w:after="0"/>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proportionate reduction applicable to similarly situated executives shall not constitute Good Reason.</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Good Reason” does not include any isolated, inadvertent, insubstantial, or de minimis action or omission that is not taken in bad faith and is cured by the Company promptly after notice.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Employee’s resignation to constitute a resignation for Good Reason, Employee must provide written notice to the Company describing in reasonable detail the condition claimed to constitute Good Reason within thirty (30) days after Employee first becomes aware, or reasonably should have become aware, of such condition. The Company shall have thirty (30) days after receipt of such notice to cure the condition. If the Company does not cure the condition within such period, Employee must resign no later than thirty (30) days after expiration of the cure period. If Employee fails to comply with these requirements, Employee is deemed to have waived Good Reason with respect to the applicable condition.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no breach or alleged breach of any other agreement, plan, award, policy, or arrangement between the Company or any of its affiliates and Employee, including any employment agreement, severance agreement, change in control agreement, equity award agreement, or similar arrangement, shall constitute Good Reason under this Agreement. The definitions of “Cause” and “Good Reason” in this Agreement apply solely for purposes of this Agreement and do not amend, supersede, replace, or expand any corresponding definition in any other agreement.</w:t>
      </w:r>
    </w:p>
    <w:p>
      <w:pPr>
        <w:pStyle w:val="TextBody"/>
        <w:bidi w:val="0"/>
        <w:spacing w:lineRule="auto" w:line="288" w:before="0" w:after="240"/>
        <w:ind w:left="0" w:right="0" w:firstLine="720"/>
        <w:jc w:val="both"/>
      </w:pPr>
      <w:r>
        <w:rPr>
          <w:rFonts w:ascii="Times New Roman;serif" w:hAnsi="Times New Roman;serif"/>
          <w:b w:val="false"/>
          <w:color w:val="000000"/>
          <w:sz w:val="24"/>
        </w:rPr>
        <w:t>7.</w:t>
      </w:r>
      <w:r>
        <w:rPr>
          <w:rFonts w:ascii="Times New Roman;serif" w:hAnsi="Times New Roman;serif"/>
          <w:b w:val="false"/>
          <w:color w:val="000000"/>
          <w:sz w:val="24"/>
        </w:rPr>
        <w:t>This Agreement relates to Employee’s right to earn and receive the Retention Bonus for retention purposes if and only if all conditions for earning the Retention Bonus have been satisfied.</w:t>
      </w:r>
    </w:p>
    <w:p>
      <w:pPr>
        <w:pStyle w:val="TextBody"/>
        <w:bidi w:val="0"/>
        <w:spacing w:lineRule="auto" w:line="288" w:before="0" w:after="240"/>
        <w:ind w:left="0" w:right="0" w:firstLine="720"/>
        <w:jc w:val="both"/>
      </w:pPr>
      <w:r>
        <w:rPr>
          <w:rFonts w:ascii="Times New Roman;serif" w:hAnsi="Times New Roman;serif"/>
          <w:b w:val="false"/>
          <w:color w:val="000000"/>
          <w:sz w:val="24"/>
        </w:rPr>
        <w:t>8.</w:t>
      </w:r>
      <w:r>
        <w:rPr>
          <w:rFonts w:ascii="Times New Roman;serif" w:hAnsi="Times New Roman;serif"/>
          <w:b w:val="false"/>
          <w:color w:val="000000"/>
          <w:sz w:val="24"/>
        </w:rPr>
        <w:t>This Agreement shall be binding upon and shall inure to the benefit of the Company and Employee and its and their successors, estate and heirs, but may not be pledged, assigned, transferred, or otherwise disposed of by Employee.</w:t>
      </w:r>
    </w:p>
    <w:p>
      <w:pPr>
        <w:pStyle w:val="TextBody"/>
        <w:bidi w:val="0"/>
        <w:spacing w:lineRule="auto" w:line="288" w:before="0" w:after="240"/>
        <w:ind w:left="0" w:right="0" w:firstLine="720"/>
        <w:jc w:val="both"/>
      </w:pPr>
      <w:r>
        <w:rPr>
          <w:rFonts w:ascii="Times New Roman;serif" w:hAnsi="Times New Roman;serif"/>
          <w:b w:val="false"/>
          <w:color w:val="000000"/>
          <w:sz w:val="24"/>
        </w:rPr>
        <w:t>9.</w:t>
      </w:r>
      <w:r>
        <w:rPr>
          <w:rFonts w:ascii="Times New Roman;serif" w:hAnsi="Times New Roman;serif"/>
          <w:b w:val="false"/>
          <w:color w:val="000000"/>
          <w:sz w:val="24"/>
        </w:rPr>
        <w:t xml:space="preserve">The compensation attributable to the Retention Bonus is intended to be exempt from Section 409A of the Code by reason of the “short-term deferral” rules of Treasury Regulation Section 1.409A-1(b)(4) or otherwise comply with the requirements to avoid tax under Section 409A of the Code, and this Agreement shall be interpreted so as to be consistent with such intent. </w:t>
      </w:r>
    </w:p>
    <w:p>
      <w:pPr>
        <w:pStyle w:val="TextBody"/>
        <w:bidi w:val="0"/>
        <w:spacing w:lineRule="auto" w:line="288" w:before="0" w:after="240"/>
        <w:ind w:left="0" w:right="0" w:firstLine="720"/>
        <w:jc w:val="both"/>
      </w:pPr>
      <w:r>
        <w:rPr>
          <w:rFonts w:ascii="Times New Roman;serif" w:hAnsi="Times New Roman;serif"/>
          <w:b w:val="false"/>
          <w:color w:val="000000"/>
          <w:sz w:val="24"/>
        </w:rPr>
        <w:t>10.</w:t>
      </w:r>
      <w:r>
        <w:rPr>
          <w:rFonts w:ascii="Times New Roman;serif" w:hAnsi="Times New Roman;serif"/>
          <w:b w:val="false"/>
          <w:color w:val="000000"/>
          <w:sz w:val="24"/>
        </w:rPr>
        <w:t xml:space="preserve">The Company shall be entitled to deduct from the Retention Bonus any sums required by federal, state, or local tax laws to be withheld with respect to such payment. </w:t>
      </w:r>
    </w:p>
    <w:p>
      <w:pPr>
        <w:pStyle w:val="TextBody"/>
        <w:bidi w:val="0"/>
        <w:spacing w:lineRule="auto" w:line="288" w:before="0" w:after="240"/>
        <w:ind w:left="0" w:right="0" w:firstLine="720"/>
        <w:jc w:val="both"/>
      </w:pPr>
      <w:r>
        <w:rPr>
          <w:rFonts w:ascii="Times New Roman;serif" w:hAnsi="Times New Roman;serif"/>
          <w:b w:val="false"/>
          <w:color w:val="000000"/>
          <w:sz w:val="24"/>
        </w:rPr>
        <w:t>11.</w:t>
      </w:r>
      <w:r>
        <w:rPr>
          <w:rFonts w:ascii="Times New Roman;serif" w:hAnsi="Times New Roman;serif"/>
          <w:b w:val="false"/>
          <w:color w:val="000000"/>
          <w:sz w:val="24"/>
        </w:rPr>
        <w:t xml:space="preserve">This Agreement and all disputes concerning this Agreement shall be subject to and governed by the parties’ Mutual Arbitration Agreement by and between the Company and Employee dated January 7, 2021. </w:t>
      </w:r>
    </w:p>
    <w:p>
      <w:pPr>
        <w:pStyle w:val="TextBody"/>
        <w:bidi w:val="0"/>
        <w:spacing w:lineRule="auto" w:line="288" w:before="0" w:after="240"/>
        <w:ind w:left="0" w:right="0" w:firstLine="720"/>
        <w:jc w:val="both"/>
      </w:pPr>
      <w:r>
        <w:rPr>
          <w:rFonts w:ascii="Times New Roman;serif" w:hAnsi="Times New Roman;serif"/>
          <w:b w:val="false"/>
          <w:color w:val="000000"/>
          <w:sz w:val="24"/>
        </w:rPr>
        <w:t>12.</w:t>
      </w:r>
      <w:r>
        <w:rPr>
          <w:rFonts w:ascii="Times New Roman;serif" w:hAnsi="Times New Roman;serif"/>
          <w:b w:val="false"/>
          <w:color w:val="000000"/>
          <w:sz w:val="24"/>
        </w:rPr>
        <w:t xml:space="preserve">Employee acknowledges that the Retention Bonus is available only on the terms set forth in this Agreement and is not earned unless and until the conditions of this Agreement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are satisfied. Employee further acknowledges that Employee has been given adequate time to carefully read and consider this Agreement, advised to consult with an attorney about this Agreement, and that Employee is entering into it knowingly, willingly and without duress.</w:t>
      </w:r>
    </w:p>
    <w:p>
      <w:pPr>
        <w:pStyle w:val="TextBody"/>
        <w:bidi w:val="0"/>
        <w:spacing w:lineRule="auto" w:line="288" w:before="0" w:after="240"/>
        <w:ind w:left="0" w:right="0" w:firstLine="720"/>
        <w:jc w:val="both"/>
      </w:pPr>
      <w:r>
        <w:rPr>
          <w:rFonts w:ascii="Times New Roman;serif" w:hAnsi="Times New Roman;serif"/>
          <w:b w:val="false"/>
          <w:color w:val="000000"/>
          <w:sz w:val="24"/>
        </w:rPr>
        <w:t>13.</w:t>
      </w:r>
      <w:r>
        <w:rPr>
          <w:rFonts w:ascii="Times New Roman;serif" w:hAnsi="Times New Roman;serif"/>
          <w:b w:val="false"/>
          <w:color w:val="000000"/>
          <w:sz w:val="24"/>
        </w:rPr>
        <w:t xml:space="preserve">This Agreement may be executed in two or more counterparts, each of which shall be deemed to be an original but all of which together shall constitute one and the same instrument. </w:t>
      </w:r>
    </w:p>
    <w:p>
      <w:pPr>
        <w:pStyle w:val="TextBody"/>
        <w:bidi w:val="0"/>
        <w:spacing w:lineRule="auto" w:line="288" w:before="0" w:after="240"/>
        <w:ind w:left="0" w:right="0" w:firstLine="720"/>
        <w:jc w:val="both"/>
      </w:pPr>
      <w:r>
        <w:rPr>
          <w:rFonts w:ascii="Times New Roman;serif" w:hAnsi="Times New Roman;serif"/>
          <w:b w:val="false"/>
          <w:color w:val="000000"/>
          <w:sz w:val="24"/>
        </w:rPr>
        <w:t>14.</w:t>
      </w:r>
      <w:r>
        <w:rPr>
          <w:rFonts w:ascii="Times New Roman;serif" w:hAnsi="Times New Roman;serif"/>
          <w:b w:val="false"/>
          <w:color w:val="000000"/>
          <w:sz w:val="24"/>
        </w:rPr>
        <w:t xml:space="preserve">Employee understands and explicitly agrees that references in this Agreement to “continuous employment” and specified time periods for completion of the same do not affect or alter Employee’s status as an at-will employee of the Company and that Employee’s employment is at all times at-will, meaning that it can be terminated at any time for any reason by either the Company or Employee, with or without notice, reason or cause. </w:t>
      </w:r>
    </w:p>
    <w:p>
      <w:pPr>
        <w:pStyle w:val="TextBody"/>
        <w:bidi w:val="0"/>
        <w:spacing w:lineRule="auto" w:line="288" w:before="0" w:after="240"/>
        <w:ind w:left="0" w:right="0" w:firstLine="720"/>
        <w:jc w:val="both"/>
      </w:pPr>
      <w:r>
        <w:rPr>
          <w:rFonts w:ascii="Times New Roman;serif" w:hAnsi="Times New Roman;serif"/>
          <w:b w:val="false"/>
          <w:color w:val="000000"/>
          <w:sz w:val="24"/>
        </w:rPr>
        <w:t>15.</w:t>
      </w:r>
      <w:r>
        <w:rPr>
          <w:rFonts w:ascii="Times New Roman;serif" w:hAnsi="Times New Roman;serif"/>
          <w:b w:val="false"/>
          <w:color w:val="000000"/>
          <w:sz w:val="24"/>
        </w:rPr>
        <w:t>Any notice required or permitted under this Agreement must be in writing and will be deemed given when delivered personally, sent by nationally recognized overnight courier, or sent by email with confirmation of transmission, to the CEO for the Company and to the Employee at Employee’s last known contact information provided to the Company for the Employee.</w:t>
      </w:r>
    </w:p>
    <w:p>
      <w:pPr>
        <w:pStyle w:val="TextBody"/>
        <w:bidi w:val="0"/>
        <w:spacing w:lineRule="auto" w:line="288" w:before="0" w:after="240"/>
        <w:ind w:left="0" w:right="0" w:firstLine="720"/>
        <w:jc w:val="both"/>
      </w:pPr>
      <w:r>
        <w:rPr>
          <w:rFonts w:ascii="Times New Roman;serif" w:hAnsi="Times New Roman;serif"/>
          <w:b w:val="false"/>
          <w:color w:val="000000"/>
          <w:sz w:val="24"/>
        </w:rPr>
        <w:t>16.</w:t>
      </w:r>
      <w:r>
        <w:rPr>
          <w:rFonts w:ascii="Times New Roman;serif" w:hAnsi="Times New Roman;serif"/>
          <w:b w:val="false"/>
          <w:color w:val="000000"/>
          <w:sz w:val="24"/>
        </w:rPr>
        <w:t>The provisions of this Agreement relating to repayment, tax reporting and cooperation, dispute resolution, attorneys’ fees or collection costs, and any other provision that by its nature is intended to survive, will survive termination of Employee’s employment and termination of this Agreement.</w:t>
      </w:r>
    </w:p>
    <w:p>
      <w:pPr>
        <w:pStyle w:val="TextBody"/>
        <w:bidi w:val="0"/>
        <w:spacing w:lineRule="auto" w:line="288" w:before="0" w:after="240"/>
        <w:ind w:left="0" w:right="0" w:firstLine="720"/>
        <w:jc w:val="both"/>
      </w:pPr>
      <w:r>
        <w:rPr>
          <w:rFonts w:ascii="Times New Roman;serif" w:hAnsi="Times New Roman;serif"/>
          <w:b w:val="false"/>
          <w:color w:val="000000"/>
          <w:sz w:val="24"/>
        </w:rPr>
        <w:t>17.</w:t>
      </w:r>
      <w:r>
        <w:rPr>
          <w:rFonts w:ascii="Times New Roman;serif" w:hAnsi="Times New Roman;serif"/>
          <w:b w:val="false"/>
          <w:color w:val="000000"/>
          <w:sz w:val="24"/>
        </w:rPr>
        <w:t xml:space="preserve">The Company shall be empowered to make all determinations or interpretations contemplated under this Agreement, which determinations and interpretations shall, if made in good faith, be binding and conclusive on Employee and the Company. </w:t>
      </w:r>
    </w:p>
    <w:p>
      <w:pPr>
        <w:pStyle w:val="TextBody"/>
        <w:bidi w:val="0"/>
        <w:spacing w:lineRule="auto" w:line="288" w:before="0" w:after="240"/>
        <w:ind w:left="0" w:right="0" w:firstLine="720"/>
        <w:jc w:val="both"/>
      </w:pPr>
      <w:r>
        <w:rPr>
          <w:rFonts w:ascii="Times New Roman;serif" w:hAnsi="Times New Roman;serif"/>
          <w:b w:val="false"/>
          <w:color w:val="000000"/>
          <w:sz w:val="24"/>
        </w:rPr>
        <w:t>18.</w:t>
      </w:r>
      <w:r>
        <w:rPr>
          <w:rFonts w:ascii="Times New Roman;serif" w:hAnsi="Times New Roman;serif"/>
          <w:b w:val="false"/>
          <w:color w:val="000000"/>
          <w:sz w:val="24"/>
        </w:rPr>
        <w:t>Any portion of the Retention Bonus that may become payable to Employee hereunder shall not be taken into account in computing Employee’s salary or other compensation for purposes of determining any benefits or compensation payable to Employee or Employee’s beneficiaries or estate under (a) any pension, retirement, life insurance or other benefit arrangement of the Company or (b) any other agreement between Employee and the Company.</w:t>
      </w:r>
    </w:p>
    <w:p>
      <w:pPr>
        <w:pStyle w:val="TextBody"/>
        <w:bidi w:val="0"/>
        <w:spacing w:lineRule="auto" w:line="288" w:before="0" w:after="240"/>
        <w:ind w:left="0" w:right="0" w:firstLine="720"/>
        <w:jc w:val="both"/>
      </w:pPr>
      <w:r>
        <w:rPr>
          <w:rFonts w:ascii="Times New Roman;serif" w:hAnsi="Times New Roman;serif"/>
          <w:b w:val="false"/>
          <w:color w:val="000000"/>
          <w:sz w:val="24"/>
        </w:rPr>
        <w:t>19.</w:t>
      </w:r>
      <w:r>
        <w:rPr>
          <w:rFonts w:ascii="Times New Roman;serif" w:hAnsi="Times New Roman;serif"/>
          <w:b w:val="false"/>
          <w:color w:val="000000"/>
          <w:sz w:val="24"/>
        </w:rPr>
        <w:t>This Agreement constitutes the entire agreement between the Company and Employee with respect to the Retention Bonus and any related repayment obligation, and supersedes all prior and contemporaneous oral and written discussions, communications, and agreements relating to that subject matter. In the event of any conflict between this Agreement and any prior offer letter, policy, communication, or other document concerning the Retention Bonus or repayment of the Retention Bonus, this Agreement controls. This Agreement may be amended only in a writing signed by both parties.</w:t>
      </w:r>
    </w:p>
    <w:p>
      <w:pPr>
        <w:pStyle w:val="TextBody"/>
        <w:bidi w:val="0"/>
        <w:spacing w:lineRule="auto" w:line="288" w:before="0" w:after="240"/>
        <w:ind w:left="0" w:right="0" w:firstLine="720"/>
        <w:jc w:val="both"/>
      </w:pPr>
      <w:r>
        <w:rPr>
          <w:rFonts w:ascii="Times New Roman;serif" w:hAnsi="Times New Roman;serif"/>
          <w:b w:val="false"/>
          <w:color w:val="000000"/>
          <w:sz w:val="24"/>
        </w:rPr>
        <w:t>20.</w:t>
      </w:r>
      <w:r>
        <w:rPr>
          <w:rFonts w:ascii="Times New Roman;serif" w:hAnsi="Times New Roman;serif"/>
          <w:b w:val="false"/>
          <w:color w:val="000000"/>
          <w:sz w:val="24"/>
        </w:rPr>
        <w:t>The validity, construction, and effect of this Agreement shall be determined in accordance with the laws of the State of Delaware.</w:t>
      </w:r>
    </w:p>
    <w:p>
      <w:pPr>
        <w:pStyle w:val="TextBody"/>
        <w:bidi w:val="0"/>
        <w:spacing w:before="0" w:after="0"/>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40"/>
        <w:ind w:left="0" w:right="0" w:firstLine="720"/>
        <w:jc w:val="both"/>
      </w:pPr>
      <w:r>
        <w:rPr>
          <w:rFonts w:ascii="Times New Roman;serif" w:hAnsi="Times New Roman;serif"/>
          <w:b w:val="false"/>
          <w:color w:val="000000"/>
          <w:sz w:val="24"/>
        </w:rPr>
        <w:t>21.</w:t>
      </w:r>
      <w:r>
        <w:rPr>
          <w:rFonts w:ascii="Times New Roman;serif" w:hAnsi="Times New Roman;serif"/>
          <w:b w:val="false"/>
          <w:color w:val="000000"/>
          <w:sz w:val="24"/>
        </w:rPr>
        <w:t>This Agreement becomes effective only upon execution by both parties. No right or ability to earn any Retention Bonus exists unless and until this Agreement is so executed.</w:t>
      </w:r>
    </w:p>
    <w:p>
      <w:pPr>
        <w:pStyle w:val="TextBody"/>
        <w:bidi w:val="0"/>
        <w:spacing w:before="120" w:after="240"/>
        <w:ind w:left="0" w:right="0" w:firstLine="720"/>
        <w:jc w:val="both"/>
      </w:pPr>
      <w:r/>
    </w:p>
    <w:p>
      <w:pPr>
        <w:pStyle w:val="TextBody"/>
        <w:bidi w:val="0"/>
        <w:spacing w:before="120" w:after="240"/>
        <w:ind w:left="0" w:right="0" w:firstLine="720"/>
        <w:jc w:val="both"/>
      </w:pPr>
      <w:r/>
    </w:p>
    <w:p>
      <w:pPr>
        <w:pStyle w:val="TextBody"/>
        <w:bidi w:val="0"/>
        <w:spacing w:before="120" w:after="240"/>
        <w:ind w:left="0" w:right="0" w:firstLine="720"/>
        <w:jc w:val="both"/>
      </w:pPr>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have caused this Retention Bonus Agreement to be duly executed and delivered as of the date indicated next to their respective signatures below.</w:t>
      </w:r>
    </w:p>
    <w:tbl>
      <w:tblPr>
        <w:tblW w:w="5023" w:type="dxa"/>
        <w:jc w:val="left"/>
        <w:tblInd w:w="0" w:type="dxa"/>
        <w:tblLayout w:type="fixed"/>
        <w:tblCellMar>
          <w:top w:w="28" w:type="dxa"/>
          <w:left w:w="28" w:type="dxa"/>
          <w:bottom w:w="28" w:type="dxa"/>
          <w:right w:w="28" w:type="dxa"/>
        </w:tblCellMar>
      </w:tblPr>
      <w:tblGrid>
        <w:gridCol w:w="1103"/>
        <w:gridCol w:w="969"/>
        <w:gridCol w:w="972"/>
        <w:gridCol w:w="579"/>
        <w:gridCol w:w="579"/>
        <w:gridCol w:w="821"/>
      </w:tblGrid>
      <w:t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c>
          <w:tcPr>
            <w:tcW w:w="3044" w:type="dxa"/>
            <w:gridSpan w:val="3"/>
            <w:tcBorders/>
            <w:tcMar>
              <w:top w:w="0" w:type="dxa"/>
              <w:left w:w="0" w:type="dxa"/>
              <w:bottom w:w="0" w:type="dxa"/>
              <w:right w:w="0" w:type="dxa"/>
            </w:tcMar>
            <w:vAlign w:val="center"/>
          </w:tcPr>
          <w:p>
            <w:pPr>
              <w:pStyle w:val="TableContents"/>
              <w:bidi w:val="0"/>
              <w:spacing w:before="0" w:after="240"/>
              <w:jc w:val="both"/>
            </w:pPr>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TaskUs Holdings, Inc.</w:t>
            </w:r>
          </w:p>
          <w:p>
            <w:pPr>
              <w:pStyle w:val="TableContents"/>
              <w:bidi w:val="0"/>
              <w:spacing w:before="0" w:after="240"/>
              <w:ind w:left="0" w:right="0" w:firstLine="720"/>
              <w:jc w:val="both"/>
            </w:pPr>
            <w:r/>
          </w:p>
          <w:p>
            <w:pPr>
              <w:pStyle w:val="TableContents"/>
              <w:bidi w:val="0"/>
              <w:spacing w:lineRule="auto" w:line="288" w:before="0" w:after="240"/>
              <w:jc w:val="both"/>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Marivi Valencia</w:t>
            </w:r>
          </w:p>
          <w:p>
            <w:pPr>
              <w:pStyle w:val="TableContents"/>
              <w:bidi w:val="0"/>
              <w:spacing w:lineRule="auto" w:line="288" w:before="0" w:after="240"/>
              <w:jc w:val="both"/>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 xml:space="preserve">SVP, Human Resources </w:t>
            </w:r>
          </w:p>
        </w:tc>
        <w:tc>
          <w:tcPr>
            <w:tcW w:w="1979" w:type="dxa"/>
            <w:gridSpan w:val="3"/>
            <w:tcBorders/>
            <w:tcMar>
              <w:top w:w="0" w:type="dxa"/>
              <w:left w:w="0" w:type="dxa"/>
              <w:bottom w:w="0" w:type="dxa"/>
              <w:right w:w="0" w:type="dxa"/>
            </w:tcMar>
            <w:vAlign w:val="center"/>
          </w:tcPr>
          <w:p>
            <w:pPr>
              <w:pStyle w:val="TableContents"/>
              <w:bidi w:val="0"/>
              <w:spacing w:before="0" w:after="240"/>
              <w:jc w:val="both"/>
            </w:pPr>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Stephan Daoust</w:t>
            </w:r>
          </w:p>
          <w:p>
            <w:pPr>
              <w:pStyle w:val="TableContents"/>
              <w:bidi w:val="0"/>
              <w:spacing w:before="0" w:after="240"/>
              <w:jc w:val="both"/>
            </w:pPr>
            <w:r/>
          </w:p>
          <w:p>
            <w:pPr>
              <w:pStyle w:val="TableContents"/>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Stephan Daoust </w:t>
            </w:r>
          </w:p>
          <w:p>
            <w:pPr>
              <w:pStyle w:val="TableContents"/>
              <w:bidi w:val="0"/>
              <w:spacing w:lineRule="auto" w:line="288" w:before="0" w:after="240"/>
              <w:jc w:val="both"/>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08/28/2026</w:t>
            </w:r>
          </w:p>
        </w:tc>
      </w:tr>
    </w:tbl>
    <w:p>
      <w:pPr>
        <w:pStyle w:val="TextBody"/>
        <w:bidi w:val="0"/>
        <w:spacing w:lineRule="auto" w:line="288" w:before="0" w:after="240"/>
        <w:jc w:val="both"/>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08/28/2026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Bryce Maddock,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September 30, 2026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73" w:type="dxa"/>
        <w:jc w:val="left"/>
        <w:tblInd w:w="0" w:type="dxa"/>
        <w:tblLayout w:type="fixed"/>
        <w:tblCellMar>
          <w:top w:w="28" w:type="dxa"/>
          <w:left w:w="28" w:type="dxa"/>
          <w:bottom w:w="28" w:type="dxa"/>
          <w:right w:w="28" w:type="dxa"/>
        </w:tblCellMar>
      </w:tblPr>
      <w:tblGrid>
        <w:gridCol w:w="759"/>
        <w:gridCol w:w="668"/>
        <w:gridCol w:w="672"/>
        <w:gridCol w:w="723"/>
        <w:gridCol w:w="723"/>
        <w:gridCol w:w="1028"/>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Rishabh Khemka,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September 30, 2026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3" w:type="dxa"/>
        <w:jc w:val="right"/>
        <w:tblInd w:w="0" w:type="dxa"/>
        <w:tblLayout w:type="fixed"/>
        <w:tblCellMar>
          <w:top w:w="28" w:type="dxa"/>
          <w:left w:w="28" w:type="dxa"/>
          <w:bottom w:w="28" w:type="dxa"/>
          <w:right w:w="28" w:type="dxa"/>
        </w:tblCellMar>
      </w:tblPr>
      <w:tblGrid>
        <w:gridCol w:w="759"/>
        <w:gridCol w:w="668"/>
        <w:gridCol w:w="672"/>
        <w:gridCol w:w="707"/>
        <w:gridCol w:w="707"/>
        <w:gridCol w:w="1000"/>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Rishabh Khemka</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Rishabh Khemka</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September 30,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Bryce Maddock,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September 30,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Rishabh Khemka,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3"/>
        <w:gridCol w:w="758"/>
        <w:gridCol w:w="764"/>
        <w:gridCol w:w="109"/>
        <w:gridCol w:w="109"/>
        <w:gridCol w:w="154"/>
      </w:tblGrid>
      <w:t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Rishabh Khemka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Rishabh Khemka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p>
      <w:pPr>
        <w:pStyle w:val="TextBody"/>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119312521191190/d191129dex31.htm" TargetMode="External"/><Relationship Id="rId3" Type="http://schemas.openxmlformats.org/officeDocument/2006/relationships/hyperlink" Target="https://www.sec.gov/Archives/edgar/data/1829864/000182986424000011/exhibit322023.htm" TargetMode="External"/><Relationship Id="rId4" Type="http://schemas.openxmlformats.org/officeDocument/2006/relationships/hyperlink" Target="https://www.sec.gov/Archives/edgar/data/1829864/000182986423000026/exhibit31thirdamendedandr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22918</Words>
  <Characters>129481</Characters>
  <CharactersWithSpaces>150576</CharactersWithSpaces>
  <Paragraphs>3488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