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TaskUs,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Saba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2,088,765.00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2,088,765.00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2,088,765.00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used herein are calculated based upon 36,545,511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5/1/26, as disclosed in the company's Form 10-Q filed 5/7/26.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Boaz R. Weinstein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2,088,765.00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2,088,765.00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2,088,765.00</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used herein are calculated based upon 36,545,511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5/1/26, as disclosed in the company's Form 10-Q filed 5/7/26.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Saba Capital Management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2,088,765.00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2,088,765.00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2,088,765.00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used herein are calculated based upon 36,545,511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5/1/26, as disclosed in the company's Form 10-Q filed 5/7/26.</w:t>
      </w:r>
    </w:p>
    <w:p>
      <w:pPr>
        <w:sectPr>
          <w:pgSz w:w="11900" w:h="16838" w:orient="portrait"/>
          <w:cols w:equalWidth="0" w:num="1">
            <w:col w:w="11240"/>
          </w:cols>
          <w:pgMar w:left="320" w:top="111"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TaskUs,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1650 Independence Drive, Suite 100, New Braunfels, TEXAS 78132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40"/>
        <w:spacing w:after="0" w:line="253" w:lineRule="auto"/>
        <w:rPr>
          <w:sz w:val="20"/>
          <w:szCs w:val="20"/>
          <w:color w:val="auto"/>
        </w:rPr>
      </w:pPr>
      <w:r>
        <w:rPr>
          <w:rFonts w:ascii="Times New Roman" w:cs="Times New Roman" w:eastAsia="Times New Roman" w:hAnsi="Times New Roman"/>
          <w:sz w:val="21"/>
          <w:szCs w:val="21"/>
          <w:color w:val="auto"/>
        </w:rPr>
        <w:t>Saba Capital Management, L.P., a Delaware limited partnership ("Saba Capital"), Saba Capital Management GP, LLC, a Delaware limited liability company ("Saba GP"), and Mr. Boaz R. Weinstein (together, the "Reporting</w:t>
      </w:r>
    </w:p>
    <w:p>
      <w:pPr>
        <w:spacing w:after="0" w:line="1" w:lineRule="exact"/>
        <w:rPr>
          <w:sz w:val="20"/>
          <w:szCs w:val="20"/>
          <w:color w:val="auto"/>
        </w:rPr>
      </w:pPr>
    </w:p>
    <w:p>
      <w:pPr>
        <w:ind w:left="920" w:right="280" w:hanging="912"/>
        <w:spacing w:after="0" w:line="193"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Persons"). The Reporting Persons have entered into a Joint Filing Agreement, dated March 9, 2026, pursuant to which the Reporting Persons have agreed to file this statement and any subsequent amendments hereto jointly in accordance with the provisions of Rule 13d-1(k)(1) under the Act. Any disclosures herein with respect to persons other than the Reporting Persons are made on information and belief after making inquiry to the appropriate party.</w:t>
      </w:r>
    </w:p>
    <w:p>
      <w:pPr>
        <w:spacing w:after="0" w:line="1" w:lineRule="exact"/>
        <w:rPr>
          <w:rFonts w:ascii="Times New Roman" w:cs="Times New Roman" w:eastAsia="Times New Roman" w:hAnsi="Times New Roman"/>
          <w:sz w:val="42"/>
          <w:szCs w:val="42"/>
          <w:color w:val="auto"/>
          <w:vertAlign w:val="subscript"/>
        </w:rPr>
      </w:pPr>
    </w:p>
    <w:p>
      <w:pPr>
        <w:ind w:left="920"/>
        <w:spacing w:after="0" w:line="256"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filing of this statement should not be construed as an admission that any of the forgoing persons or the Reporting Persons is, for the purposes of Section 13 of the Act, the beneficial owner of the Common Stock reported herein.</w:t>
      </w:r>
    </w:p>
    <w:p>
      <w:pPr>
        <w:sectPr>
          <w:pgSz w:w="11900" w:h="16838" w:orient="portrait"/>
          <w:cols w:equalWidth="0" w:num="1">
            <w:col w:w="11080"/>
          </w:cols>
          <w:pgMar w:left="360" w:top="193" w:right="459" w:bottom="0" w:gutter="0" w:footer="0" w:header="0"/>
        </w:sect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405 Lexington Avenue, 58th Floor, New York, New York 10174.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1"/>
          <w:szCs w:val="21"/>
          <w:color w:val="auto"/>
        </w:rPr>
        <w:t>Saba Capital is organized as a limited partnership under the laws of the State of Delaware. Saba GP is organized as a limited liability company under the laws of the State of Delaware. Mr. Weinstein is a citizen of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par value $0.01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93" w:right="459" w:bottom="0" w:gutter="0" w:footer="0" w:header="0"/>
          <w:type w:val="continuous"/>
        </w:sectPr>
      </w:pPr>
    </w:p>
    <w:p>
      <w:pPr>
        <w:spacing w:after="0" w:line="33" w:lineRule="exact"/>
        <w:rPr>
          <w:sz w:val="20"/>
          <w:szCs w:val="20"/>
          <w:color w:val="auto"/>
        </w:rPr>
      </w:pPr>
    </w:p>
    <w:p>
      <w:pPr>
        <w:ind w:left="920" w:right="5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Not Applicable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80"/>
          </w:cols>
          <w:pgMar w:left="360" w:top="193" w:right="4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87"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Not Applicable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Not Applicable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funds and accounts advised by Saba Capital have the right to receive the dividends from and proceeds of sales from the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355" w:right="399" w:bottom="536" w:gutter="0" w:footer="0" w:header="0"/>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Saba Capital Management, L.P.</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D'Angelo</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Boaz R. Weinstein</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D'Angelo</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Saba Capital Management GP, LLC</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D'Angelo</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Pursuant to a Power of Attorney dated as of November 16, 2015</w:t>
      </w:r>
    </w:p>
    <w:sectPr>
      <w:pgSz w:w="11900" w:h="16838" w:orient="portrait"/>
      <w:cols w:equalWidth="0" w:num="1">
        <w:col w:w="11180"/>
      </w:cols>
      <w:pgMar w:left="320" w:top="355" w:right="399"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2026-05-15T20:40:46Z</dcterms:created>
  <dcterms:modified xsi:type="dcterms:W3CDTF">2026-05-15T20:40:46Z</dcterms:modified>
</cp:coreProperties>
</file>